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424AB" w14:textId="45005C31" w:rsidR="0087365A" w:rsidRPr="0087365A" w:rsidRDefault="0087365A" w:rsidP="0087365A">
      <w:pPr>
        <w:pStyle w:val="Title"/>
        <w:jc w:val="left"/>
      </w:pPr>
      <w:r w:rsidRPr="0087365A">
        <w:t xml:space="preserve">Colour analysis of </w:t>
      </w:r>
      <w:r w:rsidR="001A2B06">
        <w:t xml:space="preserve">simulated </w:t>
      </w:r>
      <w:r w:rsidRPr="0087365A">
        <w:t>polyenes</w:t>
      </w:r>
    </w:p>
    <w:p w14:paraId="3FE0E5D0" w14:textId="2501BCD0" w:rsidR="0087365A" w:rsidRPr="0087365A" w:rsidRDefault="0087365A" w:rsidP="0087365A">
      <w:pPr>
        <w:pStyle w:val="Heading1"/>
      </w:pPr>
      <w:r w:rsidRPr="0087365A">
        <w:t>Summary</w:t>
      </w:r>
    </w:p>
    <w:p w14:paraId="059C110C" w14:textId="77777777" w:rsidR="004A4C51" w:rsidRDefault="004A4C51" w:rsidP="004A4C51">
      <w:pPr>
        <w:keepNext/>
        <w:jc w:val="center"/>
      </w:pPr>
      <w:r>
        <w:rPr>
          <w:noProof/>
        </w:rPr>
        <w:drawing>
          <wp:inline distT="0" distB="0" distL="0" distR="0" wp14:anchorId="6D2E9F33" wp14:editId="57362340">
            <wp:extent cx="1751162" cy="922859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5662" cy="94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F8CC" w14:textId="5122E71C" w:rsidR="004A4C51" w:rsidRPr="004A4C51" w:rsidRDefault="004A4C51" w:rsidP="004A4C51">
      <w:pPr>
        <w:pStyle w:val="Caption"/>
        <w:jc w:val="center"/>
        <w:rPr>
          <w:b w:val="0"/>
          <w:bCs w:val="0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b w:val="0"/>
          <w:bCs w:val="0"/>
        </w:rPr>
        <w:t xml:space="preserve"> The aldehyde polyene system responsible for yellow, orange, red and pink pigmentation in some parrot species. For detailed analysis of these systems observation of potential physical colour tuning see our </w:t>
      </w:r>
      <w:hyperlink r:id="rId5" w:history="1">
        <w:r w:rsidRPr="004A4C51">
          <w:rPr>
            <w:rStyle w:val="Hyperlink"/>
            <w:b w:val="0"/>
            <w:bCs w:val="0"/>
          </w:rPr>
          <w:t>paper</w:t>
        </w:r>
      </w:hyperlink>
      <w:r>
        <w:rPr>
          <w:b w:val="0"/>
          <w:bCs w:val="0"/>
        </w:rPr>
        <w:t>.</w:t>
      </w:r>
    </w:p>
    <w:p w14:paraId="14B15CEE" w14:textId="7C6D323B" w:rsidR="0087365A" w:rsidRDefault="0087365A" w:rsidP="0087365A">
      <w:r w:rsidRPr="0087365A">
        <w:t xml:space="preserve">The colour </w:t>
      </w:r>
      <w:r>
        <w:t xml:space="preserve">profile arising </w:t>
      </w:r>
      <w:r w:rsidR="00C70D3B">
        <w:t xml:space="preserve">from </w:t>
      </w:r>
      <w:r>
        <w:t>the combination of a range of</w:t>
      </w:r>
      <w:r w:rsidR="00C70D3B">
        <w:t xml:space="preserve"> simulated</w:t>
      </w:r>
      <w:r>
        <w:t xml:space="preserve"> polyene pigments (C14-C20) found in parrot pigments was </w:t>
      </w:r>
      <w:r w:rsidR="00C70D3B">
        <w:t>explored</w:t>
      </w:r>
      <w:r>
        <w:t>.</w:t>
      </w:r>
      <w:r w:rsidR="00C70D3B">
        <w:t xml:space="preserve"> This involved the simulation of absorption properties of the polyene pigments </w:t>
      </w:r>
      <w:r w:rsidR="00C70D3B">
        <w:t>(C14-C20)</w:t>
      </w:r>
      <w:r w:rsidR="00C70D3B">
        <w:t xml:space="preserve"> using density functional theory calculations and exploring the impact of functional group.</w:t>
      </w:r>
      <w:r>
        <w:t xml:space="preserve"> It was found that protonation of the aldehyde resulted in significant shifts of the simulated absorption profile of polyene pigments (</w:t>
      </w:r>
      <w:proofErr w:type="spellStart"/>
      <w:r>
        <w:rPr>
          <w:rFonts w:cstheme="minorHAnsi"/>
        </w:rPr>
        <w:t>λ</w:t>
      </w:r>
      <w:r w:rsidRPr="0087365A">
        <w:rPr>
          <w:vertAlign w:val="subscript"/>
        </w:rPr>
        <w:t>max</w:t>
      </w:r>
      <w:proofErr w:type="spellEnd"/>
      <w:r>
        <w:t xml:space="preserve"> from 495-450 nm to 510-640 nm), while shifts due a carboxylic acid group had limited impact on the absorption profile (</w:t>
      </w:r>
      <w:proofErr w:type="spellStart"/>
      <w:r>
        <w:rPr>
          <w:rFonts w:cstheme="minorHAnsi"/>
        </w:rPr>
        <w:t>λ</w:t>
      </w:r>
      <w:r w:rsidRPr="0087365A">
        <w:rPr>
          <w:vertAlign w:val="subscript"/>
        </w:rPr>
        <w:t>max</w:t>
      </w:r>
      <w:proofErr w:type="spellEnd"/>
      <w:r>
        <w:t xml:space="preserve"> 490-450nm). Using a python script, the various </w:t>
      </w:r>
      <w:r w:rsidR="00674433">
        <w:t>combinations</w:t>
      </w:r>
      <w:r>
        <w:t xml:space="preserve"> of pigments for each </w:t>
      </w:r>
      <w:r w:rsidR="00674433">
        <w:t xml:space="preserve">functional group set, and for the </w:t>
      </w:r>
      <w:r w:rsidR="00C70D3B">
        <w:t>combined</w:t>
      </w:r>
      <w:r w:rsidR="00674433">
        <w:t xml:space="preserve"> set</w:t>
      </w:r>
      <w:r w:rsidR="00C70D3B">
        <w:t xml:space="preserve"> with the parent aldehydes</w:t>
      </w:r>
      <w:r w:rsidR="00674433">
        <w:t xml:space="preserve"> were generated with varying contributions (0/1, 1/2, and 1/1). These resulting ranges of colours were then projected on to a CIE colour space using </w:t>
      </w:r>
      <w:proofErr w:type="spellStart"/>
      <w:r w:rsidR="00674433">
        <w:t>Fluroacle</w:t>
      </w:r>
      <w:proofErr w:type="spellEnd"/>
      <w:r w:rsidR="00674433">
        <w:t>.</w:t>
      </w:r>
    </w:p>
    <w:p w14:paraId="0B6C20B1" w14:textId="0E469839" w:rsidR="004A4C51" w:rsidRDefault="00C70D3B" w:rsidP="0087365A">
      <w:r>
        <w:t>The large variation in absorption profile due to protonation means gives rise to a significant colour tuning ability based on a mixture of protonated and aldehyde pigments (</w:t>
      </w:r>
      <w:r w:rsidRPr="00101BBF">
        <w:rPr>
          <w:b/>
          <w:bCs/>
        </w:rPr>
        <w:t xml:space="preserve">Figure </w:t>
      </w:r>
      <w:r w:rsidR="004A4C51">
        <w:rPr>
          <w:b/>
          <w:bCs/>
        </w:rPr>
        <w:t>2</w:t>
      </w:r>
      <w:r>
        <w:t xml:space="preserve">). </w:t>
      </w:r>
      <w:r w:rsidR="004A4C51">
        <w:t>This potential chemical tuning is much larger than for the aldehyde or carbocyclic acid functional group sets which are limited to the yellow transmission region (see data points C14-C20).</w:t>
      </w:r>
      <w:r w:rsidR="001A2B06">
        <w:t xml:space="preserve"> </w:t>
      </w:r>
      <w:r w:rsidR="00D77F54">
        <w:t xml:space="preserve">These results conflict with the conclusion from </w:t>
      </w:r>
      <w:hyperlink r:id="rId6" w:history="1">
        <w:r w:rsidR="00D77F54" w:rsidRPr="00C35869">
          <w:rPr>
            <w:rStyle w:val="Hyperlink"/>
          </w:rPr>
          <w:t>Cooke et. al. 2017</w:t>
        </w:r>
      </w:hyperlink>
      <w:r w:rsidR="00D77F54">
        <w:t xml:space="preserve"> the colour tuning mechanism in </w:t>
      </w:r>
      <w:r w:rsidR="00D77F54" w:rsidRPr="00D77F54">
        <w:t xml:space="preserve">budgerigar </w:t>
      </w:r>
      <w:r w:rsidR="00D77F54" w:rsidRPr="00D77F54">
        <w:rPr>
          <w:i/>
          <w:iCs/>
        </w:rPr>
        <w:t>Melopsittacus undulatus</w:t>
      </w:r>
      <w:r w:rsidR="00D77F54">
        <w:t>, and presumably other similar parrot systems, arises due to the lack of the C20 pigment; however, it may support the</w:t>
      </w:r>
      <w:r w:rsidR="00483C75">
        <w:t xml:space="preserve"> alternative</w:t>
      </w:r>
      <w:r w:rsidR="00D77F54">
        <w:t xml:space="preserve"> conclusion that </w:t>
      </w:r>
      <w:r w:rsidR="00483C75">
        <w:t>turning</w:t>
      </w:r>
      <w:r w:rsidR="00D77F54">
        <w:t xml:space="preserve"> arises from a different oxidation state such as the protonated polyene form.</w:t>
      </w:r>
    </w:p>
    <w:p w14:paraId="75EEEAB1" w14:textId="77777777" w:rsidR="00C70D3B" w:rsidRDefault="00C70D3B" w:rsidP="00C70D3B">
      <w:pPr>
        <w:keepNext/>
      </w:pPr>
      <w:r>
        <w:rPr>
          <w:rFonts w:ascii="Times New Roman" w:hAnsi="Times New Roman" w:cs="Times New Roman"/>
          <w:i/>
          <w:noProof/>
          <w:lang w:eastAsia="en-AU"/>
        </w:rPr>
        <w:drawing>
          <wp:inline distT="0" distB="0" distL="0" distR="0" wp14:anchorId="5622AC5F" wp14:editId="0B3B8E4F">
            <wp:extent cx="5724525" cy="2666365"/>
            <wp:effectExtent l="0" t="0" r="9525" b="635"/>
            <wp:docPr id="1" name="Picture 1" descr="C:\Jono Barnsley\Calculations\Polyenals\Program V2 (8 inputs)\Alderhyde_Protonated Polyenes 21-02-18 (256 Combunations)\CIE_1931_Fluoracle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Jono Barnsley\Calculations\Polyenals\Program V2 (8 inputs)\Alderhyde_Protonated Polyenes 21-02-18 (256 Combunations)\CIE_1931_Fluoracle_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4F9A2" w14:textId="4E2EDB80" w:rsidR="0087365A" w:rsidRPr="0087365A" w:rsidRDefault="00C70D3B" w:rsidP="004A4C51">
      <w:pPr>
        <w:pStyle w:val="Caption"/>
      </w:pPr>
      <w:r>
        <w:t xml:space="preserve">Figure </w:t>
      </w:r>
      <w:fldSimple w:instr=" SEQ Figure \* ARABIC ">
        <w:r w:rsidR="004A4C51">
          <w:rPr>
            <w:noProof/>
          </w:rPr>
          <w:t>2</w:t>
        </w:r>
      </w:fldSimple>
      <w:r>
        <w:t xml:space="preserve"> </w:t>
      </w:r>
      <w:r w:rsidRPr="00C70D3B">
        <w:rPr>
          <w:rFonts w:cstheme="minorHAnsi"/>
          <w:b w:val="0"/>
          <w:bCs w:val="0"/>
        </w:rPr>
        <w:t xml:space="preserve">Aldehyde and protonated </w:t>
      </w:r>
      <w:r>
        <w:rPr>
          <w:rFonts w:cstheme="minorHAnsi"/>
          <w:b w:val="0"/>
          <w:bCs w:val="0"/>
        </w:rPr>
        <w:t>polyene</w:t>
      </w:r>
      <w:r w:rsidRPr="00C70D3B">
        <w:rPr>
          <w:rFonts w:cstheme="minorHAnsi"/>
          <w:b w:val="0"/>
          <w:bCs w:val="0"/>
        </w:rPr>
        <w:t xml:space="preserve"> transmission spectra and the associated CIE 1931 values. Set A (grey circles) shows the spectra and values for combinations of either C14+C16+C18 or C14H</w:t>
      </w:r>
      <w:r w:rsidRPr="00C70D3B">
        <w:rPr>
          <w:rFonts w:cstheme="minorHAnsi"/>
          <w:b w:val="0"/>
          <w:bCs w:val="0"/>
          <w:vertAlign w:val="superscript"/>
        </w:rPr>
        <w:t>+</w:t>
      </w:r>
      <w:r w:rsidRPr="00C70D3B">
        <w:rPr>
          <w:rFonts w:cstheme="minorHAnsi"/>
          <w:b w:val="0"/>
          <w:bCs w:val="0"/>
        </w:rPr>
        <w:t>+C16H</w:t>
      </w:r>
      <w:r w:rsidRPr="00C70D3B">
        <w:rPr>
          <w:rFonts w:cstheme="minorHAnsi"/>
          <w:b w:val="0"/>
          <w:bCs w:val="0"/>
          <w:vertAlign w:val="superscript"/>
        </w:rPr>
        <w:t>+</w:t>
      </w:r>
      <w:r w:rsidRPr="00C70D3B">
        <w:rPr>
          <w:rFonts w:cstheme="minorHAnsi"/>
          <w:b w:val="0"/>
          <w:bCs w:val="0"/>
        </w:rPr>
        <w:t>+C18H</w:t>
      </w:r>
      <w:r w:rsidRPr="00C70D3B">
        <w:rPr>
          <w:rFonts w:cstheme="minorHAnsi"/>
          <w:b w:val="0"/>
          <w:bCs w:val="0"/>
          <w:vertAlign w:val="superscript"/>
        </w:rPr>
        <w:t>+</w:t>
      </w:r>
      <w:r w:rsidRPr="00C70D3B">
        <w:rPr>
          <w:rFonts w:cstheme="minorHAnsi"/>
          <w:b w:val="0"/>
          <w:bCs w:val="0"/>
        </w:rPr>
        <w:t xml:space="preserve"> or a mixture there of (yellow feather), or C14+C16+C18+C20 or C14H</w:t>
      </w:r>
      <w:r w:rsidRPr="00C70D3B">
        <w:rPr>
          <w:rFonts w:cstheme="minorHAnsi"/>
          <w:b w:val="0"/>
          <w:bCs w:val="0"/>
          <w:vertAlign w:val="superscript"/>
        </w:rPr>
        <w:t>+</w:t>
      </w:r>
      <w:r w:rsidRPr="00C70D3B">
        <w:rPr>
          <w:rFonts w:cstheme="minorHAnsi"/>
          <w:b w:val="0"/>
          <w:bCs w:val="0"/>
        </w:rPr>
        <w:t>+C16H</w:t>
      </w:r>
      <w:r w:rsidRPr="00C70D3B">
        <w:rPr>
          <w:rFonts w:cstheme="minorHAnsi"/>
          <w:b w:val="0"/>
          <w:bCs w:val="0"/>
          <w:vertAlign w:val="superscript"/>
        </w:rPr>
        <w:t>+</w:t>
      </w:r>
      <w:r w:rsidRPr="00C70D3B">
        <w:rPr>
          <w:rFonts w:cstheme="minorHAnsi"/>
          <w:b w:val="0"/>
          <w:bCs w:val="0"/>
        </w:rPr>
        <w:t>+C18H</w:t>
      </w:r>
      <w:r w:rsidRPr="00C70D3B">
        <w:rPr>
          <w:rFonts w:cstheme="minorHAnsi"/>
          <w:b w:val="0"/>
          <w:bCs w:val="0"/>
          <w:vertAlign w:val="superscript"/>
        </w:rPr>
        <w:t>+</w:t>
      </w:r>
      <w:r w:rsidRPr="00C70D3B">
        <w:rPr>
          <w:rFonts w:cstheme="minorHAnsi"/>
          <w:b w:val="0"/>
          <w:bCs w:val="0"/>
        </w:rPr>
        <w:t>+C20H</w:t>
      </w:r>
      <w:r w:rsidRPr="00C70D3B">
        <w:rPr>
          <w:rFonts w:cstheme="minorHAnsi"/>
          <w:b w:val="0"/>
          <w:bCs w:val="0"/>
          <w:vertAlign w:val="superscript"/>
        </w:rPr>
        <w:t>+</w:t>
      </w:r>
      <w:r w:rsidRPr="00C70D3B">
        <w:rPr>
          <w:rFonts w:cstheme="minorHAnsi"/>
          <w:b w:val="0"/>
          <w:bCs w:val="0"/>
        </w:rPr>
        <w:t xml:space="preserve"> (red feather) or a mixture there of. The remaining combinations are shown in thin spectra and empty circles.</w:t>
      </w:r>
    </w:p>
    <w:sectPr w:rsidR="0087365A" w:rsidRPr="00873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63F"/>
    <w:rsid w:val="00101BBF"/>
    <w:rsid w:val="001A2B06"/>
    <w:rsid w:val="00483C75"/>
    <w:rsid w:val="004A4C51"/>
    <w:rsid w:val="00674433"/>
    <w:rsid w:val="0087365A"/>
    <w:rsid w:val="00BB24F7"/>
    <w:rsid w:val="00C35869"/>
    <w:rsid w:val="00C5163F"/>
    <w:rsid w:val="00C70D3B"/>
    <w:rsid w:val="00D7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05D81"/>
  <w15:chartTrackingRefBased/>
  <w15:docId w15:val="{DB39AC10-05CA-4872-A135-BE294C41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65A"/>
  </w:style>
  <w:style w:type="paragraph" w:styleId="Heading1">
    <w:name w:val="heading 1"/>
    <w:basedOn w:val="Normal"/>
    <w:next w:val="Normal"/>
    <w:link w:val="Heading1Char"/>
    <w:uiPriority w:val="9"/>
    <w:qFormat/>
    <w:rsid w:val="0087365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65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65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65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65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65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65A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65A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65A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65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6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65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65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65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65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65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65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65A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87365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7365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7365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65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365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7365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7365A"/>
    <w:rPr>
      <w:i/>
      <w:iCs/>
      <w:color w:val="auto"/>
    </w:rPr>
  </w:style>
  <w:style w:type="paragraph" w:styleId="NoSpacing">
    <w:name w:val="No Spacing"/>
    <w:uiPriority w:val="1"/>
    <w:qFormat/>
    <w:rsid w:val="008736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7365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7365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65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65A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7365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7365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7365A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7365A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7365A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365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A4C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C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16/j.cell.2017.08.016" TargetMode="External"/><Relationship Id="rId5" Type="http://schemas.openxmlformats.org/officeDocument/2006/relationships/hyperlink" Target="https://royalsocietypublishing.org/doi/10.1098/rsos.17201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Barnsley</dc:creator>
  <cp:keywords/>
  <dc:description/>
  <cp:lastModifiedBy>Jonathan Barnsley</cp:lastModifiedBy>
  <cp:revision>7</cp:revision>
  <dcterms:created xsi:type="dcterms:W3CDTF">2021-05-03T08:25:00Z</dcterms:created>
  <dcterms:modified xsi:type="dcterms:W3CDTF">2021-05-03T09:02:00Z</dcterms:modified>
</cp:coreProperties>
</file>