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1 Model Parameters Values: Baseline, Ranges and Distributions for Sensitivity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632"/>
        <w:gridCol w:w="2294"/>
        <w:gridCol w:w="2085"/>
        <w:gridCol w:w="2135"/>
        <w:gridCol w:w="1955"/>
        <w:gridCol w:w="4618"/>
      </w:tblGrid>
      <w:tr>
        <w:trPr>
          <w:trHeight w:val="614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Base Case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Maximum 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Distribution</w:t>
            </w:r>
          </w:p>
        </w:tc>
      </w:tr>
      <w:tr>
        <w:trPr>
          <w:trHeight w:val="617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**Cost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FOLFOX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525.04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787.57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6.56)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FOLFIRI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6.73)</w:t>
            </w:r>
          </w:p>
        </w:tc>
      </w:tr>
      <w:tr>
        <w:trPr>
          <w:trHeight w:val="617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Bevacizumab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1517.69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1214.15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1821.23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15.18)</w:t>
            </w:r>
          </w:p>
        </w:tc>
      </w:tr>
      <w:tr>
        <w:trPr>
          <w:trHeight w:val="61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Subtyping Test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4.00)</w:t>
            </w:r>
          </w:p>
        </w:tc>
      </w:tr>
      <w:tr>
        <w:trPr>
          <w:trHeight w:val="617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Administration Cost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1542.18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19.28)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Cost**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4188.31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5025.97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41.88)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1982.68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1586.14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2379.22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19.83)</w:t>
            </w:r>
          </w:p>
        </w:tc>
      </w:tr>
      <w:tr>
        <w:trPr>
          <w:trHeight w:val="61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1307.72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1046.18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1569.26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GAMMA(100.00, 13.08)</w:t>
            </w:r>
          </w:p>
        </w:tc>
      </w:tr>
      <w:tr>
        <w:trPr>
          <w:trHeight w:val="573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617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BETA(94.65, 1693.63)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BETA(96.64, 2805.43)</w:t>
            </w:r>
          </w:p>
        </w:tc>
      </w:tr>
      <w:tr>
        <w:trPr>
          <w:trHeight w:val="573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Without Bevacizumab**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BETA(98.09, 5100.34)</w:t>
            </w:r>
          </w:p>
        </w:tc>
      </w:tr>
      <w:tr>
        <w:trPr>
          <w:trHeight w:val="617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617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BETA(83.94, 443.99)</w:t>
            </w:r>
          </w:p>
        </w:tc>
      </w:tr>
      <w:tr>
        <w:trPr>
          <w:trHeight w:val="574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Incidence - Second Line**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BETA(99.05, 10456.81)</w:t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BETA(86.76, 575.07)</w:t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BETA(87.86, 643.03)</w:t>
            </w:r>
          </w:p>
        </w:tc>
      </w:tr>
      <w:tr>
        <w:trPr>
          <w:trHeight w:val="617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**Utility (Per Cycle)**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Progression Free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BETA(15.41, 2.72)</w:t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Survival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BETA(32.96, 17.75)</w:t>
            </w:r>
          </w:p>
        </w:tc>
      </w:tr>
      <w:tr>
        <w:trPr>
          <w:trHeight w:val="617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**Adverse Event Disutility**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Leukopenia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BRTYA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alpha_u_AE1, beta_u_AE1 (54.55, 66.67)</w:t>
            </w:r>
          </w:p>
        </w:tc>
      </w:tr>
      <w:tr>
        <w:trPr>
          <w:trHeight w:val="617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alpha_u_AE2, beta_u_AE2 (80.81, 344.51)</w:t>
            </w:r>
          </w:p>
        </w:tc>
      </w:tr>
      <w:tr>
        <w:trPr>
          <w:trHeight w:val="617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Vomiting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alpha_u_AE3, beta_u_AE3 (63.64, 113.14)</w:t>
            </w:r>
          </w:p>
        </w:tc>
      </w:tr>
      <w:tr>
        <w:trPr>
          <w:trHeight w:val="573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**Hazard Ratios**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OS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PFS to Dead under the Experimental Strategy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[@smeets2018]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rlnorm()</w:t>
            </w:r>
          </w:p>
        </w:tc>
      </w:tr>
      <w:tr>
        <w:trPr>
          <w:trHeight w:val="617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**Probability of Dying under Second-Line Treatment**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BETA(36.69, 179.13)</w:t>
            </w:r>
          </w:p>
        </w:tc>
      </w:tr>
      <w:tr>
        <w:trPr>
          <w:trHeight w:val="573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**Discount Rate**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Costs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Outcomes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2024-05-28T15:32:14Z</dcterms:modified>
  <cp:category/>
</cp:coreProperties>
</file>