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1 Model Parameters Values: Baseline, Ranges and Distributions for Sensitivity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32"/>
        <w:gridCol w:w="2294"/>
        <w:gridCol w:w="2085"/>
        <w:gridCol w:w="2135"/>
        <w:gridCol w:w="1955"/>
        <w:gridCol w:w="4618"/>
      </w:tblGrid>
      <w:tr>
        <w:trPr>
          <w:trHeight w:val="614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 Case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**Cost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FOLFOX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1.58)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FOLFIRI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1.67)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Bevacizumab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1425.84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1140.67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1711.01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14.26)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Subtyping Test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4.00)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Administration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4.07)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Cost**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3485.23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2788.18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4182.28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34.85)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1792.82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1434.26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2151.38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17.93)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5.03)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BETA(96.64, 2805.43)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BETA(94.65, 1693.63)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BETA(96.64, 2805.43)</w:t>
            </w:r>
          </w:p>
        </w:tc>
      </w:tr>
      <w:tr>
        <w:trPr>
          <w:trHeight w:val="573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Without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BETA(98.09, 5100.34)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BETA(83.94, 443.99)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BETA(83.94, 443.99)</w:t>
            </w:r>
          </w:p>
        </w:tc>
      </w:tr>
      <w:tr>
        <w:trPr>
          <w:trHeight w:val="574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Second Line**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BETA(99.05, 10456.81)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BETA(86.76, 575.07)</w:t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BETA(87.86, 643.03)</w:t>
            </w:r>
          </w:p>
        </w:tc>
      </w:tr>
      <w:tr>
        <w:trPr>
          <w:trHeight w:val="617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**Utility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Progression Free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BETA(15.41, 2.72)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BETA(32.96, 17.75)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Disutility**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BRTYA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alpha_u_AE1, beta_u_AE1 (54.55, 66.67)</w:t>
            </w:r>
          </w:p>
        </w:tc>
      </w:tr>
      <w:tr>
        <w:trPr>
          <w:trHeight w:val="617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alpha_u_AE2, beta_u_AE2 (80.81, 344.51)</w:t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alpha_u_AE3, beta_u_AE3 (63.64, 113.14)</w:t>
            </w:r>
          </w:p>
        </w:tc>
      </w:tr>
      <w:tr>
        <w:trPr>
          <w:trHeight w:val="573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**Hazard Ratios**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OS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Dead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**Probability of Dying under Second-Line Treatment**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BETA(36.69, 179.13)</w:t>
            </w:r>
          </w:p>
        </w:tc>
      </w:tr>
      <w:tr>
        <w:trPr>
          <w:trHeight w:val="573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**Discount Rate**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2024-05-30T11:42:55Z</dcterms:modified>
  <cp:category/>
</cp:coreProperties>
</file>