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Table 1 Model Parameters Values: Baseline, Ranges and Distributions for Sensitivity Analysis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632"/>
        <w:gridCol w:w="2294"/>
        <w:gridCol w:w="2085"/>
        <w:gridCol w:w="2135"/>
        <w:gridCol w:w="1955"/>
        <w:gridCol w:w="4618"/>
      </w:tblGrid>
      <w:tr>
        <w:trPr>
          <w:trHeight w:val="614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 Case 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Minimum 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Maximum 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Distribution</w:t>
            </w:r>
          </w:p>
        </w:tc>
      </w:tr>
      <w:tr>
        <w:trPr>
          <w:trHeight w:val="617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**Cost (Per Cycle)**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FOLFOX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1.58)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FOLFIRI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1.67)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Bevacizumab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1425.84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1140.67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1711.01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14.26)</w:t>
            </w:r>
          </w:p>
        </w:tc>
      </w:tr>
      <w:tr>
        <w:trPr>
          <w:trHeight w:val="617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Subtyping Test Cost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4.00)</w:t>
            </w:r>
          </w:p>
        </w:tc>
      </w:tr>
      <w:tr>
        <w:trPr>
          <w:trHeight w:val="617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Administration Cost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487.80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4.07)</w:t>
            </w:r>
          </w:p>
        </w:tc>
      </w:tr>
      <w:tr>
        <w:trPr>
          <w:trHeight w:val="574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Cost**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3485.23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2788.18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4182.28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34.85)</w:t>
            </w:r>
          </w:p>
        </w:tc>
      </w:tr>
      <w:tr>
        <w:trPr>
          <w:trHeight w:val="617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1792.82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1434.26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2151.38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17.93)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502.69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603.23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5.03)</w:t>
            </w:r>
          </w:p>
        </w:tc>
      </w:tr>
      <w:tr>
        <w:trPr>
          <w:trHeight w:val="573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Incidence - With Bevacizumab**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BETA(96.64, 2805.43)</w:t>
            </w:r>
          </w:p>
        </w:tc>
      </w:tr>
      <w:tr>
        <w:trPr>
          <w:trHeight w:val="617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BETA(94.65, 1693.63)</w:t>
            </w:r>
          </w:p>
        </w:tc>
      </w:tr>
      <w:tr>
        <w:trPr>
          <w:trHeight w:val="617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BETA(96.64, 2805.43)</w:t>
            </w:r>
          </w:p>
        </w:tc>
      </w:tr>
      <w:tr>
        <w:trPr>
          <w:trHeight w:val="573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Incidence - Without Bevacizumab**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BETA(98.09, 5100.34)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BETA(83.94, 443.99)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BETA(83.94, 443.99)</w:t>
            </w:r>
          </w:p>
        </w:tc>
      </w:tr>
      <w:tr>
        <w:trPr>
          <w:trHeight w:val="574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Incidence - Second Line**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BETA(99.05, 10456.81)</w:t>
            </w:r>
          </w:p>
        </w:tc>
      </w:tr>
      <w:tr>
        <w:trPr>
          <w:trHeight w:val="617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BETA(86.76, 575.07)</w:t>
            </w:r>
          </w:p>
        </w:tc>
      </w:tr>
      <w:tr>
        <w:trPr>
          <w:trHeight w:val="617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BETA(87.86, 643.03)</w:t>
            </w:r>
          </w:p>
        </w:tc>
      </w:tr>
      <w:tr>
        <w:trPr>
          <w:trHeight w:val="617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**Utility (Per Cycle)**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Progression Free Survival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BETA(15.41, 2.72)</w:t>
            </w:r>
          </w:p>
        </w:tc>
      </w:tr>
      <w:tr>
        <w:trPr>
          <w:trHeight w:val="617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Survival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BETA(32.96, 17.75)</w:t>
            </w:r>
          </w:p>
        </w:tc>
      </w:tr>
      <w:tr>
        <w:trPr>
          <w:trHeight w:val="617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Disutility**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BRTYA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alpha_u_AE1, beta_u_AE1 (54.55, 66.67)</w:t>
            </w:r>
          </w:p>
        </w:tc>
      </w:tr>
      <w:tr>
        <w:trPr>
          <w:trHeight w:val="617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alpha_u_AE2, beta_u_AE2 (80.81, 344.51)</w:t>
            </w:r>
          </w:p>
        </w:tc>
      </w:tr>
      <w:tr>
        <w:trPr>
          <w:trHeight w:val="617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alpha_u_AE3, beta_u_AE3 (63.64, 113.14)</w:t>
            </w:r>
          </w:p>
        </w:tc>
      </w:tr>
      <w:tr>
        <w:trPr>
          <w:trHeight w:val="573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**Hazard Ratios**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PFS to OS under the Experimental Strategy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[@smeets2018]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rlnorm()</w:t>
            </w:r>
          </w:p>
        </w:tc>
      </w:tr>
      <w:tr>
        <w:trPr>
          <w:trHeight w:val="617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PFS to Dead under the Experimental Strategy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[@smeets2018]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rlnorm()</w:t>
            </w:r>
          </w:p>
        </w:tc>
      </w:tr>
      <w:tr>
        <w:trPr>
          <w:trHeight w:val="617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**Probability of Dying under Second-Line Treatment**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BETA(36.69, 179.13)</w:t>
            </w:r>
          </w:p>
        </w:tc>
      </w:tr>
      <w:tr>
        <w:trPr>
          <w:trHeight w:val="573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**Discount Rate**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Costs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2024-05-28T15:06:11Z</dcterms:modified>
  <cp:category/>
</cp:coreProperties>
</file>