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2024-05-28T15:47:09Z</dcterms:modified>
  <cp:category/>
</cp:coreProperties>
</file>