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 Model Parameters Values: Baseline, Ranges and Distributions for Sensitivity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32"/>
        <w:gridCol w:w="2294"/>
        <w:gridCol w:w="2085"/>
        <w:gridCol w:w="2135"/>
        <w:gridCol w:w="1955"/>
        <w:gridCol w:w="4618"/>
      </w:tblGrid>
      <w:tr>
        <w:trPr>
          <w:trHeight w:val="61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 Case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**Cost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FOLFOX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3.23)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FOLFIRI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1.47)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Bevacizumab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1399.33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1119.46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1679.20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13.99)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Subtyping Test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Administration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3.32)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Cost**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4568.78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6853.16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57.11)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3.06)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0.35)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BETA(94.65, 1693.63)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Without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BETA(98.09, 5100.34)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574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Second Line**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BETA(99.05, 10456.81)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BETA(86.76, 575.07)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BETA(87.86, 643.03)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**Utility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Progression Free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BETA(15.41, 2.72)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BETA(32.96, 17.75)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Disutility**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BRTYA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alpha_u_AE1, beta_u_AE1 (54.55, 66.67)</w:t>
            </w:r>
          </w:p>
        </w:tc>
      </w:tr>
      <w:tr>
        <w:trPr>
          <w:trHeight w:val="61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alpha_u_AE2, beta_u_AE2 (80.81, 344.51)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alpha_u_AE3, beta_u_AE3 (63.64, 113.14)</w:t>
            </w:r>
          </w:p>
        </w:tc>
      </w:tr>
      <w:tr>
        <w:trPr>
          <w:trHeight w:val="573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**Hazard Ratios**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OS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Dead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**Probability of Dying under Second-Line Treatment**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BETA(36.69, 179.13)</w:t>
            </w:r>
          </w:p>
        </w:tc>
      </w:tr>
      <w:tr>
        <w:trPr>
          <w:trHeight w:val="573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**Discount Rate**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2024-06-08T02:55:27Z</dcterms:modified>
  <cp:category/>
</cp:coreProperties>
</file>