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 Model Parameters Values: Baseline, Ranges and Distributions for Sensitivity Analysis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632"/>
        <w:gridCol w:w="2294"/>
        <w:gridCol w:w="2085"/>
        <w:gridCol w:w="2135"/>
        <w:gridCol w:w="1955"/>
        <w:gridCol w:w="4618"/>
      </w:tblGrid>
      <w:tr>
        <w:trPr>
          <w:trHeight w:val="614" w:hRule="auto"/>
          <w:tblHeader/>
        </w:trPr>
        header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Base Case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Minimum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Maximum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Source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Distribution</w:t>
            </w:r>
          </w:p>
        </w:tc>
      </w:tr>
      <w:tr>
        <w:trPr>
          <w:trHeight w:val="617" w:hRule="auto"/>
        </w:trPr>
        body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**Cost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FOLFOX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157.77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189.32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1.58)</w:t>
            </w:r>
          </w:p>
        </w:tc>
      </w:tr>
      <w:tr>
        <w:trPr>
          <w:trHeight w:val="61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FOLFIRI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133.68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1.67)</w:t>
            </w:r>
          </w:p>
        </w:tc>
      </w:tr>
      <w:tr>
        <w:trPr>
          <w:trHeight w:val="617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Bevacizumab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1425.84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1140.67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1711.01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14.26)</w:t>
            </w:r>
          </w:p>
        </w:tc>
      </w:tr>
      <w:tr>
        <w:trPr>
          <w:trHeight w:val="617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Subtyping Test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4.00)</w:t>
            </w:r>
          </w:p>
        </w:tc>
      </w:tr>
      <w:tr>
        <w:trPr>
          <w:trHeight w:val="61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Administration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406.50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325.20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487.80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4.07)</w:t>
            </w:r>
          </w:p>
        </w:tc>
      </w:tr>
      <w:tr>
        <w:trPr>
          <w:trHeight w:val="574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Cost**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3485.23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2788.18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4182.28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34.85)</w:t>
            </w:r>
          </w:p>
        </w:tc>
      </w:tr>
      <w:tr>
        <w:trPr>
          <w:trHeight w:val="61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1792.82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1434.26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2151.38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17.93)</w:t>
            </w:r>
          </w:p>
        </w:tc>
      </w:tr>
      <w:tr>
        <w:trPr>
          <w:trHeight w:val="617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502.69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603.23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5.03)</w:t>
            </w:r>
          </w:p>
        </w:tc>
      </w:tr>
      <w:tr>
        <w:trPr>
          <w:trHeight w:val="573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617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BETA(94.65, 1693.63)</w:t>
            </w:r>
          </w:p>
        </w:tc>
      </w:tr>
      <w:tr>
        <w:trPr>
          <w:trHeight w:val="617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573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Without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BETA(98.09, 5100.34)</w:t>
            </w:r>
          </w:p>
        </w:tc>
      </w:tr>
      <w:tr>
        <w:trPr>
          <w:trHeight w:val="617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617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574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Second Line**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BETA(99.05, 10456.81)</w:t>
            </w:r>
          </w:p>
        </w:tc>
      </w:tr>
      <w:tr>
        <w:trPr>
          <w:trHeight w:val="617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BETA(86.76, 575.07)</w:t>
            </w:r>
          </w:p>
        </w:tc>
      </w:tr>
      <w:tr>
        <w:trPr>
          <w:trHeight w:val="617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BETA(87.86, 643.03)</w:t>
            </w:r>
          </w:p>
        </w:tc>
      </w:tr>
      <w:tr>
        <w:trPr>
          <w:trHeight w:val="617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**Utility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Progression Free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BETA(15.41, 2.72)</w:t>
            </w:r>
          </w:p>
        </w:tc>
      </w:tr>
      <w:tr>
        <w:trPr>
          <w:trHeight w:val="617" w:hRule="auto"/>
        </w:trPr>
        body25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BETA(32.96, 17.75)</w:t>
            </w:r>
          </w:p>
        </w:tc>
      </w:tr>
      <w:tr>
        <w:trPr>
          <w:trHeight w:val="617" w:hRule="auto"/>
        </w:trPr>
        body26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Disutility**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BRTYA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alpha_u_AE1, beta_u_AE1 (54.55, 66.67)</w:t>
            </w:r>
          </w:p>
        </w:tc>
      </w:tr>
      <w:tr>
        <w:trPr>
          <w:trHeight w:val="617" w:hRule="auto"/>
        </w:trPr>
        body28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alpha_u_AE2, beta_u_AE2 (80.81, 344.51)</w:t>
            </w:r>
          </w:p>
        </w:tc>
      </w:tr>
      <w:tr>
        <w:trPr>
          <w:trHeight w:val="617" w:hRule="auto"/>
        </w:trPr>
        body29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alpha_u_AE3, beta_u_AE3 (63.64, 113.14)</w:t>
            </w:r>
          </w:p>
        </w:tc>
      </w:tr>
      <w:tr>
        <w:trPr>
          <w:trHeight w:val="573" w:hRule="auto"/>
        </w:trPr>
        body30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**Hazard Ratios**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OS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Dead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**Probability of Dying under Second-Line Treatment**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BETA(36.69, 179.13)</w:t>
            </w:r>
          </w:p>
        </w:tc>
      </w:tr>
      <w:tr>
        <w:trPr>
          <w:trHeight w:val="573" w:hRule="auto"/>
        </w:trPr>
        body34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**Discount Rate**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2025-12-10T19:03:00Z</dcterms:modified>
  <cp:category/>
</cp:coreProperties>
</file>