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 Model Parameters Values: Baseline, Ranges and Distributions for Sensitivity Analysis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32"/>
        <w:gridCol w:w="2294"/>
        <w:gridCol w:w="2085"/>
        <w:gridCol w:w="2135"/>
        <w:gridCol w:w="1955"/>
        <w:gridCol w:w="4618"/>
      </w:tblGrid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 Case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Maximum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Distribution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**Cost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FOLFOX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323.39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258.71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388.07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3.23)</w:t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147.31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176.77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1.47)</w:t>
            </w:r>
          </w:p>
        </w:tc>
      </w:tr>
      <w:tr>
        <w:trPr>
          <w:trHeight w:val="61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Bevacizumab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1399.33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1119.46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1679.20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13.99)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Subtyping Test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Administration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332.39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265.91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398.87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3.32)</w:t>
            </w:r>
          </w:p>
        </w:tc>
      </w:tr>
      <w:tr>
        <w:trPr>
          <w:trHeight w:val="574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Cost**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5710.97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4568.78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6853.16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57.11)</w:t>
            </w:r>
          </w:p>
        </w:tc>
      </w:tr>
      <w:tr>
        <w:trPr>
          <w:trHeight w:val="61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305.55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244.44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366.66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3.06)</w:t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0.35)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BETA(94.65, 1693.63)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573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Without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BETA(98.09, 5100.34)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574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Second Line**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BETA(99.05, 10456.81)</w:t>
            </w:r>
          </w:p>
        </w:tc>
      </w:tr>
      <w:tr>
        <w:trPr>
          <w:trHeight w:val="617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BETA(86.76, 575.07)</w:t>
            </w:r>
          </w:p>
        </w:tc>
      </w:tr>
      <w:tr>
        <w:trPr>
          <w:trHeight w:val="617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BETA(87.86, 643.03)</w:t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**Utility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Progression Free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BETA(15.41, 2.72)</w:t>
            </w:r>
          </w:p>
        </w:tc>
      </w:tr>
      <w:tr>
        <w:trPr>
          <w:trHeight w:val="617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BETA(32.96, 17.75)</w:t>
            </w:r>
          </w:p>
        </w:tc>
      </w:tr>
      <w:tr>
        <w:trPr>
          <w:trHeight w:val="617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Disutility**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BRTYA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alpha_u_AE1, beta_u_AE1 (54.55, 66.67)</w:t>
            </w:r>
          </w:p>
        </w:tc>
      </w:tr>
      <w:tr>
        <w:trPr>
          <w:trHeight w:val="617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alpha_u_AE2, beta_u_AE2 (80.81, 344.51)</w:t>
            </w:r>
          </w:p>
        </w:tc>
      </w:tr>
      <w:tr>
        <w:trPr>
          <w:trHeight w:val="617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alpha_u_AE3, beta_u_AE3 (63.64, 113.14)</w:t>
            </w:r>
          </w:p>
        </w:tc>
      </w:tr>
      <w:tr>
        <w:trPr>
          <w:trHeight w:val="573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**Hazard Ratios**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OS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Dead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**Probability of Dying under Second-Line Treatment**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BETA(36.69, 179.13)</w:t>
            </w:r>
          </w:p>
        </w:tc>
      </w:tr>
      <w:tr>
        <w:trPr>
          <w:trHeight w:val="573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**Discount Rate**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2025-12-12T01:23:24Z</dcterms:modified>
  <cp:category/>
</cp:coreProperties>
</file>