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 Model Parameters Values: Baseline, Ranges and Distributions for Sensitivity Analysis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32"/>
        <w:gridCol w:w="2294"/>
        <w:gridCol w:w="2085"/>
        <w:gridCol w:w="2135"/>
        <w:gridCol w:w="1955"/>
        <w:gridCol w:w="4618"/>
      </w:tblGrid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 Case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Maximum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Distribution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**Cost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FOLFOX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323.39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258.71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388.07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3.23)</w:t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147.31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176.77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1.47)</w:t>
            </w:r>
          </w:p>
        </w:tc>
      </w:tr>
      <w:tr>
        <w:trPr>
          <w:trHeight w:val="61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Bevacizumab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1399.33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1119.46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1679.20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13.99)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Subtyping Test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Administration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332.39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265.91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398.87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3.32)</w:t>
            </w:r>
          </w:p>
        </w:tc>
      </w:tr>
      <w:tr>
        <w:trPr>
          <w:trHeight w:val="574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Cost**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5710.97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4568.78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6853.16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57.11)</w:t>
            </w:r>
          </w:p>
        </w:tc>
      </w:tr>
      <w:tr>
        <w:trPr>
          <w:trHeight w:val="61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305.55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244.44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366.66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3.06)</w:t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0.35)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BETA(94.65, 1693.63)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573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Without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BETA(98.09, 5100.34)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574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Second Line**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BETA(99.05, 10456.81)</w:t>
            </w:r>
          </w:p>
        </w:tc>
      </w:tr>
      <w:tr>
        <w:trPr>
          <w:trHeight w:val="617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BETA(86.76, 575.07)</w:t>
            </w:r>
          </w:p>
        </w:tc>
      </w:tr>
      <w:tr>
        <w:trPr>
          <w:trHeight w:val="617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BETA(87.86, 643.03)</w:t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**Utility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Progression Free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BETA(15.41, 2.72)</w:t>
            </w:r>
          </w:p>
        </w:tc>
      </w:tr>
      <w:tr>
        <w:trPr>
          <w:trHeight w:val="617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BETA(32.96, 17.75)</w:t>
            </w:r>
          </w:p>
        </w:tc>
      </w:tr>
      <w:tr>
        <w:trPr>
          <w:trHeight w:val="617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Disutility**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BRTYA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alpha_u_AE1, beta_u_AE1 (54.55, 66.67)</w:t>
            </w:r>
          </w:p>
        </w:tc>
      </w:tr>
      <w:tr>
        <w:trPr>
          <w:trHeight w:val="617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alpha_u_AE2, beta_u_AE2 (80.81, 344.51)</w:t>
            </w:r>
          </w:p>
        </w:tc>
      </w:tr>
      <w:tr>
        <w:trPr>
          <w:trHeight w:val="617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alpha_u_AE3, beta_u_AE3 (63.64, 113.14)</w:t>
            </w:r>
          </w:p>
        </w:tc>
      </w:tr>
      <w:tr>
        <w:trPr>
          <w:trHeight w:val="573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**Hazard Ratios**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OS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Dead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**Probability of Dying under Second-Line Treatment**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BETA(36.69, 179.13)</w:t>
            </w:r>
          </w:p>
        </w:tc>
      </w:tr>
      <w:tr>
        <w:trPr>
          <w:trHeight w:val="573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**Discount Rate**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2025-12-10T09:30:45Z</dcterms:modified>
  <cp:category/>
</cp:coreProperties>
</file>