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 Model Parameters Values: Baseline, Ranges and Distributions for Sensitivity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32"/>
        <w:gridCol w:w="2294"/>
        <w:gridCol w:w="2085"/>
        <w:gridCol w:w="2135"/>
        <w:gridCol w:w="1955"/>
        <w:gridCol w:w="4618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Case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**Cost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787.57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6.56)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6.73)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Bevacizumab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1517.69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15.18)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Subtyping Test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Administration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1927.72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19.28)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Cost**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4188.31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5025.97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41.88)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1982.68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1586.14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2379.22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19.83)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1307.72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1046.18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1569.26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13.08)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BETA(94.65, 1693.63)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57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Without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BETA(98.09, 5100.34)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Second Line**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BETA(99.05, 10456.81)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BETA(86.76, 575.07)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BETA(87.86, 643.03)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**Utility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Free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BETA(15.41, 2.72)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BETA(32.96, 17.75)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Disutility**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alpha_u_AE1, beta_u_AE1 (54.55, 66.67)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alpha_u_AE2, beta_u_AE2 (80.81, 344.51)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alpha_u_AE3, beta_u_AE3 (63.64, 113.14)</w:t>
            </w:r>
          </w:p>
        </w:tc>
      </w:tr>
      <w:tr>
        <w:trPr>
          <w:trHeight w:val="573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**Hazard Ratios**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OS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Dead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**Probability of Dying under Second-Line Treatment**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BETA(36.69, 179.13)</w:t>
            </w:r>
          </w:p>
        </w:tc>
      </w:tr>
      <w:tr>
        <w:trPr>
          <w:trHeight w:val="573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**Discount Rate**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2025-12-09T16:57:09Z</dcterms:modified>
  <cp:category/>
</cp:coreProperties>
</file>