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 Model Parameters Values: Baseline, Ranges and Distributions for Sensitivity Analysis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32"/>
        <w:gridCol w:w="2294"/>
        <w:gridCol w:w="2085"/>
        <w:gridCol w:w="2135"/>
        <w:gridCol w:w="1955"/>
        <w:gridCol w:w="4618"/>
      </w:tblGrid>
      <w:tr>
        <w:trPr>
          <w:trHeight w:val="614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Base Case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Minimum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Maximum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Source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Distribution</w:t>
            </w:r>
          </w:p>
        </w:tc>
      </w:tr>
      <w:tr>
        <w:trPr>
          <w:trHeight w:val="617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**Cost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FOLFOX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189.32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1.58)</w:t>
            </w:r>
          </w:p>
        </w:tc>
      </w:tr>
      <w:tr>
        <w:trPr>
          <w:trHeight w:val="61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FOLFIRI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1.67)</w:t>
            </w:r>
          </w:p>
        </w:tc>
      </w:tr>
      <w:tr>
        <w:trPr>
          <w:trHeight w:val="617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Bevacizumab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1425.84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1140.67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1711.01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14.26)</w:t>
            </w:r>
          </w:p>
        </w:tc>
      </w:tr>
      <w:tr>
        <w:trPr>
          <w:trHeight w:val="617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Subtyping Test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Administration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487.80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4.07)</w:t>
            </w:r>
          </w:p>
        </w:tc>
      </w:tr>
      <w:tr>
        <w:trPr>
          <w:trHeight w:val="574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Cost**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3485.23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2788.18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4182.28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34.85)</w:t>
            </w:r>
          </w:p>
        </w:tc>
      </w:tr>
      <w:tr>
        <w:trPr>
          <w:trHeight w:val="61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1792.82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1434.26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2151.38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17.93)</w:t>
            </w:r>
          </w:p>
        </w:tc>
      </w:tr>
      <w:tr>
        <w:trPr>
          <w:trHeight w:val="617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502.69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603.23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5.03)</w:t>
            </w:r>
          </w:p>
        </w:tc>
      </w:tr>
      <w:tr>
        <w:trPr>
          <w:trHeight w:val="57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617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BETA(94.65, 1693.63)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573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Without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BETA(98.09, 5100.34)</w:t>
            </w:r>
          </w:p>
        </w:tc>
      </w:tr>
      <w:tr>
        <w:trPr>
          <w:trHeight w:val="617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574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Second Line**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BETA(99.05, 10456.81)</w:t>
            </w:r>
          </w:p>
        </w:tc>
      </w:tr>
      <w:tr>
        <w:trPr>
          <w:trHeight w:val="617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BETA(86.76, 575.07)</w:t>
            </w:r>
          </w:p>
        </w:tc>
      </w:tr>
      <w:tr>
        <w:trPr>
          <w:trHeight w:val="617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BETA(87.86, 643.03)</w:t>
            </w:r>
          </w:p>
        </w:tc>
      </w:tr>
      <w:tr>
        <w:trPr>
          <w:trHeight w:val="617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**Utility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Progression Free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BETA(15.41, 2.72)</w:t>
            </w:r>
          </w:p>
        </w:tc>
      </w:tr>
      <w:tr>
        <w:trPr>
          <w:trHeight w:val="617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BETA(32.96, 17.75)</w:t>
            </w:r>
          </w:p>
        </w:tc>
      </w:tr>
      <w:tr>
        <w:trPr>
          <w:trHeight w:val="617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Disutility**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BRTYA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alpha_u_AE1, beta_u_AE1 (54.55, 66.67)</w:t>
            </w:r>
          </w:p>
        </w:tc>
      </w:tr>
      <w:tr>
        <w:trPr>
          <w:trHeight w:val="617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alpha_u_AE2, beta_u_AE2 (80.81, 344.51)</w:t>
            </w:r>
          </w:p>
        </w:tc>
      </w:tr>
      <w:tr>
        <w:trPr>
          <w:trHeight w:val="617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alpha_u_AE3, beta_u_AE3 (63.64, 113.14)</w:t>
            </w:r>
          </w:p>
        </w:tc>
      </w:tr>
      <w:tr>
        <w:trPr>
          <w:trHeight w:val="573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**Hazard Ratios**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OS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Dead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**Probability of Dying under Second-Line Treatment**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BETA(36.69, 179.13)</w:t>
            </w:r>
          </w:p>
        </w:tc>
      </w:tr>
      <w:tr>
        <w:trPr>
          <w:trHeight w:val="573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**Discount Rate**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2025-12-10T09:55:13Z</dcterms:modified>
  <cp:category/>
</cp:coreProperties>
</file>