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1 Model Parameters Values: Baseline, Ranges and Distributions for Sensitivity Analysis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632"/>
        <w:gridCol w:w="2294"/>
        <w:gridCol w:w="2085"/>
        <w:gridCol w:w="2135"/>
        <w:gridCol w:w="1955"/>
        <w:gridCol w:w="4618"/>
      </w:tblGrid>
      <w:tr>
        <w:trPr>
          <w:trHeight w:val="614" w:hRule="auto"/>
          <w:tblHeader/>
        </w:trPr>
        header 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Base Case Value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Minimum Value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Maximum Value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Source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Distribution</w:t>
            </w:r>
          </w:p>
        </w:tc>
      </w:tr>
      <w:tr>
        <w:trPr>
          <w:trHeight w:val="617" w:hRule="auto"/>
        </w:trPr>
        body 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**Cost (Per Cycle)**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FOLFOX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157.77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126.22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189.32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GAMMA(100.00, 1.58)</w:t>
            </w:r>
          </w:p>
        </w:tc>
      </w:tr>
      <w:tr>
        <w:trPr>
          <w:trHeight w:val="617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FOLFIRI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167.10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133.68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200.52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GAMMA(100.00, 1.67)</w:t>
            </w:r>
          </w:p>
        </w:tc>
      </w:tr>
      <w:tr>
        <w:trPr>
          <w:trHeight w:val="617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Bevacizumab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1425.84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1140.67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1711.01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GAMMA(100.00, 14.26)</w:t>
            </w:r>
          </w:p>
        </w:tc>
      </w:tr>
      <w:tr>
        <w:trPr>
          <w:trHeight w:val="617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Subtyping Test Cost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GAMMA(100.00, 4.00)</w:t>
            </w:r>
          </w:p>
        </w:tc>
      </w:tr>
      <w:tr>
        <w:trPr>
          <w:trHeight w:val="617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Administration Cost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406.50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487.80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GAMMA(100.00, 4.07)</w:t>
            </w:r>
          </w:p>
        </w:tc>
      </w:tr>
      <w:tr>
        <w:trPr>
          <w:trHeight w:val="574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**Adverse Event Cost**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Leukopenia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3485.23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2788.18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4182.28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GAMMA(100.00, 34.85)</w:t>
            </w:r>
          </w:p>
        </w:tc>
      </w:tr>
      <w:tr>
        <w:trPr>
          <w:trHeight w:val="617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Diarrhea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1792.82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1434.26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2151.38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GAMMA(100.00, 17.93)</w:t>
            </w:r>
          </w:p>
        </w:tc>
      </w:tr>
      <w:tr>
        <w:trPr>
          <w:trHeight w:val="617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Vomiting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502.69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402.15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603.23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GAMMA(100.00, 5.03)</w:t>
            </w:r>
          </w:p>
        </w:tc>
      </w:tr>
      <w:tr>
        <w:trPr>
          <w:trHeight w:val="573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**Adverse Event Incidence - With Bevacizumab**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Leukopenia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BETA(96.64, 2805.43)</w:t>
            </w:r>
          </w:p>
        </w:tc>
      </w:tr>
      <w:tr>
        <w:trPr>
          <w:trHeight w:val="617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Diarrhea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BETA(94.65, 1693.63)</w:t>
            </w:r>
          </w:p>
        </w:tc>
      </w:tr>
      <w:tr>
        <w:trPr>
          <w:trHeight w:val="617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Vomiting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BETA(96.64, 2805.43)</w:t>
            </w:r>
          </w:p>
        </w:tc>
      </w:tr>
      <w:tr>
        <w:trPr>
          <w:trHeight w:val="573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**Adverse Event Incidence - Without Bevacizumab**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Leukopenia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BETA(98.09, 5100.34)</w:t>
            </w:r>
          </w:p>
        </w:tc>
      </w:tr>
      <w:tr>
        <w:trPr>
          <w:trHeight w:val="617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Diarrhea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BETA(83.94, 443.99)</w:t>
            </w:r>
          </w:p>
        </w:tc>
      </w:tr>
      <w:tr>
        <w:trPr>
          <w:trHeight w:val="617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Vomiting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BETA(83.94, 443.99)</w:t>
            </w:r>
          </w:p>
        </w:tc>
      </w:tr>
      <w:tr>
        <w:trPr>
          <w:trHeight w:val="574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**Adverse Event Incidence - Second Line**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Leukopenia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BETA(99.05, 10456.81)</w:t>
            </w:r>
          </w:p>
        </w:tc>
      </w:tr>
      <w:tr>
        <w:trPr>
          <w:trHeight w:val="617" w:hRule="auto"/>
        </w:trPr>
        body21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Diarrhea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BETA(86.76, 575.07)</w:t>
            </w:r>
          </w:p>
        </w:tc>
      </w:tr>
      <w:tr>
        <w:trPr>
          <w:trHeight w:val="617" w:hRule="auto"/>
        </w:trPr>
        body22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Vomiting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BETA(87.86, 643.03)</w:t>
            </w:r>
          </w:p>
        </w:tc>
      </w:tr>
      <w:tr>
        <w:trPr>
          <w:trHeight w:val="617" w:hRule="auto"/>
        </w:trPr>
        body23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**Utility (Per Cycle)**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Progression Free Survival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BETA(15.41, 2.72)</w:t>
            </w:r>
          </w:p>
        </w:tc>
      </w:tr>
      <w:tr>
        <w:trPr>
          <w:trHeight w:val="617" w:hRule="auto"/>
        </w:trPr>
        body25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 Survival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BETA(32.96, 17.75)</w:t>
            </w:r>
          </w:p>
        </w:tc>
      </w:tr>
      <w:tr>
        <w:trPr>
          <w:trHeight w:val="617" w:hRule="auto"/>
        </w:trPr>
        body26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**Adverse Event Disutility**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body27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Leukopenia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BRTYA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alpha_u_AE1, beta_u_AE1 (54.55, 66.67)</w:t>
            </w:r>
          </w:p>
        </w:tc>
      </w:tr>
      <w:tr>
        <w:trPr>
          <w:trHeight w:val="617" w:hRule="auto"/>
        </w:trPr>
        body28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Diarrhea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alpha_u_AE2, beta_u_AE2 (80.81, 344.51)</w:t>
            </w:r>
          </w:p>
        </w:tc>
      </w:tr>
      <w:tr>
        <w:trPr>
          <w:trHeight w:val="617" w:hRule="auto"/>
        </w:trPr>
        body29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Vomiting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alpha_u_AE3, beta_u_AE3 (63.64, 113.14)</w:t>
            </w:r>
          </w:p>
        </w:tc>
      </w:tr>
      <w:tr>
        <w:trPr>
          <w:trHeight w:val="573" w:hRule="auto"/>
        </w:trPr>
        body30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**Hazard Ratios**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PFS to OS under the Experimental Strategy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[@smeets2018]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rlnorm()</w:t>
            </w:r>
          </w:p>
        </w:tc>
      </w:tr>
      <w:tr>
        <w:trPr>
          <w:trHeight w:val="617" w:hRule="auto"/>
        </w:trPr>
        body32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PFS to Dead under the Experimental Strategy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[@smeets2018]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rlnorm()</w:t>
            </w:r>
          </w:p>
        </w:tc>
      </w:tr>
      <w:tr>
        <w:trPr>
          <w:trHeight w:val="617" w:hRule="auto"/>
        </w:trPr>
        body33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**Probability of Dying under Second-Line Treatment**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BETA(36.69, 179.13)</w:t>
            </w:r>
          </w:p>
        </w:tc>
      </w:tr>
      <w:tr>
        <w:trPr>
          <w:trHeight w:val="573" w:hRule="auto"/>
        </w:trPr>
        body34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**Discount Rate**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body35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body36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2025-11-21T23:23:27Z</dcterms:modified>
  <cp:category/>
</cp:coreProperties>
</file>