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Model Parameters Values: Baseline, Ranges and Distributions for Sensitivity Analysis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32"/>
        <w:gridCol w:w="2294"/>
        <w:gridCol w:w="2085"/>
        <w:gridCol w:w="2135"/>
        <w:gridCol w:w="1955"/>
        <w:gridCol w:w="4618"/>
      </w:tblGrid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 Case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Distribution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**Cost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FOLFOX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189.32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1.58)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1.67)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Bevacizumab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1425.84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1140.67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1711.01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14.26)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Subtyping Test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Administration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487.80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4.07)</w:t>
            </w:r>
          </w:p>
        </w:tc>
      </w:tr>
      <w:tr>
        <w:trPr>
          <w:trHeight w:val="57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Cost**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3485.23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2788.18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4182.28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34.85)</w:t>
            </w:r>
          </w:p>
        </w:tc>
      </w:tr>
      <w:tr>
        <w:trPr>
          <w:trHeight w:val="61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1792.82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1434.26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2151.38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17.93)</w:t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502.69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603.23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5.03)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BETA(94.65, 1693.63)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573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Without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BETA(98.09, 5100.34)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574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Second Line**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BETA(99.05, 10456.81)</w:t>
            </w:r>
          </w:p>
        </w:tc>
      </w:tr>
      <w:tr>
        <w:trPr>
          <w:trHeight w:val="61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BETA(86.76, 575.07)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BETA(87.86, 643.03)</w:t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**Utility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 Free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BETA(15.41, 2.72)</w:t>
            </w:r>
          </w:p>
        </w:tc>
      </w:tr>
      <w:tr>
        <w:trPr>
          <w:trHeight w:val="617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BETA(32.96, 17.75)</w:t>
            </w:r>
          </w:p>
        </w:tc>
      </w:tr>
      <w:tr>
        <w:trPr>
          <w:trHeight w:val="617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Disutility**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BRTYA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alpha_u_AE1, beta_u_AE1 (54.55, 66.67)</w:t>
            </w:r>
          </w:p>
        </w:tc>
      </w:tr>
      <w:tr>
        <w:trPr>
          <w:trHeight w:val="617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alpha_u_AE2, beta_u_AE2 (80.81, 344.51)</w:t>
            </w:r>
          </w:p>
        </w:tc>
      </w:tr>
      <w:tr>
        <w:trPr>
          <w:trHeight w:val="617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alpha_u_AE3, beta_u_AE3 (63.64, 113.14)</w:t>
            </w:r>
          </w:p>
        </w:tc>
      </w:tr>
      <w:tr>
        <w:trPr>
          <w:trHeight w:val="573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**Hazard Ratios**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OS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Dead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**Probability of Dying under Second-Line Treatment**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BETA(36.69, 179.13)</w:t>
            </w:r>
          </w:p>
        </w:tc>
      </w:tr>
      <w:tr>
        <w:trPr>
          <w:trHeight w:val="573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**Discount Rate**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2025-12-13T01:25:44Z</dcterms:modified>
  <cp:category/>
</cp:coreProperties>
</file>