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 Model Parameters Values: Baseline, Ranges and Distributions for Sensitivity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32"/>
        <w:gridCol w:w="2294"/>
        <w:gridCol w:w="2085"/>
        <w:gridCol w:w="2135"/>
        <w:gridCol w:w="1955"/>
        <w:gridCol w:w="4618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Case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**Cost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1.58)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1.67)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Bevacizumab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1425.84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14.26)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Subtyping Test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Administration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4.07)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Cost**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3485.23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2788.18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34.85)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1792.82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2151.38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17.93)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5.03)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BETA(94.65, 1693.63)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57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Without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BETA(98.09, 5100.34)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Second Line**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BETA(99.05, 10456.81)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BETA(86.76, 575.07)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BETA(87.86, 643.03)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**Utility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Free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BETA(15.41, 2.72)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BETA(32.96, 17.75)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Disutility**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alpha_u_AE1, beta_u_AE1 (54.55, 66.67)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alpha_u_AE2, beta_u_AE2 (80.81, 344.51)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alpha_u_AE3, beta_u_AE3 (63.64, 113.14)</w:t>
            </w:r>
          </w:p>
        </w:tc>
      </w:tr>
      <w:tr>
        <w:trPr>
          <w:trHeight w:val="573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**Hazard Ratios**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OS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Dead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**Probability of Dying under Second-Line Treatment**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BETA(36.69, 179.13)</w:t>
            </w:r>
          </w:p>
        </w:tc>
      </w:tr>
      <w:tr>
        <w:trPr>
          <w:trHeight w:val="573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**Discount Rate**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2025-12-11T22:12:11Z</dcterms:modified>
  <cp:category/>
</cp:coreProperties>
</file>