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Model Parameters Values: Baseline, Ranges and Distributions for Sensitivity Analysis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32"/>
        <w:gridCol w:w="2294"/>
        <w:gridCol w:w="2085"/>
        <w:gridCol w:w="2135"/>
        <w:gridCol w:w="1955"/>
        <w:gridCol w:w="4618"/>
      </w:tblGrid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 Case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Distribution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**Cost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FOLFOX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189.32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1.58)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1.67)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Bevacizumab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1425.84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1140.67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1711.01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14.26)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Subtyping Test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Administration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487.80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4.07)</w:t>
            </w:r>
          </w:p>
        </w:tc>
      </w:tr>
      <w:tr>
        <w:trPr>
          <w:trHeight w:val="57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Cost**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3485.23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2788.18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4182.28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34.85)</w:t>
            </w:r>
          </w:p>
        </w:tc>
      </w:tr>
      <w:tr>
        <w:trPr>
          <w:trHeight w:val="61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1792.82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1434.26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2151.38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17.93)</w:t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502.69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603.23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5.03)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BETA(94.65, 1693.63)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573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Without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BETA(98.09, 5100.34)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574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Second Line**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BETA(99.05, 10456.81)</w:t>
            </w:r>
          </w:p>
        </w:tc>
      </w:tr>
      <w:tr>
        <w:trPr>
          <w:trHeight w:val="61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BETA(86.76, 575.07)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BETA(87.86, 643.03)</w:t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**Utility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 Free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BETA(15.41, 2.72)</w:t>
            </w:r>
          </w:p>
        </w:tc>
      </w:tr>
      <w:tr>
        <w:trPr>
          <w:trHeight w:val="617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BETA(32.96, 17.75)</w:t>
            </w:r>
          </w:p>
        </w:tc>
      </w:tr>
      <w:tr>
        <w:trPr>
          <w:trHeight w:val="617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Disutility**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BRTYA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alpha_u_AE1, beta_u_AE1 (54.55, 66.67)</w:t>
            </w:r>
          </w:p>
        </w:tc>
      </w:tr>
      <w:tr>
        <w:trPr>
          <w:trHeight w:val="617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alpha_u_AE2, beta_u_AE2 (80.81, 344.51)</w:t>
            </w:r>
          </w:p>
        </w:tc>
      </w:tr>
      <w:tr>
        <w:trPr>
          <w:trHeight w:val="617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alpha_u_AE3, beta_u_AE3 (63.64, 113.14)</w:t>
            </w:r>
          </w:p>
        </w:tc>
      </w:tr>
      <w:tr>
        <w:trPr>
          <w:trHeight w:val="573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**Hazard Ratios**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OS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Dead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**Probability of Dying under Second-Line Treatment**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BETA(36.69, 179.13)</w:t>
            </w:r>
          </w:p>
        </w:tc>
      </w:tr>
      <w:tr>
        <w:trPr>
          <w:trHeight w:val="573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**Discount Rate**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2025-12-02T19:22:25Z</dcterms:modified>
  <cp:category/>
</cp:coreProperties>
</file>