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2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401D" w:rsidTr="0013401D">
        <w:tc>
          <w:tcPr>
            <w:tcW w:w="4788" w:type="dxa"/>
          </w:tcPr>
          <w:p w:rsidR="0013401D" w:rsidRPr="00EF11A5" w:rsidRDefault="0013401D" w:rsidP="0013401D">
            <w:pPr>
              <w:spacing w:line="480" w:lineRule="auto"/>
              <w:jc w:val="center"/>
              <w:rPr>
                <w:u w:val="single"/>
              </w:rPr>
            </w:pPr>
            <w:r w:rsidRPr="00EF11A5">
              <w:rPr>
                <w:u w:val="single"/>
              </w:rPr>
              <w:t>Functional Requirements</w:t>
            </w:r>
          </w:p>
        </w:tc>
        <w:tc>
          <w:tcPr>
            <w:tcW w:w="4788" w:type="dxa"/>
          </w:tcPr>
          <w:p w:rsidR="0013401D" w:rsidRPr="00EF11A5" w:rsidRDefault="0013401D" w:rsidP="0013401D">
            <w:pPr>
              <w:spacing w:line="480" w:lineRule="auto"/>
              <w:jc w:val="center"/>
              <w:rPr>
                <w:u w:val="single"/>
              </w:rPr>
            </w:pPr>
            <w:r w:rsidRPr="00EF11A5">
              <w:rPr>
                <w:u w:val="single"/>
              </w:rPr>
              <w:t>Non-functional Requirements</w:t>
            </w: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</w:t>
            </w:r>
            <w:r>
              <w:rPr>
                <w:rFonts w:cstheme="minorHAnsi"/>
                <w:sz w:val="24"/>
              </w:rPr>
              <w:t>n system will allow the user to interact with the display by touching the overlay.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Monitor display is still clear when the touch screen overlay is placed over it.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screen system will indefinitely poll the interface by constantly toggling the emitting diodes in sequence and monitoring the sensors.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The presence of visible light has minimal effect on the operation of the touch screen.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 xml:space="preserve">The touch screen system will </w:t>
            </w:r>
            <w:r>
              <w:rPr>
                <w:rFonts w:cstheme="minorHAnsi"/>
                <w:sz w:val="24"/>
              </w:rPr>
              <w:t>store the lines that in the case where a sensor does not detect an Infrared emitter.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Scalable: if more hardware is available, the hardware design and algorithms are easily adapted for more components.</w:t>
            </w: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 xml:space="preserve">The touch screen system will </w:t>
            </w:r>
            <w:r>
              <w:rPr>
                <w:rFonts w:cstheme="minorHAnsi"/>
                <w:sz w:val="24"/>
              </w:rPr>
              <w:t>apply a cursor action on the Operating System when a valid interception is determined from 2 lines.</w:t>
            </w:r>
          </w:p>
        </w:tc>
        <w:tc>
          <w:tcPr>
            <w:tcW w:w="4788" w:type="dxa"/>
          </w:tcPr>
          <w:p w:rsidR="0013401D" w:rsidRPr="00C043A9" w:rsidRDefault="0013401D" w:rsidP="0013401D">
            <w:pPr>
              <w:rPr>
                <w:rFonts w:cstheme="minorHAnsi"/>
                <w:sz w:val="24"/>
              </w:rPr>
            </w:pPr>
            <w:r w:rsidRPr="00C043A9">
              <w:rPr>
                <w:rFonts w:cstheme="minorHAnsi"/>
                <w:sz w:val="24"/>
              </w:rPr>
              <w:t>Portability: Attachable and detachable overlay.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screen system will differentiate between different cursor actions, like dragging and clicking.</w:t>
            </w:r>
          </w:p>
        </w:tc>
        <w:tc>
          <w:tcPr>
            <w:tcW w:w="4788" w:type="dxa"/>
          </w:tcPr>
          <w:p w:rsidR="0013401D" w:rsidRDefault="0013401D" w:rsidP="0013401D">
            <w:pPr>
              <w:spacing w:line="480" w:lineRule="auto"/>
            </w:pPr>
            <w:r>
              <w:t>Minimal delay applying the action to the OS.</w:t>
            </w:r>
          </w:p>
        </w:tc>
      </w:tr>
      <w:tr w:rsidR="0013401D" w:rsidTr="0013401D">
        <w:tc>
          <w:tcPr>
            <w:tcW w:w="4788" w:type="dxa"/>
          </w:tcPr>
          <w:p w:rsidR="0013401D" w:rsidRDefault="0013401D" w:rsidP="0013401D">
            <w:pPr>
              <w:spacing w:line="480" w:lineRule="auto"/>
              <w:jc w:val="center"/>
            </w:pPr>
          </w:p>
        </w:tc>
        <w:tc>
          <w:tcPr>
            <w:tcW w:w="4788" w:type="dxa"/>
          </w:tcPr>
          <w:p w:rsidR="0013401D" w:rsidRDefault="0013401D" w:rsidP="0013401D">
            <w:pPr>
              <w:spacing w:line="480" w:lineRule="auto"/>
            </w:pPr>
            <w:r>
              <w:t>Minimal display coverage of 22 inches.</w:t>
            </w:r>
          </w:p>
        </w:tc>
      </w:tr>
    </w:tbl>
    <w:p w:rsidR="0013401D" w:rsidRPr="0013401D" w:rsidRDefault="0013401D" w:rsidP="0013401D">
      <w:pPr>
        <w:spacing w:line="480" w:lineRule="auto"/>
        <w:jc w:val="center"/>
        <w:rPr>
          <w:u w:val="single"/>
        </w:rPr>
      </w:pPr>
      <w:r w:rsidRPr="0013401D">
        <w:rPr>
          <w:u w:val="single"/>
        </w:rPr>
        <w:t xml:space="preserve">Kiosk </w:t>
      </w:r>
      <w:r w:rsidRPr="0013401D">
        <w:rPr>
          <w:u w:val="single"/>
        </w:rPr>
        <w:t>S</w:t>
      </w:r>
      <w:r w:rsidRPr="0013401D">
        <w:rPr>
          <w:u w:val="single"/>
        </w:rPr>
        <w:t xml:space="preserve">upplementary </w:t>
      </w:r>
      <w:r w:rsidRPr="0013401D">
        <w:rPr>
          <w:u w:val="single"/>
        </w:rPr>
        <w:t>D</w:t>
      </w:r>
      <w:r w:rsidRPr="0013401D">
        <w:rPr>
          <w:u w:val="single"/>
        </w:rPr>
        <w:t>ocument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895F13">
        <w:rPr>
          <w:u w:val="single"/>
        </w:rPr>
        <w:t>Table 1: Functional and non-functional Requirements for the touch screen system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75505" cy="2544445"/>
            <wp:effectExtent l="0" t="0" r="0" b="8255"/>
            <wp:docPr id="5" name="Picture 5" descr="All_Emitt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_Emitters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895F13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1: All emitters ON, Effective touch area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167380" cy="2372995"/>
            <wp:effectExtent l="0" t="2858" r="0" b="0"/>
            <wp:docPr id="7" name="Picture 7" descr="C:\Users\Jonathan\AppData\Local\Microsoft\Windows\INetCache\Content.Word\emitter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AppData\Local\Microsoft\Windows\INetCache\Content.Word\emittersBo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316738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2: Bread board circuit of the emitter component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39920" cy="3327400"/>
            <wp:effectExtent l="0" t="0" r="0" b="6350"/>
            <wp:docPr id="6" name="Picture 6" descr="C:\Users\Jonathan\AppData\Local\Microsoft\Windows\INetCache\Content.Word\Senso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AppData\Local\Microsoft\Windows\INetCache\Content.Word\Sensor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3992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3: Bread board circuit of the sensor component</w:t>
      </w:r>
    </w:p>
    <w:p w:rsidR="0013401D" w:rsidRDefault="0013401D" w:rsidP="0013401D">
      <w:pPr>
        <w:pBdr>
          <w:bottom w:val="single" w:sz="6" w:space="1" w:color="auto"/>
        </w:pBdr>
        <w:spacing w:line="480" w:lineRule="auto"/>
      </w:pPr>
      <w:r w:rsidRPr="004C605B">
        <w:lastRenderedPageBreak/>
        <w:t>Section A.1 Hysteresis add-on</w:t>
      </w:r>
    </w:p>
    <w:p w:rsidR="0013401D" w:rsidRPr="004C605B" w:rsidRDefault="0013401D" w:rsidP="0013401D">
      <w:pPr>
        <w:spacing w:line="480" w:lineRule="auto"/>
      </w:pPr>
    </w:p>
    <w:p w:rsidR="0013401D" w:rsidRDefault="0013401D" w:rsidP="0013401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F375CCC" wp14:editId="79EFB9F9">
            <wp:extent cx="1550504" cy="26057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DD2AE4">
        <w:rPr>
          <w:u w:val="single"/>
        </w:rPr>
        <w:t>Figure A.1: Hysteresis configuration with a voltage comparator</w:t>
      </w:r>
    </w:p>
    <w:p w:rsidR="0013401D" w:rsidRDefault="0013401D" w:rsidP="0013401D">
      <w:pPr>
        <w:spacing w:line="480" w:lineRule="auto"/>
        <w:ind w:firstLine="720"/>
      </w:pPr>
      <w:r>
        <w:t>If a more consistent output voltage is needed that is less affected by the analog’s noise, a hysteresis can be used. A hysteresis in this sense means that the output state depends on the previous outputs. To implement this, 2 voltage thresholds are used to create a range where no change takes place.</w:t>
      </w:r>
    </w:p>
    <w:p w:rsidR="0013401D" w:rsidRDefault="0013401D" w:rsidP="0013401D">
      <w:r>
        <w:t>To calculate the upper threshold, voltage divider is used:</w:t>
      </w:r>
    </w:p>
    <w:p w:rsidR="0013401D" w:rsidRPr="006C6779" w:rsidRDefault="0013401D" w:rsidP="0013401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E8AAD" wp14:editId="34DB0D8D">
            <wp:simplePos x="0" y="0"/>
            <wp:positionH relativeFrom="margin">
              <wp:posOffset>63500</wp:posOffset>
            </wp:positionH>
            <wp:positionV relativeFrom="margin">
              <wp:posOffset>6192520</wp:posOffset>
            </wp:positionV>
            <wp:extent cx="1452880" cy="19602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Rh is connected to 5V due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= 5V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13401D" w:rsidRDefault="0013401D" w:rsidP="0013401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x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den>
        </m:f>
      </m:oMath>
    </w:p>
    <w:p w:rsidR="0013401D" w:rsidRPr="00610A13" w:rsidRDefault="0013401D" w:rsidP="0013401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2.7 V</w:t>
      </w:r>
    </w:p>
    <w:p w:rsidR="0013401D" w:rsidRDefault="0013401D" w:rsidP="0013401D">
      <w:r>
        <w:tab/>
      </w:r>
    </w:p>
    <w:p w:rsidR="0013401D" w:rsidRDefault="0013401D" w:rsidP="0013401D"/>
    <w:p w:rsidR="0013401D" w:rsidRDefault="0013401D" w:rsidP="0013401D"/>
    <w:p w:rsidR="0013401D" w:rsidRPr="000E7A87" w:rsidRDefault="0013401D" w:rsidP="0013401D">
      <w:pPr>
        <w:rPr>
          <w:u w:val="single"/>
        </w:rPr>
      </w:pPr>
      <w:r>
        <w:rPr>
          <w:u w:val="single"/>
        </w:rPr>
        <w:t xml:space="preserve">Figure A.2: Upper Threshold visualization </w:t>
      </w:r>
    </w:p>
    <w:p w:rsidR="0013401D" w:rsidRDefault="0013401D" w:rsidP="0013401D">
      <w:r>
        <w:t>To calculate the lower threshold, the same method is used:</w:t>
      </w:r>
    </w:p>
    <w:p w:rsidR="0013401D" w:rsidRPr="006C6779" w:rsidRDefault="0013401D" w:rsidP="0013401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A3BA0E" wp14:editId="6E259123">
            <wp:simplePos x="0" y="0"/>
            <wp:positionH relativeFrom="column">
              <wp:posOffset>-20320</wp:posOffset>
            </wp:positionH>
            <wp:positionV relativeFrom="paragraph">
              <wp:posOffset>45085</wp:posOffset>
            </wp:positionV>
            <wp:extent cx="1365250" cy="1843405"/>
            <wp:effectExtent l="0" t="0" r="635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Rh is connected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= GND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13401D" w:rsidRPr="006C6779" w:rsidRDefault="0013401D" w:rsidP="0013401D">
      <w:pPr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x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13401D" w:rsidRPr="00F22DE6" w:rsidRDefault="0013401D" w:rsidP="0013401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= 2.3 V</w:t>
      </w:r>
    </w:p>
    <w:p w:rsidR="0013401D" w:rsidRDefault="0013401D" w:rsidP="0013401D"/>
    <w:p w:rsidR="0013401D" w:rsidRDefault="0013401D" w:rsidP="0013401D"/>
    <w:p w:rsidR="0013401D" w:rsidRPr="00622029" w:rsidRDefault="0013401D" w:rsidP="0013401D">
      <w:pPr>
        <w:rPr>
          <w:u w:val="single"/>
        </w:rPr>
      </w:pPr>
      <w:r>
        <w:rPr>
          <w:u w:val="single"/>
        </w:rPr>
        <w:t xml:space="preserve">Figure A.3: Lower Threshold visualization 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23DD4B1" wp14:editId="09155036">
            <wp:extent cx="3983603" cy="2390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41" cy="23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FB2D9D" w:rsidRDefault="0013401D" w:rsidP="0013401D">
      <w:pPr>
        <w:jc w:val="center"/>
        <w:rPr>
          <w:u w:val="single"/>
        </w:rPr>
      </w:pPr>
      <w:r>
        <w:rPr>
          <w:u w:val="single"/>
        </w:rPr>
        <w:t>Figure A.4</w:t>
      </w:r>
      <w:r w:rsidRPr="00FB2D9D">
        <w:rPr>
          <w:u w:val="single"/>
        </w:rPr>
        <w:t>: Output of a Comparator with Hystere</w:t>
      </w:r>
      <w:r>
        <w:rPr>
          <w:u w:val="single"/>
        </w:rPr>
        <w:t xml:space="preserve">sis Showing Single Transition </w:t>
      </w:r>
      <w:r w:rsidRPr="00A50C88">
        <w:rPr>
          <w:highlight w:val="yellow"/>
          <w:u w:val="single"/>
        </w:rPr>
        <w:t>[1]</w:t>
      </w:r>
    </w:p>
    <w:p w:rsidR="0013401D" w:rsidRDefault="0013401D" w:rsidP="0013401D">
      <w:pPr>
        <w:pBdr>
          <w:bottom w:val="single" w:sz="6" w:space="1" w:color="auto"/>
        </w:pBdr>
        <w:spacing w:line="480" w:lineRule="auto"/>
        <w:ind w:firstLine="720"/>
      </w:pPr>
      <w:r>
        <w:t>In figure A.2 it presents that the output voltage transitions to logic HIGH, 5 V, when the input exceeds the upper threshold (VH) and it only transitions to logic LOW, 0 V, when the input is below the lower threshold (VL).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971675" cy="4580255"/>
            <wp:effectExtent l="0" t="0" r="9525" b="0"/>
            <wp:docPr id="2" name="Picture 2" descr="C:\Users\Jonathan\AppData\Local\Microsoft\Windows\INetCache\Content.Word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\AppData\Local\Microsoft\Windows\INetCache\Content.Word\Activity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524EAA">
        <w:rPr>
          <w:u w:val="single"/>
        </w:rPr>
        <w:t>Figure 4: Activity Diagram of hardware control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2966085" cy="4445000"/>
            <wp:effectExtent l="0" t="0" r="5715" b="0"/>
            <wp:docPr id="1" name="Picture 1" descr="C:\Users\Jonathan\AppData\Local\Microsoft\Windows\INetCache\Content.Word\TS_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\AppData\Local\Microsoft\Windows\INetCache\Content.Word\TS_Sequence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5: Sequence Diagram of hardware control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B2ED27" wp14:editId="1840BA3A">
            <wp:extent cx="2464904" cy="31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43" cy="31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524EAA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6: State Diagram for hardware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07A8" w:rsidTr="00E907A8">
        <w:tc>
          <w:tcPr>
            <w:tcW w:w="4788" w:type="dxa"/>
          </w:tcPr>
          <w:p w:rsidR="00E907A8" w:rsidRPr="00135C3C" w:rsidRDefault="00135C3C" w:rsidP="00E907A8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Hardware testing methods</w:t>
            </w:r>
            <w:bookmarkStart w:id="0" w:name="_GoBack"/>
            <w:bookmarkEnd w:id="0"/>
          </w:p>
        </w:tc>
        <w:tc>
          <w:tcPr>
            <w:tcW w:w="4788" w:type="dxa"/>
          </w:tcPr>
          <w:p w:rsidR="00E907A8" w:rsidRPr="00135C3C" w:rsidRDefault="00135C3C" w:rsidP="00E907A8">
            <w:pPr>
              <w:spacing w:line="480" w:lineRule="auto"/>
              <w:jc w:val="center"/>
              <w:rPr>
                <w:u w:val="single"/>
              </w:rPr>
            </w:pPr>
            <w:r w:rsidRPr="00135C3C">
              <w:rPr>
                <w:u w:val="single"/>
              </w:rPr>
              <w:t>Software testing methods</w:t>
            </w:r>
          </w:p>
        </w:tc>
      </w:tr>
      <w:tr w:rsidR="00E907A8" w:rsidTr="00E907A8">
        <w:tc>
          <w:tcPr>
            <w:tcW w:w="4788" w:type="dxa"/>
          </w:tcPr>
          <w:p w:rsidR="00E907A8" w:rsidRDefault="00E907A8" w:rsidP="00E907A8">
            <w:pPr>
              <w:spacing w:line="480" w:lineRule="auto"/>
              <w:jc w:val="center"/>
            </w:pPr>
          </w:p>
        </w:tc>
        <w:tc>
          <w:tcPr>
            <w:tcW w:w="4788" w:type="dxa"/>
          </w:tcPr>
          <w:p w:rsidR="00E907A8" w:rsidRDefault="00E907A8" w:rsidP="00E907A8">
            <w:pPr>
              <w:spacing w:line="480" w:lineRule="auto"/>
              <w:jc w:val="center"/>
            </w:pPr>
          </w:p>
        </w:tc>
      </w:tr>
      <w:tr w:rsidR="00E907A8" w:rsidTr="00E907A8">
        <w:tc>
          <w:tcPr>
            <w:tcW w:w="4788" w:type="dxa"/>
          </w:tcPr>
          <w:p w:rsidR="00E907A8" w:rsidRDefault="00E907A8" w:rsidP="00E907A8">
            <w:pPr>
              <w:spacing w:line="480" w:lineRule="auto"/>
              <w:jc w:val="center"/>
            </w:pPr>
          </w:p>
        </w:tc>
        <w:tc>
          <w:tcPr>
            <w:tcW w:w="4788" w:type="dxa"/>
          </w:tcPr>
          <w:p w:rsidR="00E907A8" w:rsidRDefault="00E907A8" w:rsidP="00E907A8">
            <w:pPr>
              <w:spacing w:line="480" w:lineRule="auto"/>
              <w:jc w:val="center"/>
            </w:pPr>
          </w:p>
        </w:tc>
      </w:tr>
    </w:tbl>
    <w:p w:rsidR="0013401D" w:rsidRDefault="0013401D" w:rsidP="00E907A8">
      <w:pPr>
        <w:spacing w:line="480" w:lineRule="auto"/>
        <w:jc w:val="center"/>
      </w:pPr>
    </w:p>
    <w:p w:rsidR="00E907A8" w:rsidRPr="00E907A8" w:rsidRDefault="00E907A8" w:rsidP="00E907A8">
      <w:pPr>
        <w:spacing w:line="480" w:lineRule="auto"/>
        <w:ind w:left="720" w:hanging="720"/>
        <w:jc w:val="center"/>
        <w:rPr>
          <w:u w:val="single"/>
        </w:rPr>
      </w:pPr>
      <w:r>
        <w:rPr>
          <w:u w:val="single"/>
        </w:rPr>
        <w:t>Table 2: Testing methods</w:t>
      </w:r>
    </w:p>
    <w:p w:rsidR="0013401D" w:rsidRDefault="0013401D" w:rsidP="0013401D">
      <w:pPr>
        <w:spacing w:line="480" w:lineRule="auto"/>
        <w:ind w:firstLine="720"/>
      </w:pPr>
    </w:p>
    <w:p w:rsidR="0013401D" w:rsidRDefault="0013401D" w:rsidP="0013401D">
      <w:pPr>
        <w:spacing w:line="480" w:lineRule="auto"/>
        <w:ind w:firstLine="720"/>
      </w:pPr>
    </w:p>
    <w:p w:rsidR="0013401D" w:rsidRDefault="0013401D" w:rsidP="0013401D">
      <w:pPr>
        <w:pBdr>
          <w:bottom w:val="single" w:sz="6" w:space="1" w:color="auto"/>
        </w:pBdr>
        <w:spacing w:line="480" w:lineRule="auto"/>
      </w:pPr>
      <w:r>
        <w:t>References</w:t>
      </w:r>
    </w:p>
    <w:p w:rsidR="0013401D" w:rsidRPr="00C46EBF" w:rsidRDefault="0013401D" w:rsidP="0013401D">
      <w:r>
        <w:t xml:space="preserve">[1] Texas Instruments, “TI Designs – Precision: Verified Design Comparator with Hysteresis Reference Design,” </w:t>
      </w:r>
      <w:r w:rsidRPr="00FA728D">
        <w:rPr>
          <w:i/>
        </w:rPr>
        <w:t>Texas Instruments</w:t>
      </w:r>
      <w:r>
        <w:t xml:space="preserve">, TIDU020A-May 2013-Revised June 2014. [Online]. Available: </w:t>
      </w:r>
      <w:hyperlink r:id="rId15" w:history="1">
        <w:r w:rsidRPr="00CF0F9A">
          <w:rPr>
            <w:rStyle w:val="Hyperlink"/>
          </w:rPr>
          <w:t>http://www.ti.com/lit/ug/tidu020a/tidu020a.pdf</w:t>
        </w:r>
      </w:hyperlink>
      <w:r>
        <w:t>. [Accessed: March 10, 2018].</w:t>
      </w:r>
    </w:p>
    <w:p w:rsidR="00E21506" w:rsidRDefault="00E21506"/>
    <w:sectPr w:rsidR="00E2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1D"/>
    <w:rsid w:val="0013401D"/>
    <w:rsid w:val="00135C3C"/>
    <w:rsid w:val="005478D5"/>
    <w:rsid w:val="00E21506"/>
    <w:rsid w:val="00E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0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0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ti.com/lit/ug/tidu020a/tidu020a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4</cp:revision>
  <dcterms:created xsi:type="dcterms:W3CDTF">2018-03-19T00:33:00Z</dcterms:created>
  <dcterms:modified xsi:type="dcterms:W3CDTF">2018-03-19T00:40:00Z</dcterms:modified>
</cp:coreProperties>
</file>