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La rama revisada fue: cer-suite-cl-local-core-cloud</w:t>
      </w:r>
    </w:p>
    <w:p>
      <w:pPr>
        <w:spacing w:after="120"/>
      </w:pPr>
      <w:r>
        <w:t>A continuación se presenta la evaluación técnica de los archivos de diferencias (diffs).</w:t>
      </w:r>
    </w:p>
    <w:p>
      <w:pPr>
        <w:spacing w:after="120"/>
      </w:pPr>
      <w:r>
        <w:t>1. Auditoría de Cambios en Procesamiento de XML Grandes e Invoice Data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04/06/2026 - 05/06/2026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src/main/java/com/elrosado/cersuitecloudlocalcore/service/XmlGeneratorService.java</w:t>
      </w:r>
    </w:p>
    <w:p>
      <w:pPr>
        <w:pStyle w:val="ListBullet"/>
        <w:spacing w:after="40"/>
      </w:pPr>
      <w:r>
        <w:t>src/main/java/com/elrosado/cersuitecloudlocalcore/domain/model/InvoiceData.java</w:t>
      </w:r>
    </w:p>
    <w:p>
      <w:pPr>
        <w:pStyle w:val="ListBullet"/>
        <w:spacing w:after="40"/>
      </w:pPr>
      <w:r>
        <w:t>src/main/java/com/elrosado/cersuitecloudlocalcore/domain/model/TaxType.java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Ajuste del flujo de lectura de XML pesados utilizando streaming para evitar la sobrecarga de memoria heap.</w:t>
      </w:r>
    </w:p>
    <w:p>
      <w:pPr>
        <w:pStyle w:val="ListBullet"/>
        <w:spacing w:after="40"/>
      </w:pPr>
      <w:r>
        <w:t>Integración de propiedades de formato específicas de taxtype y datos de facturación para la estructuración de comprobantes electrónicos generados.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Se corrigieron errores en el procesamiento de facturas con tamaños de archivo elevados y se ajustaron los datos de impuestos para la facturación local.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2. Auditoría de Cambios en Kubernetes y Dockerfiles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05/06/2026 - 16/06/2026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Dockerfile</w:t>
      </w:r>
    </w:p>
    <w:p>
      <w:pPr>
        <w:pStyle w:val="ListBullet"/>
        <w:spacing w:after="40"/>
      </w:pPr>
      <w:r>
        <w:t>docker/dev/Dockerfile.dev</w:t>
      </w:r>
    </w:p>
    <w:p>
      <w:pPr>
        <w:pStyle w:val="ListBullet"/>
        <w:spacing w:after="40"/>
      </w:pPr>
      <w:r>
        <w:t>k8s/deployment.yaml</w:t>
      </w:r>
    </w:p>
    <w:p>
      <w:pPr>
        <w:pStyle w:val="ListBullet"/>
        <w:spacing w:after="40"/>
      </w:pPr>
      <w:r>
        <w:t>k8s/configmap.yaml</w:t>
      </w:r>
    </w:p>
    <w:p>
      <w:pPr>
        <w:pStyle w:val="ListBullet"/>
        <w:spacing w:after="40"/>
      </w:pPr>
      <w:r>
        <w:t>k8s/secret.yaml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Modificación del Dockerfile principal para habilitar la compilación multi-etapa (multi-stage) optimizando el tamaño final de la imagen Java.</w:t>
      </w:r>
    </w:p>
    <w:p>
      <w:pPr>
        <w:pStyle w:val="ListBullet"/>
        <w:spacing w:after="40"/>
      </w:pPr>
      <w:r>
        <w:t>Ajuste en los manifiestos de Kubernetes: adición de volumenes dedicados en deployment.yaml, eliminación de dependencias JWT locales redundantes y parametrización de variables en secret.yaml y configmap.yaml.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Se optimizó el proceso de compilación del contenedor Docker y se actualizó la infraestructura en Kubernetes para el despliegue dinámico en ambientes de prueba y producción.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3. Auditoría de Cambios en Desacoplamiento de GCP y Biblioteca PubSub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06/06/2026 - 16/06/2026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pom.xml</w:t>
      </w:r>
    </w:p>
    <w:p>
      <w:pPr>
        <w:pStyle w:val="ListBullet"/>
        <w:spacing w:after="40"/>
      </w:pPr>
      <w:r>
        <w:t>src/main/java/com/elrosado/cersuitecloudlocalcore/infrastructure/adapter/out/messaging/PubSubClient.java</w:t>
      </w:r>
    </w:p>
    <w:p>
      <w:pPr>
        <w:pStyle w:val="ListBullet"/>
        <w:spacing w:after="40"/>
      </w:pPr>
      <w:r>
        <w:t>Libs/jlib-pubsub-1.0.0.jar (referencia de dependencia local)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Remoción de las dependencias globales directas del SDK de Google Cloud Platform de mensajería del pom.xml.</w:t>
      </w:r>
    </w:p>
    <w:p>
      <w:pPr>
        <w:pStyle w:val="ListBullet"/>
        <w:spacing w:after="40"/>
      </w:pPr>
      <w:r>
        <w:t>Migración al uso de la biblioteca de mensajería empaquetada internamente (`jlib-pubsub`) para simplificar y unificar las colas de mensajería pub/sub locales.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Se sustituyó el proveedor directo de la nube de Google Cloud PubSub por una librería propia más liviana y reutilizable que optimiza las colas de procesamiento.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4. Auditoría de Cambios en Gestión de Archivos de Logs y Configuraciones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11/06/2026 - 18/06/2026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src/main/resources/logback-spring.xml</w:t>
      </w:r>
    </w:p>
    <w:p>
      <w:pPr>
        <w:pStyle w:val="ListBullet"/>
        <w:spacing w:after="40"/>
      </w:pPr>
      <w:r>
        <w:t>src/main/resources/application-dev.yml</w:t>
      </w:r>
    </w:p>
    <w:p>
      <w:pPr>
        <w:pStyle w:val="ListBullet"/>
        <w:spacing w:after="40"/>
      </w:pPr>
      <w:r>
        <w:t>.gitignore</w:t>
      </w:r>
    </w:p>
    <w:p>
      <w:pPr>
        <w:pStyle w:val="ListBullet"/>
        <w:spacing w:after="40"/>
      </w:pPr>
      <w:r>
        <w:t>logs/app.log (eliminado)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Eliminación física de archivos de logs en caliente `app.log` del control de versiones.</w:t>
      </w:r>
    </w:p>
    <w:p>
      <w:pPr>
        <w:pStyle w:val="ListBullet"/>
        <w:spacing w:after="40"/>
      </w:pPr>
      <w:r>
        <w:t>Configuración de logback-spring.xml para rotar y estructurar las trazas de logs del contenedor en consola de manera asíncrona.</w:t>
      </w:r>
    </w:p>
    <w:p>
      <w:pPr>
        <w:pStyle w:val="ListBullet"/>
        <w:spacing w:after="40"/>
      </w:pPr>
      <w:r>
        <w:t>Inyección de propiedades de conexión y depuración en el archivo yml de desarrollo.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Baja</w:t>
      </w:r>
    </w:p>
    <w:p>
      <w:pPr>
        <w:pStyle w:val="ListBullet"/>
        <w:spacing w:after="40"/>
      </w:pPr>
      <w:r>
        <w:t>Explicación al PM: Se removieron archivos temporales y locales del repositorio git y se configuró correctamente la salida estándar de registros del microservicio.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5. Auditoría de Cambios en Soporte Multi-Base de Datos SQL (MultiSql)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17/06/2026 - 18/06/2026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src/main/java/com/elrosado/cersuitecloudlocalcore/infrastructure/config/MultiSqlConfig.java</w:t>
      </w:r>
    </w:p>
    <w:p>
      <w:pPr>
        <w:pStyle w:val="ListBullet"/>
        <w:spacing w:after="40"/>
      </w:pPr>
      <w:r>
        <w:t>src/main/java/com/elrosado/cersuitecloudlocalcore/infrastructure/config/ArtsEcDataSourceConfig.java</w:t>
      </w:r>
    </w:p>
    <w:p>
      <w:pPr>
        <w:pStyle w:val="ListBullet"/>
        <w:spacing w:after="40"/>
      </w:pPr>
      <w:r>
        <w:t>src/main/java/com/elrosado/cersuitecloudlocalcore/infrastructure/config/DevsDataSourceConfig.java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Implementación de configuración de persistencia dual en Spring Boot usando múltiples instancias de DataSource.</w:t>
      </w:r>
    </w:p>
    <w:p>
      <w:pPr>
        <w:pStyle w:val="ListBullet"/>
        <w:spacing w:after="40"/>
      </w:pPr>
      <w:r>
        <w:t>Configuración separada de EntityManagerFactory y TransactionManager correspondientes a los esquemas `arts_ec` (producción/transaccional local) y `devs` (desarrollo/monitoreo).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Se configuró el sistema para que pueda consultar y persistir información de manera simultánea en dos bases de datos SQL distintas y separadas.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6. Auditoría de Cambios en Procesos de Negocio, Cierre FTP y Reversos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13/06/2026 - 01/07/2026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src/main/java/com/elrosado/cersuitecloudlocalcore/domain/port/out/UpdateCedPadRucPort.java</w:t>
      </w:r>
    </w:p>
    <w:p>
      <w:pPr>
        <w:pStyle w:val="ListBullet"/>
        <w:spacing w:after="40"/>
      </w:pPr>
      <w:r>
        <w:t>src/main/java/com/elrosado/cersuitecloudlocalcore/domain/model/PaymentReversal.java</w:t>
      </w:r>
    </w:p>
    <w:p>
      <w:pPr>
        <w:pStyle w:val="ListBullet"/>
        <w:spacing w:after="40"/>
      </w:pPr>
      <w:r>
        <w:t>src/main/java/com/elrosado/cersuitecloudlocalcore/infrastructure/adapter/in/scheduler/ReprocessErrorSchedulerAdapter.java</w:t>
      </w:r>
    </w:p>
    <w:p>
      <w:pPr>
        <w:pStyle w:val="ListBullet"/>
        <w:spacing w:after="40"/>
      </w:pPr>
      <w:r>
        <w:t>src/main/java/com/elrosado/cersuitecloudlocalcore/infrastructure/adapter/out/ftp/FileSenderFTPCierreDiaAdapter.java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Migración y refactorización de flujos de negocio legados. Carga programada del maestro de RUC/Cédulas, lógica de reversión de transacciones de tarjetas (pagos, consumos) basadas en tramas ISO-8583.</w:t>
      </w:r>
    </w:p>
    <w:p>
      <w:pPr>
        <w:pStyle w:val="ListBullet"/>
        <w:spacing w:after="40"/>
      </w:pPr>
      <w:r>
        <w:t>Adaptador de scheduler de reintento de errores genéricos e implementación de canal de transferencia FTP seguro para el cierre diario de ventas y lotes.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Alta</w:t>
      </w:r>
    </w:p>
    <w:p>
      <w:pPr>
        <w:pStyle w:val="ListBullet"/>
        <w:spacing w:after="40"/>
      </w:pPr>
      <w:r>
        <w:t>Explicación al PM: Se completó la migración técnica de las reglas de negocio principales hacia el nuevo esquema del worker (incluyendo reversos financieros, automatizaciones y reportes FTP).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7. Auditoría de Cambios en Ajustes Finales, Excepciones y Reglas Generales</w:t>
      </w:r>
    </w:p>
    <w:p>
      <w:pPr>
        <w:spacing w:after="120"/>
      </w:pPr>
      <w:r/>
      <w:r>
        <w:rPr>
          <w:b/>
        </w:rPr>
        <w:t>Técnico Responsable:</w:t>
      </w:r>
      <w:r>
        <w:t xml:space="preserve"> rmunoz</w:t>
      </w:r>
    </w:p>
    <w:p>
      <w:pPr>
        <w:spacing w:after="120"/>
      </w:pPr>
      <w:r/>
      <w:r>
        <w:rPr>
          <w:b/>
        </w:rPr>
        <w:t>Fecha del Cambio:</w:t>
      </w:r>
      <w:r>
        <w:t xml:space="preserve"> 02/07/2026 - 03/07/2026</w:t>
      </w:r>
    </w:p>
    <w:p>
      <w:pPr>
        <w:spacing w:after="120"/>
      </w:pPr>
      <w:r>
        <w:t>Archivos Analizados:</w:t>
      </w:r>
    </w:p>
    <w:p>
      <w:pPr>
        <w:pStyle w:val="ListBullet"/>
        <w:spacing w:after="40"/>
      </w:pPr>
      <w:r>
        <w:t>.claude_rules/security.md</w:t>
      </w:r>
    </w:p>
    <w:p>
      <w:pPr>
        <w:pStyle w:val="ListBullet"/>
        <w:spacing w:after="40"/>
      </w:pPr>
      <w:r>
        <w:t>src/main/java/com/elrosado/cersuitecloudlocalcore/domain/exception/SearchInventarioStickerException.java</w:t>
      </w:r>
    </w:p>
    <w:p>
      <w:pPr>
        <w:pStyle w:val="ListBullet"/>
        <w:spacing w:after="40"/>
      </w:pPr>
      <w:r>
        <w:t>src/main/java/com/elrosado/cersuitecloudlocalcore/domain/model/JournalEntry.java</w:t>
      </w:r>
    </w:p>
    <w:p>
      <w:pPr>
        <w:spacing w:after="120"/>
      </w:pPr>
      <w:r>
        <w:t>Evidencia Técnica:</w:t>
      </w:r>
    </w:p>
    <w:p>
      <w:pPr>
        <w:pStyle w:val="ListBullet"/>
        <w:spacing w:after="40"/>
      </w:pPr>
      <w:r>
        <w:t>Configuración de reglas y buenas prácticas de seguridad locales en formato Markdown.</w:t>
      </w:r>
    </w:p>
    <w:p>
      <w:pPr>
        <w:pStyle w:val="ListBullet"/>
        <w:spacing w:after="40"/>
      </w:pPr>
      <w:r>
        <w:t>Adición de excepciones estructuradas para el inventario de stickers y mapeo de diario de transacciones (journaling) en BD local.</w:t>
      </w:r>
    </w:p>
    <w:p>
      <w:pPr>
        <w:spacing w:after="120"/>
      </w:pPr>
      <w:r>
        <w:t>Resultado del Modelo:</w:t>
      </w:r>
    </w:p>
    <w:p>
      <w:pPr>
        <w:pStyle w:val="ListBullet"/>
        <w:spacing w:after="40"/>
      </w:pPr>
      <w:r>
        <w:t>Veredicto: Coherente / Funcional</w:t>
      </w:r>
    </w:p>
    <w:p>
      <w:pPr>
        <w:pStyle w:val="ListBullet"/>
        <w:spacing w:after="40"/>
      </w:pPr>
      <w:r>
        <w:t>Complejidad Técnica Real: Media</w:t>
      </w:r>
    </w:p>
    <w:p>
      <w:pPr>
        <w:pStyle w:val="ListBullet"/>
        <w:spacing w:after="40"/>
      </w:pPr>
      <w:r>
        <w:t>Explicación al PM: Se añadieron protecciones de excepciones de negocio y la documentación reglamentaria de seguridad del sistema.</w:t>
      </w:r>
    </w:p>
    <w:p>
      <w:pPr>
        <w:pStyle w:val="ListBullet"/>
        <w:spacing w:after="40"/>
      </w:pPr>
      <w:r>
        <w:t>Alerta de Auditoría: Ninguna</w:t>
      </w:r>
    </w:p>
    <w:p>
      <w:pPr>
        <w:spacing w:after="120"/>
      </w:pPr>
      <w:r>
        <w:t>Resumen Ejecutivo para Toma de Decisiones</w:t>
      </w:r>
    </w:p>
    <w:p>
      <w:pPr>
        <w:spacing w:after="120"/>
      </w:pPr>
      <w:r>
        <w:t>Este cuadro resume la información para que usted y el PM aprueben las horas reportadas.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Técnico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/ Módulo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Evaluación de Valor</w:t>
            </w:r>
          </w:p>
        </w:tc>
        <w:tc>
          <w:tcPr>
            <w:tcW w:type="dxa" w:w="1872"/>
            <w:shd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Acción Recomendada</w:t>
            </w:r>
          </w:p>
        </w:tc>
      </w:tr>
      <w:tr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  <w:tc>
          <w:tcPr>
            <w:tcW w:type="dxa" w:w="1872"/>
          </w:tcPr>
          <w:p>
            <w:r/>
            <w:r>
              <w:t>:---</w:t>
            </w:r>
          </w:p>
        </w:tc>
      </w:tr>
      <w:tr>
        <w:tc>
          <w:tcPr>
            <w:tcW w:type="dxa" w:w="1872"/>
          </w:tcPr>
          <w:p>
            <w:r/>
            <w:r>
              <w:t>04/06/2026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Procesamiento XML e Invoice Data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Corrección en tratamiento de archivos de facturación pesados.</w:t>
            </w:r>
          </w:p>
        </w:tc>
      </w:tr>
      <w:tr>
        <w:tc>
          <w:tcPr>
            <w:tcW w:type="dxa" w:w="1872"/>
          </w:tcPr>
          <w:p>
            <w:r/>
            <w:r>
              <w:t>05/06/2026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Infraestructura K8s y Docker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Modificación multi-etapa y adaptaciones en despliegues.</w:t>
            </w:r>
          </w:p>
        </w:tc>
      </w:tr>
      <w:tr>
        <w:tc>
          <w:tcPr>
            <w:tcW w:type="dxa" w:w="1872"/>
          </w:tcPr>
          <w:p>
            <w:r/>
            <w:r>
              <w:t>06/06/2026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Desacoplamiento GCP PubSub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Migración del bus de GCP PubSub nativo a biblioteca interna compacta.</w:t>
            </w:r>
          </w:p>
        </w:tc>
      </w:tr>
      <w:tr>
        <w:tc>
          <w:tcPr>
            <w:tcW w:type="dxa" w:w="1872"/>
          </w:tcPr>
          <w:p>
            <w:r/>
            <w:r>
              <w:t>11/06/2026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Gestión de Logs y Configs YML</w:t>
            </w:r>
          </w:p>
        </w:tc>
        <w:tc>
          <w:tcPr>
            <w:tcW w:type="dxa" w:w="1872"/>
          </w:tcPr>
          <w:p>
            <w:r/>
            <w:r>
              <w:t>Bajo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Rotación de logs con logback-spring y configuraciones YML de desarrollo.</w:t>
            </w:r>
          </w:p>
        </w:tc>
      </w:tr>
      <w:tr>
        <w:tc>
          <w:tcPr>
            <w:tcW w:type="dxa" w:w="1872"/>
          </w:tcPr>
          <w:p>
            <w:r/>
            <w:r>
              <w:t>17/06/2026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Conexiones Multi-Base de Datos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Implementación de múltiples datasources SQL para arts_ec y devs.</w:t>
            </w:r>
          </w:p>
        </w:tc>
      </w:tr>
      <w:tr>
        <w:tc>
          <w:tcPr>
            <w:tcW w:type="dxa" w:w="1872"/>
          </w:tcPr>
          <w:p>
            <w:r/>
            <w:r>
              <w:t>13/06/2026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Procesos de Negocio, Cierres y Reversos</w:t>
            </w:r>
          </w:p>
        </w:tc>
        <w:tc>
          <w:tcPr>
            <w:tcW w:type="dxa" w:w="1872"/>
          </w:tcPr>
          <w:p>
            <w:r/>
            <w:r>
              <w:t>Alto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Migración de schedulers, maestro de RUC, cierre diario FTP y reversos.</w:t>
            </w:r>
          </w:p>
        </w:tc>
      </w:tr>
      <w:tr>
        <w:tc>
          <w:tcPr>
            <w:tcW w:type="dxa" w:w="1872"/>
          </w:tcPr>
          <w:p>
            <w:r/>
            <w:r>
              <w:t>02/07/2026</w:t>
            </w:r>
          </w:p>
        </w:tc>
        <w:tc>
          <w:tcPr>
            <w:tcW w:type="dxa" w:w="1872"/>
          </w:tcPr>
          <w:p>
            <w:r/>
            <w:r>
              <w:t>rmunoz</w:t>
            </w:r>
          </w:p>
        </w:tc>
        <w:tc>
          <w:tcPr>
            <w:tcW w:type="dxa" w:w="1872"/>
          </w:tcPr>
          <w:p>
            <w:r/>
            <w:r>
              <w:t>Seguridad y Excepciones Especiales</w:t>
            </w:r>
          </w:p>
        </w:tc>
        <w:tc>
          <w:tcPr>
            <w:tcW w:type="dxa" w:w="1872"/>
          </w:tcPr>
          <w:p>
            <w:r/>
            <w:r>
              <w:t>Medio</w:t>
            </w:r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Aprobar</w:t>
            </w:r>
            <w:r>
              <w:t>. Estructura de excepciones personalizadas de inventario y seguridad.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