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La rama revisada fue: cer-suite-cl-local-transaction</w:t>
      </w:r>
    </w:p>
    <w:p>
      <w:pPr>
        <w:spacing w:after="120"/>
      </w:pPr>
      <w:r>
        <w:t>A continuación se presenta la evaluación técnica de los archivos de diferencias (diffs).</w:t>
      </w:r>
    </w:p>
    <w:p>
      <w:pPr>
        <w:spacing w:after="120"/>
      </w:pPr>
      <w:r>
        <w:t>1. Auditoría de Cambios en Configuración de Reglas del Asistente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15/06/2026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CLAUDE.md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Se agregaron referencias en el archivo de directrices de desarrollo local `CLAUDE.md` para enlazar las reglas automáticas del proyecto (`rules_and_prompt.md`, `sharedlibs.md`, `RTD_VENTAS_CLOUD.md` y `ALCANCE_COMPONENTE.md`), permitiendo al asistente de IA aplicar el contexto arquitectónico de manera correcta.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</w:t>
      </w:r>
    </w:p>
    <w:p>
      <w:pPr>
        <w:pStyle w:val="ListBullet"/>
        <w:spacing w:after="40"/>
      </w:pPr>
      <w:r>
        <w:t>Complejidad Técnica Real: Baja</w:t>
      </w:r>
    </w:p>
    <w:p>
      <w:pPr>
        <w:pStyle w:val="ListBullet"/>
        <w:spacing w:after="40"/>
      </w:pPr>
      <w:r>
        <w:t>Explicación al PM: Se documentaron las reglas y guías técnicas en el archivo de configuración del asistente IA para asegurar que siga los estándares del proyecto en sus futuras modificaciones.</w:t>
      </w:r>
    </w:p>
    <w:p>
      <w:pPr>
        <w:pStyle w:val="ListBullet"/>
        <w:spacing w:after="40"/>
      </w:pPr>
      <w:r>
        <w:t>Alerta de Auditoría: Ninguna</w:t>
      </w:r>
    </w:p>
    <w:p>
      <w:pPr>
        <w:spacing w:after="120"/>
      </w:pPr>
      <w:r>
        <w:t>2. Auditoría de Cambios en Base de Datos SAADMIN, Rediseño de GCS y Enrutador de Pub/Sub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02/07/2026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CLAUDE.md</w:t>
      </w:r>
    </w:p>
    <w:p>
      <w:pPr>
        <w:pStyle w:val="ListBullet"/>
        <w:spacing w:after="40"/>
      </w:pPr>
      <w:r>
        <w:t>k8s/configmap.yaml</w:t>
      </w:r>
    </w:p>
    <w:p>
      <w:pPr>
        <w:pStyle w:val="ListBullet"/>
        <w:spacing w:after="40"/>
      </w:pPr>
      <w:r>
        <w:t>migration.md</w:t>
      </w:r>
    </w:p>
    <w:p>
      <w:pPr>
        <w:pStyle w:val="ListBullet"/>
        <w:spacing w:after="40"/>
      </w:pPr>
      <w:r>
        <w:t>pom.xml</w:t>
      </w:r>
    </w:p>
    <w:p>
      <w:pPr>
        <w:pStyle w:val="ListBullet"/>
        <w:spacing w:after="40"/>
      </w:pPr>
      <w:r>
        <w:t>src/main/java/com/elrosado/transaction/CerSuiteClLocalTransactionApplication.java</w:t>
      </w:r>
    </w:p>
    <w:p>
      <w:pPr>
        <w:pStyle w:val="ListBullet"/>
        <w:spacing w:after="40"/>
      </w:pPr>
      <w:r>
        <w:t>src/main/java/com/elrosado/transaction/application/service/SyncReplicationClientService.java</w:t>
      </w:r>
    </w:p>
    <w:p>
      <w:pPr>
        <w:pStyle w:val="ListBullet"/>
        <w:spacing w:after="40"/>
      </w:pPr>
      <w:r>
        <w:t>src/main/java/com/elrosado/transaction/application/service/TransferClosingDayService.java</w:t>
      </w:r>
    </w:p>
    <w:p>
      <w:pPr>
        <w:pStyle w:val="ListBullet"/>
        <w:spacing w:after="40"/>
      </w:pPr>
      <w:r>
        <w:t>src/main/java/com/elrosado/transaction/application/service/TransferJournalService.java</w:t>
      </w:r>
    </w:p>
    <w:p>
      <w:pPr>
        <w:pStyle w:val="ListBullet"/>
        <w:spacing w:after="40"/>
      </w:pPr>
      <w:r>
        <w:t>src/main/java/com/elrosado/transaction/domain/port/out/CentralEndpointPort.java</w:t>
      </w:r>
    </w:p>
    <w:p>
      <w:pPr>
        <w:pStyle w:val="ListBullet"/>
        <w:spacing w:after="40"/>
      </w:pPr>
      <w:r>
        <w:t>src/main/java/com/elrosado/transaction/infrastructure/adapter/in/messaging/PubSubMessageRouterAdapter.java</w:t>
      </w:r>
    </w:p>
    <w:p>
      <w:pPr>
        <w:pStyle w:val="ListBullet"/>
        <w:spacing w:after="40"/>
      </w:pPr>
      <w:r>
        <w:t>src/main/java/com/elrosado/transaction/infrastructure/adapter/in/scheduler/ReplicationClientSchedulerAdapter.java</w:t>
      </w:r>
    </w:p>
    <w:p>
      <w:pPr>
        <w:pStyle w:val="ListBullet"/>
        <w:spacing w:after="40"/>
      </w:pPr>
      <w:r>
        <w:t>src/main/java/com/elrosado/transaction/infrastructure/adapter/out/db/entity/StoreEntity.java</w:t>
      </w:r>
    </w:p>
    <w:p>
      <w:pPr>
        <w:pStyle w:val="ListBullet"/>
        <w:spacing w:after="40"/>
      </w:pPr>
      <w:r>
        <w:t>src/main/java/com/elrosado/transaction/infrastructure/adapter/out/db/repository/JpaStoreRepository.java</w:t>
      </w:r>
    </w:p>
    <w:p>
      <w:pPr>
        <w:pStyle w:val="ListBullet"/>
        <w:spacing w:after="40"/>
      </w:pPr>
      <w:r>
        <w:t>src/main/java/com/elrosado/transaction/infrastructure/adapter/out/web/CentralEndpointAdapter.java</w:t>
      </w:r>
    </w:p>
    <w:p>
      <w:pPr>
        <w:pStyle w:val="ListBullet"/>
        <w:spacing w:after="40"/>
      </w:pPr>
      <w:r>
        <w:t>src/main/java/com/elrosado/transaction/infrastructure/adapter/out/web/dto/CentralFileTransferRequest.java</w:t>
      </w:r>
    </w:p>
    <w:p>
      <w:pPr>
        <w:pStyle w:val="ListBullet"/>
        <w:spacing w:after="40"/>
      </w:pPr>
      <w:r>
        <w:t>src/main/java/com/elrosado/transaction/infrastructure/config/CentralProperties.java</w:t>
      </w:r>
    </w:p>
    <w:p>
      <w:pPr>
        <w:pStyle w:val="ListBullet"/>
        <w:spacing w:after="40"/>
      </w:pPr>
      <w:r>
        <w:t>src/main/java/com/elrosado/transaction/infrastructure/config/CentralWebClientConfig.java</w:t>
      </w:r>
    </w:p>
    <w:p>
      <w:pPr>
        <w:pStyle w:val="ListBullet"/>
        <w:spacing w:after="40"/>
      </w:pPr>
      <w:r>
        <w:t>src/main/java/com/elrosado/transaction/infrastructure/config/GcsStorageProperties.java</w:t>
      </w:r>
    </w:p>
    <w:p>
      <w:pPr>
        <w:pStyle w:val="ListBullet"/>
        <w:spacing w:after="40"/>
      </w:pPr>
      <w:r>
        <w:t>src/main/java/com/elrosado/transaction/infrastructure/config/StoreRegistry.java</w:t>
      </w:r>
    </w:p>
    <w:p>
      <w:pPr>
        <w:pStyle w:val="ListBullet"/>
        <w:spacing w:after="40"/>
      </w:pPr>
      <w:r>
        <w:t>src/main/resources/application-local.yml</w:t>
      </w:r>
    </w:p>
    <w:p>
      <w:pPr>
        <w:pStyle w:val="ListBullet"/>
        <w:spacing w:after="40"/>
      </w:pPr>
      <w:r>
        <w:t>src/main/resources/application-prod.yml</w:t>
      </w:r>
    </w:p>
    <w:p>
      <w:pPr>
        <w:pStyle w:val="ListBullet"/>
        <w:spacing w:after="40"/>
      </w:pPr>
      <w:r>
        <w:t>src/main/resources/application.yml</w:t>
      </w:r>
    </w:p>
    <w:p>
      <w:pPr>
        <w:pStyle w:val="ListBullet"/>
        <w:spacing w:after="40"/>
      </w:pPr>
      <w:r>
        <w:t>src/test/java/com/elrosado/transaction/unit/application/service/SyncReplicationClientServiceTest.java</w:t>
      </w:r>
    </w:p>
    <w:p>
      <w:pPr>
        <w:pStyle w:val="ListBullet"/>
        <w:spacing w:after="40"/>
      </w:pPr>
      <w:r>
        <w:t>src/test/java/com/elrosado/transaction/unit/application/service/TransferClosingDayServiceTest.java</w:t>
      </w:r>
    </w:p>
    <w:p>
      <w:pPr>
        <w:pStyle w:val="ListBullet"/>
        <w:spacing w:after="40"/>
      </w:pPr>
      <w:r>
        <w:t>src/test/java/com/elrosado/transaction/unit/application/service/TransferJournalServiceTest.java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/>
      <w:r>
        <w:rPr>
          <w:b/>
        </w:rPr>
        <w:t>Persistencia y Registro Dinámico de Tiendas (TC-04):</w:t>
      </w:r>
      <w:r>
        <w:t xml:space="preserve"> Se eliminó la lista estática de tiendas quemada en código (`STORE_CODES`). En su lugar, se implementó una conexión de base de datos a `SAADMIN.MN_TIENDA` utilizando Spring Boot JPA (`StoreEntity`, `JpaStoreRepository`). Se creó `StoreRegistry` que al arrancar (`@PostConstruct`) carga las tiendas activas multi-local (`findByIndActivoAndMultiLocal(1, 1)`) y formatea los códigos a 3 dígitos (ej: `065`). En caso de falla en la conexión de base de datos al inicio, el servicio continúa ejecutándose con un warning.</w:t>
      </w:r>
    </w:p>
    <w:p>
      <w:pPr>
        <w:pStyle w:val="ListBullet"/>
        <w:spacing w:after="40"/>
      </w:pPr>
      <w:r/>
      <w:r>
        <w:rPr>
          <w:b/>
        </w:rPr>
        <w:t>Rediseño a Bucket GCS Único Compartido:</w:t>
      </w:r>
      <w:r>
        <w:t xml:space="preserve"> Se reemplazó el uso de buckets separados para cada tipo de archivo por un único bucket común (`GCS_BUCKET`), organizando los archivos mediante prefijos de rutas parametrizables en `GcsStorageProperties` (`CIERREDIA`, `JOURNAL`, `REPLICA_CLIENTE`, `TRANSFERIR`, `PROCESADO`, `ERROR`).</w:t>
      </w:r>
    </w:p>
    <w:p>
      <w:pPr>
        <w:pStyle w:val="ListBullet"/>
        <w:spacing w:after="40"/>
      </w:pPr>
      <w:r/>
      <w:r>
        <w:rPr>
          <w:b/>
        </w:rPr>
        <w:t>Suscripciones y Enrutador de Pub/Sub:</w:t>
      </w:r>
      <w:r>
        <w:t xml:space="preserve"> Se actualizaron las suscripciones en `PubSubMessageRouterAdapter` para leerse de manera dinámica usando índices del array `pubsub.subscriptions`. El método para extraer el código de tienda (`extractStoreId`) fue rediseñado para recuperar el `storeCode` del segundo segmento en la estructura de rutas del bucket GCS compartido: `{prefix}/{storeCode}/{folder}/{file}`.</w:t>
      </w:r>
    </w:p>
    <w:p>
      <w:pPr>
        <w:pStyle w:val="ListBullet"/>
        <w:spacing w:after="40"/>
      </w:pPr>
      <w:r/>
      <w:r>
        <w:rPr>
          <w:b/>
        </w:rPr>
        <w:t>Refactorización de Cliente HTTP Central (Legacy):</w:t>
      </w:r>
      <w:r>
        <w:t xml:space="preserve"> Se adaptó `CentralEndpointAdapter` para utilizar un bean `WebClient` centralizado (`CentralWebClientConfig`) que controla los timeouts e inyecta propiedades externas (`CentralProperties`). El campo `type` de las tramas enviadas a Central (`CIERREDIA`, `JOURNAL`, `REPLICA_CLIENTE`) ahora se lee dinámicamente de propiedades y se encapsula en endpoints específicos (`sendClosingDayFile` y `sendJournalFile`).</w:t>
      </w:r>
    </w:p>
    <w:p>
      <w:pPr>
        <w:pStyle w:val="ListBullet"/>
        <w:spacing w:after="40"/>
      </w:pPr>
      <w:r/>
      <w:r>
        <w:rPr>
          <w:b/>
        </w:rPr>
        <w:t>Remoción de Dependencias KMS:</w:t>
      </w:r>
      <w:r>
        <w:t xml:space="preserve"> Se eliminaron las dependencias de descifrado local de GCP KMS y Secret Manager (`jlib-secretmanager` y `jlib-kms` en `pom.xml`) dado que ya no son requeridas por las nuevas lógicas del microservicio.</w:t>
      </w:r>
    </w:p>
    <w:p>
      <w:pPr>
        <w:pStyle w:val="ListBullet"/>
        <w:spacing w:after="40"/>
      </w:pPr>
      <w:r/>
      <w:r>
        <w:rPr>
          <w:b/>
        </w:rPr>
        <w:t>Pruebas Unitarias de Negocio:</w:t>
      </w:r>
      <w:r>
        <w:t xml:space="preserve"> Se reestructuraron las pruebas unitarias en `SyncReplicationClientServiceTest`, `TransferClosingDayServiceTest` y `TransferJournalServiceTest` para validar los comportamientos de rutas compartidas de GCS y mockear las nuevas propiedades.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Se integró la base de datos `SAADMIN` para cargar de forma automática y dinámica las tiendas habilitadas para la réplica de clientes. Asimismo, se simplificó el almacenamiento en Google Cloud Storage a través de un único bucket de archivos estructurado por carpetas, y se optimizó la mensajería Pub/Sub y el adaptador de comunicación WebClient con el sistema Central.</w:t>
      </w:r>
    </w:p>
    <w:p>
      <w:pPr>
        <w:pStyle w:val="ListBullet"/>
        <w:spacing w:after="40"/>
      </w:pPr>
      <w:r>
        <w:t>Alerta de Auditoría: Ninguna</w:t>
      </w:r>
    </w:p>
    <w:p>
      <w:pPr>
        <w:spacing w:after="120"/>
      </w:pPr>
      <w:r>
        <w:t>Resumen Ejecutivo para Toma de Decisiones</w:t>
      </w:r>
    </w:p>
    <w:p>
      <w:pPr>
        <w:spacing w:after="120"/>
      </w:pPr>
      <w:r>
        <w:t>Este cuadro resume la información para que usted y el PM aprueben las horas reportadas.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Técnico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 / Módulo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Evaluación de Valor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Acción Recomendada</w:t>
            </w:r>
          </w:p>
        </w:tc>
      </w:tr>
      <w:tr>
        <w:tc>
          <w:tcPr>
            <w:tcW w:type="dxa" w:w="1872"/>
          </w:tcPr>
          <w:p>
            <w:r/>
            <w:r>
              <w:t>:---</w:t>
            </w:r>
          </w:p>
        </w:tc>
        <w:tc>
          <w:tcPr>
            <w:tcW w:type="dxa" w:w="1872"/>
          </w:tcPr>
          <w:p>
            <w:r/>
            <w:r>
              <w:t>:---</w:t>
            </w:r>
          </w:p>
        </w:tc>
        <w:tc>
          <w:tcPr>
            <w:tcW w:type="dxa" w:w="1872"/>
          </w:tcPr>
          <w:p>
            <w:r/>
            <w:r>
              <w:t>:---</w:t>
            </w:r>
          </w:p>
        </w:tc>
        <w:tc>
          <w:tcPr>
            <w:tcW w:type="dxa" w:w="1872"/>
          </w:tcPr>
          <w:p>
            <w:r/>
            <w:r>
              <w:t>:---</w:t>
            </w:r>
          </w:p>
        </w:tc>
        <w:tc>
          <w:tcPr>
            <w:tcW w:type="dxa" w:w="1872"/>
          </w:tcPr>
          <w:p>
            <w:r/>
            <w:r>
              <w:t>:---</w:t>
            </w:r>
          </w:p>
        </w:tc>
      </w:tr>
      <w:tr>
        <w:tc>
          <w:tcPr>
            <w:tcW w:type="dxa" w:w="1872"/>
          </w:tcPr>
          <w:p>
            <w:r/>
            <w:r>
              <w:t>15/06/2026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Configuración CLAUDE.md</w:t>
            </w:r>
          </w:p>
        </w:tc>
        <w:tc>
          <w:tcPr>
            <w:tcW w:type="dxa" w:w="1872"/>
          </w:tcPr>
          <w:p>
            <w:r/>
            <w:r>
              <w:t>Bajo</w:t>
            </w:r>
          </w:p>
        </w:tc>
        <w:tc>
          <w:tcPr>
            <w:tcW w:type="dxa" w:w="1872"/>
          </w:tcPr>
          <w:p>
            <w:r/>
            <w:r/>
            <w:r>
              <w:rPr>
                <w:b/>
              </w:rPr>
              <w:t>Aprobar</w:t>
            </w:r>
            <w:r>
              <w:t>. Inclusión de referencias a las reglas de desarrollo del microservicio.</w:t>
            </w:r>
          </w:p>
        </w:tc>
      </w:tr>
      <w:tr>
        <w:tc>
          <w:tcPr>
            <w:tcW w:type="dxa" w:w="1872"/>
          </w:tcPr>
          <w:p>
            <w:r/>
            <w:r>
              <w:t>02/07/2026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Cierre FTP, Base de Datos SAADMIN, Bucket Único GCS y PubSub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/>
            <w:r>
              <w:rPr>
                <w:b/>
              </w:rPr>
              <w:t>Aprobar</w:t>
            </w:r>
            <w:r>
              <w:t>. Integración dinámica de base de datos para tiendas, unificación de buckets GCS y refactorización completa de comunicación legacy y Pub/Sub.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