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60"/>
        <w:jc w:val="center"/>
      </w:pPr>
      <w:r>
        <w:rPr>
          <w:rFonts w:ascii="Arial" w:hAnsi="Arial"/>
          <w:b w:val="0"/>
          <w:sz w:val="21"/>
        </w:rPr>
        <w:t>Parecer Arquitetural — SwingRush</w:t>
      </w:r>
    </w:p>
    <w:p>
      <w:pPr>
        <w:pStyle w:val="Heading1"/>
        <w:spacing w:before="240" w:after="120"/>
      </w:pPr>
      <w:r>
        <w:rPr>
          <w:rFonts w:ascii="Arial" w:hAnsi="Arial"/>
          <w:b w:val="0"/>
          <w:sz w:val="21"/>
        </w:rPr>
        <w:t>Resumo executivo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 xml:space="preserve">O SwingRush possui uma base web moderna, bem organizada e adequada para a atual fase de lançamento. A recomendação é manter o site como canal de aquisição e conteúdo, usar o </w:t>
      </w:r>
      <w:r>
        <w:rPr>
          <w:rFonts w:ascii="Arial" w:hAnsi="Arial"/>
          <w:b/>
          <w:sz w:val="21"/>
        </w:rPr>
        <w:t>Vivenu como sistema de registro</w:t>
      </w:r>
      <w:r>
        <w:rPr>
          <w:rFonts w:ascii="Arial" w:hAnsi="Arial"/>
          <w:b w:val="0"/>
          <w:sz w:val="21"/>
        </w:rPr>
        <w:t xml:space="preserve"> para clientes, pedidos e ingressos, e avaliar o </w:t>
      </w:r>
      <w:r>
        <w:rPr>
          <w:rFonts w:ascii="Arial" w:hAnsi="Arial"/>
          <w:b/>
          <w:sz w:val="21"/>
        </w:rPr>
        <w:t>Vivenu Engage</w:t>
      </w:r>
      <w:r>
        <w:rPr>
          <w:rFonts w:ascii="Arial" w:hAnsi="Arial"/>
          <w:b w:val="0"/>
          <w:sz w:val="21"/>
        </w:rPr>
        <w:t xml:space="preserve"> como solução principal para CRM e email marketing.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SMS deve entrar apenas quando houver necessidade operacional clara e consentimento explícito do público. Dessa forma, o negócio evita criar integrações complexas cedo demais e preserva uma única fonte confiável para os dados de ticketing.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Sobre a dúvida comercial levantada pelo cliente: Brevo é uma alternativa relevante porque combina email e SMS e cobra principalmente por volume de envio, o que pode parecer mais eficiente para listas grandes e pouco acionadas. Mesmo assim, para o momento atual, a recomendação continua sendo começar por Vivenu + Vivenu Engage, porque o desafio principal ainda não é apenas o custo de disparo; é garantir que waitlist, consentimentos, compradores e participação em eventos estejam conectados ao sistema de ticketing desde o início.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Nenhuma integração será implementada nesta fase. Este documento registra a direção recomendada para a evolução futura.</w:t>
      </w:r>
    </w:p>
    <w:p>
      <w:pPr>
        <w:pStyle w:val="Heading1"/>
        <w:spacing w:before="240" w:after="120"/>
      </w:pPr>
      <w:r>
        <w:rPr>
          <w:rFonts w:ascii="Arial" w:hAnsi="Arial"/>
          <w:b w:val="0"/>
          <w:sz w:val="21"/>
        </w:rPr>
        <w:t>Diagnóstico da arquitetura atual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 site é construído com Next.js, TypeScript e Sanity CMS. A arquitetura já separa corretamente a camada visual dos dados de conteúdo, o que permite evoluir páginas e conteúdo sem reescrever os componentes.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Pontos fortes: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Estrutura atualizada de Next.js com páginas rápidas e foco em SEO.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CMS desacoplado da interface: Sanity é usado para conteúdo, sem misturar regras de negócio nos componentes visuais.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Páginas de cidades, desafios e instruções já têm contratos de dados claros, facilitando a expansão para novos mercados.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Preview editorial e publicação de conteúdo estão limitados às áreas que efetivamente usam CMS.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Já existe uma estrutura inicial para captação de RSVP, que pode ser substituída por uma waitlist real no momento adequado.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Lacunas para a fase comercial: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 captação atual não cria uma base de leads segmentável nem registra consentimentos de marketing.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O site ainda não está conectado ao ticketing, CRM ou automações de campanha.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Não há uma origem única consolidando compras, histórico de presença e preferências por cidade.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Essas lacunas são naturais para a etapa atual do produto; não indicam necessidade de refazer a plataforma.</w:t>
      </w:r>
    </w:p>
    <w:p>
      <w:pPr>
        <w:pStyle w:val="Heading1"/>
        <w:spacing w:before="240" w:after="120"/>
      </w:pPr>
      <w:r>
        <w:rPr>
          <w:rFonts w:ascii="Arial" w:hAnsi="Arial"/>
          <w:b w:val="0"/>
          <w:sz w:val="21"/>
        </w:rPr>
        <w:t>Recomendação</w:t>
      </w:r>
    </w:p>
    <w:p>
      <w:pPr>
        <w:pStyle w:val="Heading2"/>
        <w:spacing w:before="160" w:after="80"/>
      </w:pPr>
      <w:r>
        <w:rPr>
          <w:rFonts w:ascii="Arial" w:hAnsi="Arial"/>
          <w:b w:val="0"/>
          <w:sz w:val="21"/>
        </w:rPr>
        <w:t>Vivenu como sistema de registro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 Vivenu deve ser a fonte principal de verdade para clientes, pedidos, tickets, transferências, cancelamentos e comportamento relacionado ao evento. O site não deve tentar replicar essa responsabilidade em Sanity, Resend ou em uma base paralela.</w:t>
      </w:r>
    </w:p>
    <w:p>
      <w:pPr>
        <w:pStyle w:val="Heading2"/>
        <w:spacing w:before="160" w:after="80"/>
      </w:pPr>
      <w:r>
        <w:rPr>
          <w:rFonts w:ascii="Arial" w:hAnsi="Arial"/>
          <w:b w:val="0"/>
          <w:sz w:val="21"/>
        </w:rPr>
        <w:t>Vivenu Engage para CRM e email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Antes de contratar uma ferramenta adicional de marketing, a recomendação é validar o Vivenu Engage. Por estar conectado aos dados de ticketing, ele tende a reduzir exportações manuais, integrações frágeis e divergências entre listas de marketing e compradores reais.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Isso permite criar segmentos práticos, como: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Pessoas interessadas em uma cidade específica.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Compradores de uma edição anterior que ainda não compraram para a próxima.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Participantes recorrentes ou compradores VIP.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Pessoas que receberam uma campanha, mas não concluíram a compra.</w:t>
      </w:r>
    </w:p>
    <w:p>
      <w:pPr>
        <w:pStyle w:val="Heading2"/>
        <w:spacing w:before="160" w:after="80"/>
      </w:pPr>
      <w:r>
        <w:rPr>
          <w:rFonts w:ascii="Arial" w:hAnsi="Arial"/>
          <w:b w:val="0"/>
          <w:sz w:val="21"/>
        </w:rPr>
        <w:t>SMS apenas com opt-in e necessidade comprovada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SMS deve ser tratado como um canal de urgência — por exemplo, abertura de pré-venda, último lote ou lembrete de evento — e não como substituto de email.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 número de telefone não representa autorização para marketing. A inscrição para SMS deve ser voluntária, explícita e registrada no checkout ou formulário de waitlist. Quando esse canal passar a ser necessário, deve ser adotado um fornecedor especializado que atenda às exigências de consentimento e mensageria do mercado em que o evento ocorre.</w:t>
      </w:r>
    </w:p>
    <w:p>
      <w:pPr>
        <w:pStyle w:val="Heading1"/>
        <w:spacing w:before="240" w:after="120"/>
      </w:pPr>
      <w:r>
        <w:rPr>
          <w:rFonts w:ascii="Arial" w:hAnsi="Arial"/>
          <w:b w:val="0"/>
          <w:sz w:val="21"/>
        </w:rPr>
        <w:t>Por que esta é a melhor opção agora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Opção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Avaliação para o SwingRush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Vivenu + Vivenu Engage + SMS especializado quando necessário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Recomendação.</w:t>
            </w:r>
            <w:r>
              <w:rPr>
                <w:rFonts w:ascii="Arial" w:hAnsi="Arial"/>
                <w:b w:val="0"/>
                <w:sz w:val="19"/>
              </w:rPr>
              <w:t xml:space="preserve"> Mantém dados de ticketing e segmentação próximos, reduz complexidade operacional e evita pagar por uma arquitetura maior do que a necessária.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Klaviyo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Excelente produto, mas sua economia baseada em perfis pode se tornar pouco atrativa para uma marca de eventos que ativa cada cidade apenas em janelas sazonais.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ActiveCampaign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Boa alternativa caso a operação exija email e SMS em uma única interface. Porém, o custo por contatos armazenados pode pesar conforme a base histórica nacional cresce.</w:t>
            </w:r>
          </w:p>
        </w:tc>
      </w:tr>
      <w:tr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Brevo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9"/>
              </w:rPr>
              <w:t>Alternativa forte caso o custo por envio seja prioritário em grande escala. Exige avaliar com mais cuidado a integração e a sincronização com o Vivenu.</w:t>
            </w:r>
          </w:p>
        </w:tc>
      </w:tr>
    </w:tbl>
    <w:p>
      <w:pPr>
        <w:spacing w:after="120" w:line="259" w:lineRule="auto"/>
      </w:pPr>
      <w:r>
        <w:rPr>
          <w:rFonts w:ascii="Arial" w:hAnsi="Arial"/>
          <w:b w:val="0"/>
          <w:sz w:val="21"/>
        </w:rPr>
        <w:t>A principal vantagem da recomendação é evitar duas bases concorrentes de clientes. O dado de compra nasce no ticketing; marketing usa esse dado para segmentar e comunicar, sem se tornar a fonte oficial do histórico do cliente.</w:t>
      </w:r>
    </w:p>
    <w:p>
      <w:pPr>
        <w:pStyle w:val="Heading2"/>
        <w:spacing w:before="160" w:after="80"/>
      </w:pPr>
      <w:r>
        <w:rPr>
          <w:rFonts w:ascii="Arial" w:hAnsi="Arial"/>
          <w:b w:val="0"/>
          <w:sz w:val="21"/>
        </w:rPr>
        <w:t>Observação sobre Brevo e listas grandes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O argumento a favor do Brevo é válido: se uma cidade pequena tiver cerca de 15 mil emails, uma cidade grande chegar a 80 mil emails, e a operação enviar apenas algumas campanhas por ano, pagar por envio pode ser financeiramente melhor do que pagar por todos os contatos armazenados.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Esse ponto torna o Brevo uma opção que vale manter no radar, especialmente para uma fase posterior em que o SwingRush já tenha bases nacionais grandes, campanhas pouco frequentes e necessidade comprovada de operar email e SMS no mesmo painel.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Ainda assim, ele não deve ser a primeira decisão arquitetural por três motivos:</w:t>
      </w:r>
    </w:p>
    <w:p>
      <w:pPr>
        <w:pStyle w:val="ListNumber"/>
        <w:spacing w:after="60"/>
      </w:pPr>
      <w:r>
        <w:rPr>
          <w:rFonts w:ascii="Arial" w:hAnsi="Arial"/>
          <w:b w:val="0"/>
          <w:sz w:val="21"/>
        </w:rPr>
        <w:t xml:space="preserve">O primeiro problema a resolver é a </w:t>
      </w:r>
      <w:r>
        <w:rPr>
          <w:rFonts w:ascii="Arial" w:hAnsi="Arial"/>
          <w:b/>
          <w:sz w:val="21"/>
        </w:rPr>
        <w:t>qualidade do dado</w:t>
      </w:r>
      <w:r>
        <w:rPr>
          <w:rFonts w:ascii="Arial" w:hAnsi="Arial"/>
          <w:b w:val="0"/>
          <w:sz w:val="21"/>
        </w:rPr>
        <w:t>, não apenas o custo de envio. A waitlist precisa nascer com cidade de interesse, origem, consentimento e histórico futuro de compra.</w:t>
      </w:r>
    </w:p>
    <w:p>
      <w:pPr>
        <w:pStyle w:val="ListNumber"/>
        <w:spacing w:after="60"/>
      </w:pPr>
      <w:r>
        <w:rPr>
          <w:rFonts w:ascii="Arial" w:hAnsi="Arial"/>
          <w:b w:val="0"/>
          <w:sz w:val="21"/>
        </w:rPr>
        <w:t>O Vivenu já será o sistema mais próximo do dado transacional: comprador, pedido, ingresso, presença, reembolso, transferência e edição do evento.</w:t>
      </w:r>
    </w:p>
    <w:p>
      <w:pPr>
        <w:pStyle w:val="ListNumber"/>
        <w:spacing w:after="60"/>
      </w:pPr>
      <w:r>
        <w:rPr>
          <w:rFonts w:ascii="Arial" w:hAnsi="Arial"/>
          <w:b w:val="0"/>
          <w:sz w:val="21"/>
        </w:rPr>
        <w:t>Se o Brevo entrar cedo demais, a equipe pode acabar mantendo uma base de marketing separada da base real de ticketing, criando retrabalho de sincronização, risco de divergência e mais pontos de falha operacional.</w:t>
      </w:r>
    </w:p>
    <w:p>
      <w:pPr>
        <w:spacing w:after="120" w:line="259" w:lineRule="auto"/>
      </w:pPr>
      <w:r>
        <w:rPr>
          <w:rFonts w:ascii="Arial" w:hAnsi="Arial"/>
          <w:b w:val="0"/>
          <w:sz w:val="21"/>
        </w:rPr>
        <w:t>Portanto, a recomendação prática é: começar com Vivenu como sistema de registro e validar o Vivenu Engage para CRM/email. Caso a análise comercial mostre que o custo por contato do Engage não atende bases muito grandes e pouco acionadas, o Brevo pode ser avaliado como camada de disparo no futuro, recebendo segmentos já qualificados a partir do Vivenu, em vez de virar a fonte principal dos dados do cliente.</w:t>
      </w:r>
    </w:p>
    <w:p>
      <w:pPr>
        <w:pStyle w:val="Heading1"/>
        <w:spacing w:before="240" w:after="120"/>
      </w:pPr>
      <w:r>
        <w:rPr>
          <w:rFonts w:ascii="Arial" w:hAnsi="Arial"/>
          <w:b w:val="0"/>
          <w:sz w:val="21"/>
        </w:rPr>
        <w:t>Roadmap recomendado</w:t>
      </w:r>
    </w:p>
    <w:p>
      <w:pPr>
        <w:pStyle w:val="ListNumber"/>
        <w:spacing w:after="60"/>
      </w:pPr>
      <w:r>
        <w:rPr>
          <w:rFonts w:ascii="Arial" w:hAnsi="Arial"/>
          <w:b/>
          <w:sz w:val="21"/>
        </w:rPr>
        <w:t>Waitlist por cidade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Criar formulário de interesse por cidade no site.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Registrar email, cidade de interesse, origem da campanha e consentimento de email.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Solicitar telefone somente se houver uma proposta clara de SMS com consentimento opcional.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Evitar tratar a waitlist como uma lista genérica; cada contato precisa nascer ligado a uma cidade ou mercado.</w:t>
      </w:r>
    </w:p>
    <w:p>
      <w:pPr>
        <w:pStyle w:val="ListNumber"/>
        <w:spacing w:after="60"/>
      </w:pPr>
      <w:r>
        <w:rPr>
          <w:rFonts w:ascii="Arial" w:hAnsi="Arial"/>
          <w:b/>
          <w:sz w:val="21"/>
        </w:rPr>
        <w:t>Consentimentos e segmentação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Manter registro de data, texto aceito e canal autorizado para cada consentimento.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Criar segmentos por cidade, interesse, compra e recorrência.</w:t>
      </w:r>
    </w:p>
    <w:p>
      <w:pPr>
        <w:pStyle w:val="ListNumber"/>
        <w:spacing w:after="60"/>
      </w:pPr>
      <w:r>
        <w:rPr>
          <w:rFonts w:ascii="Arial" w:hAnsi="Arial"/>
          <w:b/>
          <w:sz w:val="21"/>
        </w:rPr>
        <w:t>Sincronização com ticketing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Conectar eventos relevantes do Vivenu: compra, cancelamento, transferência e participação.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Atualizar os atributos de marketing sem duplicar o sistema de pedidos no site.</w:t>
      </w:r>
    </w:p>
    <w:p>
      <w:pPr>
        <w:pStyle w:val="ListNumber"/>
        <w:spacing w:after="60"/>
      </w:pPr>
      <w:r>
        <w:rPr>
          <w:rFonts w:ascii="Arial" w:hAnsi="Arial"/>
          <w:b/>
          <w:sz w:val="21"/>
        </w:rPr>
        <w:t>Automação comercial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Usar email para anúncio, conteúdo, pré-venda e relacionamento.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Usar SMS de forma limitada para comunicações urgentes e apenas para contatos opt-in.</w:t>
      </w:r>
    </w:p>
    <w:p>
      <w:pPr>
        <w:pStyle w:val="Heading1"/>
        <w:spacing w:before="240" w:after="120"/>
      </w:pPr>
      <w:r>
        <w:rPr>
          <w:rFonts w:ascii="Arial" w:hAnsi="Arial"/>
          <w:b w:val="0"/>
          <w:sz w:val="21"/>
        </w:rPr>
        <w:t>Riscos e pré-requisitos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Confirmar com o Vivenu o escopo comercial e técnico do Engage, especialmente recursos de segmentação, automação, exportação de dados e roadmap de SMS.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Validar requisitos legais e operacionais de consentimento para os países e estados em que os eventos ocorrerão.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Definir uma política de privacidade e textos de consentimento antes de ativar a waitlist.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Definir quem é responsável pela governança dos dados, campanhas e atendimento aos pedidos de descadastro.</w:t>
      </w:r>
    </w:p>
    <w:p>
      <w:pPr>
        <w:pStyle w:val="ListBullet"/>
        <w:spacing w:after="60"/>
      </w:pPr>
      <w:r>
        <w:rPr>
          <w:rFonts w:ascii="Arial" w:hAnsi="Arial"/>
          <w:b w:val="0"/>
          <w:sz w:val="21"/>
        </w:rPr>
        <w:t>Não iniciar integrações diretas com múltiplas ferramentas de marketing antes de definir a fonte de verdade e o fluxo de dados.</w:t>
      </w:r>
    </w:p>
    <w:p>
      <w:pPr>
        <w:pStyle w:val="Heading1"/>
        <w:spacing w:before="240" w:after="120"/>
      </w:pPr>
      <w:r>
        <w:rPr>
          <w:rFonts w:ascii="Arial" w:hAnsi="Arial"/>
          <w:b w:val="0"/>
          <w:sz w:val="21"/>
        </w:rPr>
        <w:t>Próximos passos</w:t>
      </w:r>
    </w:p>
    <w:p>
      <w:pPr>
        <w:pStyle w:val="ListNumber"/>
        <w:spacing w:after="60"/>
      </w:pPr>
      <w:r>
        <w:rPr>
          <w:rFonts w:ascii="Arial" w:hAnsi="Arial"/>
          <w:b w:val="0"/>
          <w:sz w:val="21"/>
        </w:rPr>
        <w:t>Solicitar uma demonstração comercial e técnica do Vivenu Engage.</w:t>
      </w:r>
    </w:p>
    <w:p>
      <w:pPr>
        <w:pStyle w:val="ListNumber"/>
        <w:spacing w:after="60"/>
      </w:pPr>
      <w:r>
        <w:rPr>
          <w:rFonts w:ascii="Arial" w:hAnsi="Arial"/>
          <w:b w:val="0"/>
          <w:sz w:val="21"/>
        </w:rPr>
        <w:t>Confirmar se SMS é uma necessidade do primeiro ciclo de lançamento ou uma etapa posterior.</w:t>
      </w:r>
    </w:p>
    <w:p>
      <w:pPr>
        <w:pStyle w:val="ListNumber"/>
        <w:spacing w:after="60"/>
      </w:pPr>
      <w:r>
        <w:rPr>
          <w:rFonts w:ascii="Arial" w:hAnsi="Arial"/>
          <w:b w:val="0"/>
          <w:sz w:val="21"/>
        </w:rPr>
        <w:t>Definir o formulário, a política de consentimento e as cidades prioritárias para a waitlist.</w:t>
      </w:r>
    </w:p>
    <w:p>
      <w:pPr>
        <w:pStyle w:val="ListNumber"/>
        <w:spacing w:after="60"/>
      </w:pPr>
      <w:r>
        <w:rPr>
          <w:rFonts w:ascii="Arial" w:hAnsi="Arial"/>
          <w:b w:val="0"/>
          <w:sz w:val="21"/>
        </w:rPr>
        <w:t>Após essas decisões, desenhar a integração técnica sem alterar a arquitetura editorial já existente.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