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A02218003311-30393941700174.docx</w:t>
      </w:r>
    </w:p>
    <w:p>
      <w:r>
        <w:t xml:space="preserve">Répartition de la </w:t>
      </w:r>
      <w:r>
        <w:rPr>
          <w:highlight w:val="yellow"/>
        </w:rPr>
        <w:t>valeur</w:t>
      </w:r>
      <w:r>
        <w:t xml:space="preserve"> ajoutée,</w:t>
      </w:r>
    </w:p>
    <w:p>
      <w:r>
        <w:t xml:space="preserve">Un forfait de 13 </w:t>
      </w:r>
      <w:r>
        <w:rPr>
          <w:highlight w:val="yellow"/>
        </w:rPr>
        <w:t>euros</w:t>
      </w:r>
      <w:r>
        <w:t xml:space="preserve"> brut sera appliqué sur le salaire de base. </w:t>
      </w:r>
      <w:r>
        <w:t xml:space="preserve"> brut sera appliqué sur le salaire de </w:t>
      </w:r>
      <w:r>
        <w:rPr>
          <w:highlight w:val="yellow"/>
        </w:rPr>
        <w:t>base</w:t>
      </w:r>
      <w:r>
        <w:t xml:space="preserve">. </w:t>
      </w:r>
    </w:p>
    <w:p>
      <w:r>
        <w:t xml:space="preserve">Cette </w:t>
      </w:r>
      <w:r>
        <w:rPr>
          <w:highlight w:val="yellow"/>
        </w:rPr>
        <w:t>augmentation</w:t>
      </w:r>
      <w:r>
        <w:t xml:space="preserve"> s’applique à l’ensemble des salariés tels que défini à l’article 1 à l’exclusion des cadres.</w:t>
      </w:r>
    </w:p>
    <w:p>
      <w:r>
        <w:t xml:space="preserve">2.2 – Prime </w:t>
      </w:r>
      <w:r>
        <w:rPr>
          <w:highlight w:val="yellow"/>
        </w:rPr>
        <w:t>exceptionnelle</w:t>
      </w:r>
      <w:r/>
    </w:p>
    <w:p>
      <w:r>
        <w:t xml:space="preserve">Une prime </w:t>
      </w:r>
      <w:r>
        <w:rPr>
          <w:highlight w:val="yellow"/>
        </w:rPr>
        <w:t>exceptionnelle</w:t>
      </w:r>
      <w:r>
        <w:t xml:space="preserve"> de 50 euros bruts hors personnel cadre sera également attribuée à l’ensemble des collaborateurs présents dans les effectifs à la date de signature du présent accord.</w:t>
      </w:r>
      <w:r>
        <w:t xml:space="preserve"> de 50 </w:t>
      </w:r>
      <w:r>
        <w:rPr>
          <w:highlight w:val="yellow"/>
        </w:rPr>
        <w:t>euros</w:t>
      </w:r>
      <w:r>
        <w:t xml:space="preserve"> bruts hors personnel cadre sera également attribuée à l’ensemble des collaborateurs présents dans les effectifs à la date de signature du présent accord.</w:t>
      </w:r>
    </w:p>
    <w:p>
      <w:r>
        <w:t xml:space="preserve">Ainsi  rappelle dans ce cadre que les collaborateurs ne sont pas tenus de répondre aux mails et appels téléphoniques en dehors des horaires de travail, sauf situation </w:t>
      </w:r>
      <w:r>
        <w:rPr>
          <w:highlight w:val="yellow"/>
        </w:rPr>
        <w:t>exceptionnelle</w:t>
      </w:r>
      <w:r>
        <w:t xml:space="preserve"> et impérieuse motivée par le bon fonctionnement du service et dûment justifiée.</w:t>
      </w:r>
    </w:p>
    <w:p>
      <w:r>
        <w:t xml:space="preserve">D’une manière </w:t>
      </w:r>
      <w:r>
        <w:rPr>
          <w:highlight w:val="yellow"/>
        </w:rPr>
        <w:t>générale</w:t>
      </w:r>
      <w:r>
        <w:t>, les managers veilleront également à la « déconnexion » de leur équipe. Cela passera notamment par une attitude exemplaire dans l'utilisation des outils numériques, en se déplaçant si possible pour parler à ses collaborateurs plutôt que d'envoyer un email, ou en privilégiant, tout du moins, tout moyen de nature à favoriser l’échange direct.</w:t>
      </w:r>
    </w:p>
    <w:p>
      <w:r>
        <w:t xml:space="preserve">De la même manière, les noms et fonctions des parties négociatrices et signataires ne figureront pas sur le document destiné à la publication dans la </w:t>
      </w:r>
      <w:r>
        <w:rPr>
          <w:highlight w:val="yellow"/>
        </w:rPr>
        <w:t>base</w:t>
      </w:r>
      <w:r>
        <w:t xml:space="preserve"> de données nationale.</w:t>
      </w:r>
    </w:p>
    <w:p>
      <w:r>
        <w:t xml:space="preserve">De manière </w:t>
      </w:r>
      <w:r>
        <w:rPr>
          <w:highlight w:val="yellow"/>
        </w:rPr>
        <w:t>générale</w:t>
      </w:r>
      <w:r>
        <w:t>, l’entreprise favorise des terminologies qui rendent les offres accessibles et attractives autant aux femmes qu’aux hommes.  La société se fixe pour objectif  que 100% des annonces publiées chaque année respectent ces engagements.</w:t>
      </w:r>
    </w:p>
    <w:p>
      <w:r>
        <w:t xml:space="preserve">L’entreprise s’attache à ce que les collaboratrices en congé maternité puissent bénéficier du maintien de leur rémunération pendant une certaine période. C’est pour cela que l’entreprise s’engage à maintenir 100% du salaire de </w:t>
      </w:r>
      <w:r>
        <w:rPr>
          <w:highlight w:val="yellow"/>
        </w:rPr>
        <w:t>base</w:t>
      </w:r>
      <w:r>
        <w:t xml:space="preserve"> (hors primes ou variables relatives à l’activité, indemnités journalières de Sécurité Sociale comprises) des collaboratrices en congé maternité et justifiant d’au moins 12 mois de présence à la date de l’accouchement pendant une période de 112 jours calendaires. Au-delà de cette période, les collaboratrices se voient appliquer les mêmes modalités d’indemnisation que pour l’absence maladie.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