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A04017002052-34919010800010.docx</w:t>
      </w:r>
    </w:p>
    <w:p>
      <w:r>
        <w:t xml:space="preserve">Salaires moyens de </w:t>
      </w:r>
      <w:r>
        <w:rPr>
          <w:highlight w:val="yellow"/>
        </w:rPr>
        <w:t>base</w:t>
      </w:r>
      <w:r>
        <w:t>,</w:t>
      </w:r>
    </w:p>
    <w:p>
      <w:r>
        <w:t xml:space="preserve">Une </w:t>
      </w:r>
      <w:r>
        <w:rPr>
          <w:highlight w:val="yellow"/>
        </w:rPr>
        <w:t>augmentation</w:t>
      </w:r>
      <w:r>
        <w:t xml:space="preserve"> de 1,3 % de la masse salariale des cadres et des non-cadres consacrée à des augmentations de salaires individuelles avec effet au 1er janvier 2018.</w:t>
      </w:r>
      <w:r>
        <w:t xml:space="preserve"> de 1,3 % de la masse </w:t>
      </w:r>
      <w:r>
        <w:rPr>
          <w:highlight w:val="yellow"/>
        </w:rPr>
        <w:t>salariale</w:t>
      </w:r>
      <w:r>
        <w:t xml:space="preserve"> des cadres et des non-cadres consacrée à des augmentations de salaires individuelles avec effet au 1er janvier 2018.</w:t>
      </w:r>
    </w:p>
    <w:p>
      <w:r>
        <w:t>Les augmentations liées aux promotions ne s’imputeront pas sur l’</w:t>
      </w:r>
      <w:r>
        <w:rPr>
          <w:highlight w:val="yellow"/>
        </w:rPr>
        <w:t>enveloppe</w:t>
      </w:r>
      <w:r>
        <w:t xml:space="preserve"> globale.</w:t>
      </w:r>
    </w:p>
    <w:p>
      <w:r>
        <w:t xml:space="preserve">Epargne </w:t>
      </w:r>
      <w:r>
        <w:rPr>
          <w:highlight w:val="yellow"/>
        </w:rPr>
        <w:t>salariale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