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 w:hanging="0"/>
        <w:rPr>
          <w:rFonts w:ascii="Times New Roman" w:hAnsi="Times New Roman" w:cs="Times New Roman"/>
          <w:sz w:val="16"/>
        </w:rPr>
      </w:pPr>
      <w:r>
        <w:rPr>
          <w:rFonts w:cs="Times New Roman" w:ascii="Times New Roman" w:hAnsi="Times New Roman"/>
          <w:sz w:val="16"/>
        </w:rPr>
        <w:t xml:space="preserve"> </w:t>
        <w:drawing>
          <wp:anchor behindDoc="0" distT="0" distB="0" distL="114935" distR="114935" simplePos="0" locked="0" layoutInCell="1" allowOverlap="1" relativeHeight="2">
            <wp:simplePos x="0" y="0"/>
            <wp:positionH relativeFrom="page">
              <wp:posOffset>598170</wp:posOffset>
            </wp:positionH>
            <wp:positionV relativeFrom="page">
              <wp:posOffset>360045</wp:posOffset>
            </wp:positionV>
            <wp:extent cx="1904365" cy="4749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4365" cy="474980"/>
                    </a:xfrm>
                    <a:prstGeom prst="rect">
                      <a:avLst/>
                    </a:prstGeom>
                  </pic:spPr>
                </pic:pic>
              </a:graphicData>
            </a:graphic>
          </wp:anchor>
        </w:drawing>
      </w:r>
      <w:r>
        <mc:AlternateContent>
          <mc:Choice Requires="wps">
            <w:drawing>
              <wp:anchor behindDoc="0" distT="0" distB="0" distL="114935" distR="114935" simplePos="0" locked="0" layoutInCell="1" allowOverlap="1" relativeHeight="3">
                <wp:simplePos x="0" y="0"/>
                <wp:positionH relativeFrom="page">
                  <wp:posOffset>499110</wp:posOffset>
                </wp:positionH>
                <wp:positionV relativeFrom="page">
                  <wp:posOffset>793115</wp:posOffset>
                </wp:positionV>
                <wp:extent cx="2932430" cy="640080"/>
                <wp:effectExtent l="0" t="0" r="0" b="0"/>
                <wp:wrapNone/>
                <wp:docPr id="2" name="Frame1"/>
                <a:graphic xmlns:a="http://schemas.openxmlformats.org/drawingml/2006/main">
                  <a:graphicData uri="http://schemas.microsoft.com/office/word/2010/wordprocessingShape">
                    <wps:wsp>
                      <wps:cNvSpPr txBox="1"/>
                      <wps:spPr>
                        <a:xfrm>
                          <a:off x="0" y="0"/>
                          <a:ext cx="2932430" cy="640080"/>
                        </a:xfrm>
                        <a:prstGeom prst="rect"/>
                        <a:solidFill>
                          <a:srgbClr val="FFFFFF">
                            <a:alpha val="50000"/>
                          </a:srgbClr>
                        </a:solidFill>
                        <a:ln w="635">
                          <a:solidFill>
                            <a:srgbClr val="FFFFFF"/>
                          </a:solidFill>
                        </a:ln>
                      </wps:spPr>
                      <wps:txbx>
                        <w:txbxContent>
                          <w:p>
                            <w:pPr>
                              <w:pStyle w:val="Heading1"/>
                              <w:numPr>
                                <w:ilvl w:val="0"/>
                                <w:numId w:val="1"/>
                              </w:numPr>
                              <w:spacing w:before="240" w:after="60"/>
                              <w:rPr>
                                <w:rFonts w:ascii="Arial" w:hAnsi="Arial" w:cs="Arial"/>
                                <w:bCs w:val="false"/>
                                <w:sz w:val="24"/>
                                <w:szCs w:val="20"/>
                                <w:lang w:val="fr-FR" w:eastAsia="fr-FR"/>
                              </w:rPr>
                            </w:pPr>
                            <w:r>
                              <w:rPr>
                                <w:rFonts w:cs="Arial" w:ascii="Arial" w:hAnsi="Arial"/>
                                <w:bCs w:val="false"/>
                                <w:sz w:val="24"/>
                                <w:szCs w:val="20"/>
                                <w:lang w:val="fr-FR" w:eastAsia="fr-FR"/>
                              </w:rPr>
                              <w:t>Etablissement de Saint Marcellin</w:t>
                            </w:r>
                          </w:p>
                          <w:p>
                            <w:pPr>
                              <w:pStyle w:val="Normal"/>
                              <w:spacing w:lineRule="exact" w:line="190"/>
                              <w:rPr>
                                <w:rFonts w:ascii="Arial" w:hAnsi="Arial" w:cs="Arial"/>
                                <w:bCs/>
                                <w:sz w:val="16"/>
                                <w:szCs w:val="20"/>
                                <w:lang w:val="fr-FR" w:eastAsia="fr-FR"/>
                              </w:rPr>
                            </w:pPr>
                            <w:r>
                              <w:rPr>
                                <w:rFonts w:cs="Arial" w:ascii="Arial" w:hAnsi="Arial"/>
                                <w:bCs/>
                                <w:sz w:val="16"/>
                                <w:szCs w:val="20"/>
                                <w:lang w:val="fr-FR" w:eastAsia="fr-FR"/>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txbxContent>
                      </wps:txbx>
                      <wps:bodyPr anchor="t" lIns="91440" tIns="45720" rIns="91440" bIns="45720">
                        <a:noAutofit/>
                      </wps:bodyPr>
                    </wps:wsp>
                  </a:graphicData>
                </a:graphic>
              </wp:anchor>
            </w:drawing>
          </mc:Choice>
          <mc:Fallback>
            <w:pict>
              <v:rect fillcolor="#FFFFFF" strokecolor="#FFFFFF" strokeweight="0pt" style="position:absolute;rotation:0;width:230.9pt;height:50.4pt;mso-wrap-distance-left:9.05pt;mso-wrap-distance-right:9.05pt;margin-top:62.45pt;mso-position-vertical-relative:page;margin-left:39.3pt;mso-position-horizontal-relative:page">
                <v:fill opacity="32767.5f"/>
                <v:textbox>
                  <w:txbxContent>
                    <w:p>
                      <w:pPr>
                        <w:pStyle w:val="Heading1"/>
                        <w:numPr>
                          <w:ilvl w:val="0"/>
                          <w:numId w:val="1"/>
                        </w:numPr>
                        <w:spacing w:before="240" w:after="60"/>
                        <w:rPr>
                          <w:rFonts w:ascii="Arial" w:hAnsi="Arial" w:cs="Arial"/>
                          <w:bCs w:val="false"/>
                          <w:sz w:val="24"/>
                          <w:szCs w:val="20"/>
                          <w:lang w:val="fr-FR" w:eastAsia="fr-FR"/>
                        </w:rPr>
                      </w:pPr>
                      <w:r>
                        <w:rPr>
                          <w:rFonts w:cs="Arial" w:ascii="Arial" w:hAnsi="Arial"/>
                          <w:bCs w:val="false"/>
                          <w:sz w:val="24"/>
                          <w:szCs w:val="20"/>
                          <w:lang w:val="fr-FR" w:eastAsia="fr-FR"/>
                        </w:rPr>
                        <w:t>Etablissement de Saint Marcellin</w:t>
                      </w:r>
                    </w:p>
                    <w:p>
                      <w:pPr>
                        <w:pStyle w:val="Normal"/>
                        <w:spacing w:lineRule="exact" w:line="190"/>
                        <w:rPr>
                          <w:rFonts w:ascii="Arial" w:hAnsi="Arial" w:cs="Arial"/>
                          <w:bCs/>
                          <w:sz w:val="16"/>
                          <w:szCs w:val="20"/>
                          <w:lang w:val="fr-FR" w:eastAsia="fr-FR"/>
                        </w:rPr>
                      </w:pPr>
                      <w:r>
                        <w:rPr>
                          <w:rFonts w:cs="Arial" w:ascii="Arial" w:hAnsi="Arial"/>
                          <w:bCs/>
                          <w:sz w:val="16"/>
                          <w:szCs w:val="20"/>
                          <w:lang w:val="fr-FR" w:eastAsia="fr-FR"/>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p>
                      <w:pPr>
                        <w:pStyle w:val="Normal"/>
                        <w:spacing w:lineRule="exact" w:line="190"/>
                        <w:rPr>
                          <w:sz w:val="16"/>
                        </w:rPr>
                      </w:pPr>
                      <w:r>
                        <w:rPr>
                          <w:sz w:val="16"/>
                        </w:rPr>
                      </w:r>
                    </w:p>
                  </w:txbxContent>
                </v:textbox>
              </v:rect>
            </w:pict>
          </mc:Fallback>
        </mc:AlternateContent>
      </w:r>
    </w:p>
    <w:p>
      <w:pPr>
        <w:pStyle w:val="Normal"/>
        <w:ind w:left="6372" w:right="-286" w:firstLine="708"/>
        <w:rPr>
          <w:rFonts w:ascii="Times New Roman" w:hAnsi="Times New Roman" w:cs="Times New Roman"/>
          <w:sz w:val="16"/>
        </w:rPr>
      </w:pPr>
      <w:r>
        <w:rPr>
          <w:rFonts w:cs="Times New Roman" w:ascii="Times New Roman" w:hAnsi="Times New Roman"/>
          <w:sz w:val="16"/>
        </w:rPr>
      </w:r>
    </w:p>
    <w:p>
      <w:pPr>
        <w:pStyle w:val="Normal"/>
        <w:ind w:left="6372" w:right="-286" w:firstLine="708"/>
        <w:rPr>
          <w:rFonts w:ascii="Times New Roman" w:hAnsi="Times New Roman" w:cs="Times New Roman"/>
          <w:sz w:val="16"/>
        </w:rPr>
      </w:pPr>
      <w:r>
        <w:rPr>
          <w:rFonts w:cs="Times New Roman" w:ascii="Times New Roman" w:hAnsi="Times New Roman"/>
          <w:sz w:val="16"/>
        </w:rPr>
      </w:r>
    </w:p>
    <w:p>
      <w:pPr>
        <w:pStyle w:val="Normal"/>
        <w:ind w:left="2552" w:right="1984" w:hanging="0"/>
        <w:jc w:val="center"/>
        <w:rPr>
          <w:rFonts w:ascii="Arial" w:hAnsi="Arial" w:cs="Arial"/>
          <w:b/>
          <w:b/>
          <w:sz w:val="28"/>
        </w:rPr>
      </w:pPr>
      <w:r>
        <w:rPr>
          <w:rFonts w:cs="Arial" w:ascii="Arial" w:hAnsi="Arial"/>
          <w:b/>
          <w:sz w:val="28"/>
        </w:rPr>
      </w:r>
    </w:p>
    <w:p>
      <w:pPr>
        <w:pStyle w:val="Normal"/>
        <w:ind w:left="2552" w:right="1984" w:hanging="0"/>
        <w:jc w:val="center"/>
        <w:rPr>
          <w:rFonts w:ascii="Arial" w:hAnsi="Arial" w:cs="Arial"/>
          <w:b/>
          <w:b/>
          <w:sz w:val="28"/>
        </w:rPr>
      </w:pPr>
      <w:r>
        <w:rPr>
          <w:rFonts w:cs="Arial" w:ascii="Arial" w:hAnsi="Arial"/>
          <w:b/>
          <w:sz w:val="28"/>
        </w:rPr>
      </w:r>
    </w:p>
    <w:p>
      <w:pPr>
        <w:pStyle w:val="Normal"/>
        <w:ind w:left="2552" w:right="1984" w:hanging="0"/>
        <w:jc w:val="center"/>
        <w:rPr>
          <w:rFonts w:ascii="Arial" w:hAnsi="Arial" w:cs="Arial"/>
          <w:b/>
          <w:b/>
          <w:sz w:val="28"/>
        </w:rPr>
      </w:pPr>
      <w:r>
        <w:rPr>
          <w:rFonts w:cs="Arial" w:ascii="Arial" w:hAnsi="Arial"/>
          <w:b/>
          <w:sz w:val="28"/>
        </w:rPr>
      </w:r>
    </w:p>
    <w:p>
      <w:pPr>
        <w:pStyle w:val="Normal"/>
        <w:ind w:left="2552" w:right="1984" w:hanging="0"/>
        <w:jc w:val="center"/>
        <w:rPr>
          <w:rFonts w:ascii="Arial" w:hAnsi="Arial" w:cs="Arial"/>
          <w:b/>
          <w:b/>
          <w:sz w:val="28"/>
        </w:rPr>
      </w:pPr>
      <w:r>
        <w:rPr>
          <w:rFonts w:cs="Arial" w:ascii="Arial" w:hAnsi="Arial"/>
          <w:b/>
          <w:sz w:val="28"/>
        </w:rPr>
        <w:t>**********</w:t>
      </w:r>
    </w:p>
    <w:p>
      <w:pPr>
        <w:pStyle w:val="Normal"/>
        <w:rPr>
          <w:rFonts w:ascii="Arial" w:hAnsi="Arial" w:cs="Arial"/>
          <w:b/>
          <w:b/>
          <w:sz w:val="24"/>
          <w:lang w:val="de-DE"/>
        </w:rPr>
      </w:pPr>
      <w:r>
        <w:rPr>
          <w:rFonts w:cs="Arial" w:ascii="Arial" w:hAnsi="Arial"/>
          <w:b/>
          <w:sz w:val="24"/>
          <w:lang w:val="de-DE"/>
        </w:rPr>
      </w:r>
    </w:p>
    <w:p>
      <w:pPr>
        <w:pStyle w:val="Normal"/>
        <w:jc w:val="center"/>
        <w:rPr/>
      </w:pPr>
      <w:r>
        <w:rPr>
          <w:rFonts w:cs="Arial" w:ascii="Arial" w:hAnsi="Arial"/>
          <w:b/>
          <w:sz w:val="24"/>
        </w:rPr>
        <w:t xml:space="preserve">NEGOCIATION COLLECTIVE ANNUELLE OBLIGATOIRE </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t>PROTOCOLE D'ACCORD POUR L’ANNEE 2018</w:t>
      </w:r>
    </w:p>
    <w:p>
      <w:pPr>
        <w:pStyle w:val="Normal"/>
        <w:jc w:val="center"/>
        <w:rPr>
          <w:rFonts w:ascii="Arial" w:hAnsi="Arial" w:cs="Arial"/>
          <w:b/>
          <w:b/>
          <w:sz w:val="24"/>
        </w:rPr>
      </w:pPr>
      <w:r>
        <w:rPr>
          <w:rFonts w:cs="Arial" w:ascii="Arial" w:hAnsi="Arial"/>
          <w:b/>
          <w:sz w:val="24"/>
        </w:rPr>
      </w:r>
    </w:p>
    <w:p>
      <w:pPr>
        <w:pStyle w:val="Normal"/>
        <w:ind w:left="2552" w:right="1984" w:hanging="0"/>
        <w:jc w:val="center"/>
        <w:rPr>
          <w:rFonts w:ascii="Arial" w:hAnsi="Arial" w:cs="Arial"/>
          <w:b/>
          <w:b/>
          <w:sz w:val="28"/>
        </w:rPr>
      </w:pPr>
      <w:r>
        <w:rPr>
          <w:rFonts w:cs="Arial" w:ascii="Arial" w:hAnsi="Arial"/>
          <w:b/>
          <w:sz w:val="28"/>
        </w:rPr>
        <w:t>**********</w:t>
      </w:r>
    </w:p>
    <w:p>
      <w:pPr>
        <w:pStyle w:val="Normal"/>
        <w:rPr>
          <w:rFonts w:ascii="Arial" w:hAnsi="Arial" w:cs="Arial"/>
          <w:b/>
          <w:b/>
          <w:sz w:val="24"/>
        </w:rPr>
      </w:pPr>
      <w:r>
        <w:rPr>
          <w:rFonts w:cs="Arial" w:ascii="Arial" w:hAnsi="Arial"/>
          <w:b/>
          <w:sz w:val="24"/>
        </w:rPr>
      </w:r>
    </w:p>
    <w:p>
      <w:pPr>
        <w:pStyle w:val="Normal"/>
        <w:spacing w:before="80" w:after="0"/>
        <w:jc w:val="both"/>
        <w:rPr/>
      </w:pPr>
      <w:r>
        <w:rPr>
          <w:rFonts w:cs="Arial" w:ascii="Arial" w:hAnsi="Arial"/>
          <w:sz w:val="24"/>
          <w:szCs w:val="24"/>
        </w:rPr>
        <w:t xml:space="preserve">Entre l’établissement Legrand France Saint Marcellin, représenté par </w:t>
      </w:r>
      <w:r>
        <w:rPr>
          <w:rFonts w:cs="Arial" w:ascii="Arial" w:hAnsi="Arial"/>
          <w:color w:val="FFFFFF"/>
          <w:sz w:val="24"/>
          <w:szCs w:val="24"/>
        </w:rPr>
        <w:t>Madame Edwige ROBINET</w:t>
      </w:r>
      <w:r>
        <w:rPr>
          <w:rFonts w:cs="Arial" w:ascii="Arial" w:hAnsi="Arial"/>
          <w:sz w:val="24"/>
          <w:szCs w:val="24"/>
        </w:rPr>
        <w:t>, Responsable Ressources Humaines,</w:t>
      </w:r>
    </w:p>
    <w:p>
      <w:pPr>
        <w:pStyle w:val="Normal"/>
        <w:spacing w:before="80" w:after="0"/>
        <w:jc w:val="both"/>
        <w:rPr>
          <w:rFonts w:ascii="Arial" w:hAnsi="Arial" w:cs="Arial"/>
          <w:sz w:val="24"/>
          <w:szCs w:val="24"/>
        </w:rPr>
      </w:pPr>
      <w:r>
        <w:rPr>
          <w:rFonts w:cs="Arial" w:ascii="Arial" w:hAnsi="Arial"/>
          <w:sz w:val="24"/>
          <w:szCs w:val="24"/>
        </w:rPr>
      </w:r>
    </w:p>
    <w:p>
      <w:pPr>
        <w:pStyle w:val="Normal"/>
        <w:spacing w:before="80" w:after="0"/>
        <w:jc w:val="both"/>
        <w:rPr/>
      </w:pPr>
      <w:r>
        <w:rPr>
          <w:rFonts w:cs="Arial" w:ascii="Arial" w:hAnsi="Arial"/>
          <w:sz w:val="24"/>
          <w:szCs w:val="24"/>
        </w:rPr>
        <w:t>Et les organisations syndicales représentatives.</w:t>
      </w:r>
    </w:p>
    <w:p>
      <w:pPr>
        <w:pStyle w:val="TextBody"/>
        <w:rPr>
          <w:rFonts w:ascii="Arial" w:hAnsi="Arial" w:cs="Arial"/>
          <w:i/>
          <w:i/>
          <w:sz w:val="24"/>
          <w:szCs w:val="24"/>
        </w:rPr>
      </w:pPr>
      <w:r>
        <w:rPr>
          <w:rFonts w:cs="Arial" w:ascii="Arial" w:hAnsi="Arial"/>
          <w:i/>
          <w:sz w:val="24"/>
          <w:szCs w:val="24"/>
        </w:rPr>
      </w:r>
    </w:p>
    <w:p>
      <w:pPr>
        <w:pStyle w:val="TextBody"/>
        <w:jc w:val="both"/>
        <w:rPr>
          <w:rFonts w:ascii="Arial" w:hAnsi="Arial" w:cs="Arial"/>
          <w:i/>
          <w:i/>
          <w:sz w:val="24"/>
          <w:szCs w:val="24"/>
        </w:rPr>
      </w:pPr>
      <w:r>
        <w:rPr>
          <w:rFonts w:cs="Arial" w:ascii="Arial" w:hAnsi="Arial"/>
          <w:sz w:val="24"/>
          <w:szCs w:val="24"/>
        </w:rPr>
        <w:t xml:space="preserve">Conformément aux dispositions de la loi du 13 novembre 1982 sur la négociation annuelle obligatoire, la direction et les organisations syndicales, au terme de 3 réunions tenues les </w:t>
      </w:r>
      <w:r>
        <w:rPr>
          <w:rFonts w:cs="Arial" w:ascii="Arial" w:hAnsi="Arial"/>
          <w:b/>
          <w:sz w:val="24"/>
          <w:szCs w:val="24"/>
          <w:lang w:val="fr-FR"/>
        </w:rPr>
        <w:t xml:space="preserve">26 janvier 2018, 16 </w:t>
      </w:r>
      <w:r>
        <w:rPr>
          <w:rFonts w:cs="Arial" w:ascii="Arial" w:hAnsi="Arial"/>
          <w:b/>
          <w:sz w:val="24"/>
          <w:szCs w:val="24"/>
        </w:rPr>
        <w:t xml:space="preserve">février 2018 et </w:t>
      </w:r>
      <w:r>
        <w:rPr>
          <w:rFonts w:cs="Arial" w:ascii="Arial" w:hAnsi="Arial"/>
          <w:b/>
          <w:sz w:val="24"/>
          <w:szCs w:val="24"/>
          <w:lang w:val="fr-FR"/>
        </w:rPr>
        <w:t>22 février 2018</w:t>
      </w:r>
      <w:r>
        <w:rPr>
          <w:rFonts w:cs="Arial" w:ascii="Arial" w:hAnsi="Arial"/>
          <w:sz w:val="24"/>
          <w:szCs w:val="24"/>
        </w:rPr>
        <w:t xml:space="preserve"> sont convenues de l’application des dispositions suivantes pour l’année 201</w:t>
      </w:r>
      <w:r>
        <w:rPr>
          <w:rFonts w:cs="Arial" w:ascii="Arial" w:hAnsi="Arial"/>
          <w:sz w:val="24"/>
          <w:szCs w:val="24"/>
          <w:lang w:val="fr-FR"/>
        </w:rPr>
        <w:t>8</w:t>
      </w:r>
      <w:r>
        <w:rPr>
          <w:rFonts w:cs="Arial" w:ascii="Arial" w:hAnsi="Arial"/>
          <w:sz w:val="24"/>
          <w:szCs w:val="24"/>
        </w:rPr>
        <w:t> :</w:t>
      </w:r>
    </w:p>
    <w:p>
      <w:pPr>
        <w:pStyle w:val="TextBody"/>
        <w:rPr>
          <w:rFonts w:ascii="Arial" w:hAnsi="Arial" w:cs="Arial"/>
          <w:i/>
          <w:i/>
          <w:sz w:val="24"/>
          <w:szCs w:val="24"/>
        </w:rPr>
      </w:pPr>
      <w:r>
        <w:rPr>
          <w:rFonts w:cs="Arial" w:ascii="Arial" w:hAnsi="Arial"/>
          <w:i/>
          <w:sz w:val="24"/>
          <w:szCs w:val="24"/>
        </w:rPr>
      </w:r>
    </w:p>
    <w:p>
      <w:pPr>
        <w:pStyle w:val="TextBody"/>
        <w:rPr>
          <w:rFonts w:cs="Arial"/>
          <w:b/>
          <w:b/>
          <w:u w:val="single"/>
        </w:rPr>
      </w:pPr>
      <w:r>
        <w:rPr>
          <w:rFonts w:cs="Arial" w:ascii="Arial" w:hAnsi="Arial"/>
          <w:b/>
          <w:sz w:val="24"/>
          <w:u w:val="single"/>
        </w:rPr>
        <w:t>Chapitre 1 – Rémunération</w:t>
      </w:r>
    </w:p>
    <w:p>
      <w:pPr>
        <w:pStyle w:val="Normal"/>
        <w:spacing w:before="80" w:after="0"/>
        <w:ind w:left="1416" w:hanging="0"/>
        <w:jc w:val="both"/>
        <w:rPr/>
      </w:pPr>
      <w:r>
        <w:rPr>
          <w:rFonts w:cs="Arial" w:ascii="Arial" w:hAnsi="Arial"/>
          <w:b/>
          <w:sz w:val="24"/>
        </w:rPr>
        <w:t>1-1</w:t>
        <w:tab/>
        <w:t xml:space="preserve">Pour les non cadres </w:t>
      </w:r>
    </w:p>
    <w:p>
      <w:pPr>
        <w:pStyle w:val="Normal"/>
        <w:spacing w:before="120" w:after="0"/>
        <w:jc w:val="both"/>
        <w:rPr/>
      </w:pPr>
      <w:r>
        <w:rPr>
          <w:rFonts w:cs="Arial" w:ascii="Arial" w:hAnsi="Arial"/>
          <w:sz w:val="24"/>
        </w:rPr>
        <w:t>Ce personnel bénéficiera en 2018 :</w:t>
      </w:r>
    </w:p>
    <w:p>
      <w:pPr>
        <w:pStyle w:val="Normal"/>
        <w:autoSpaceDE w:val="false"/>
        <w:spacing w:before="120" w:after="0"/>
        <w:ind w:left="540" w:hanging="0"/>
        <w:rPr/>
      </w:pPr>
      <w:r>
        <w:rPr>
          <w:rFonts w:cs="Arial" w:ascii="Arial" w:hAnsi="Arial"/>
          <w:sz w:val="24"/>
        </w:rPr>
        <w:t xml:space="preserve">- d’une augmentation générale de </w:t>
      </w:r>
      <w:r>
        <w:rPr>
          <w:rFonts w:cs="Arial" w:ascii="Arial" w:hAnsi="Arial"/>
          <w:b/>
          <w:color w:val="0070C0"/>
          <w:sz w:val="24"/>
        </w:rPr>
        <w:t>1,5%</w:t>
      </w:r>
      <w:r>
        <w:rPr>
          <w:rFonts w:cs="Arial" w:ascii="Arial" w:hAnsi="Arial"/>
          <w:sz w:val="24"/>
        </w:rPr>
        <w:t xml:space="preserve"> au </w:t>
      </w:r>
      <w:r>
        <w:rPr>
          <w:rFonts w:cs="Arial" w:ascii="Arial" w:hAnsi="Arial"/>
          <w:sz w:val="24"/>
          <w:u w:val="single"/>
        </w:rPr>
        <w:t>1</w:t>
      </w:r>
      <w:r>
        <w:rPr>
          <w:rFonts w:cs="Arial" w:ascii="Arial" w:hAnsi="Arial"/>
          <w:sz w:val="24"/>
          <w:u w:val="single"/>
          <w:vertAlign w:val="superscript"/>
        </w:rPr>
        <w:t>er</w:t>
      </w:r>
      <w:r>
        <w:rPr>
          <w:rFonts w:cs="Arial" w:ascii="Arial" w:hAnsi="Arial"/>
          <w:sz w:val="24"/>
          <w:u w:val="single"/>
        </w:rPr>
        <w:t xml:space="preserve"> avril 2018 </w:t>
      </w:r>
      <w:r>
        <w:rPr>
          <w:rFonts w:cs="Arial" w:ascii="Arial" w:hAnsi="Arial"/>
          <w:sz w:val="24"/>
        </w:rPr>
        <w:t>avec un talon à 40€ ;</w:t>
      </w:r>
    </w:p>
    <w:p>
      <w:pPr>
        <w:pStyle w:val="Normal"/>
        <w:tabs>
          <w:tab w:val="left" w:pos="720" w:leader="none"/>
          <w:tab w:val="left" w:pos="1440" w:leader="none"/>
        </w:tabs>
        <w:spacing w:before="120" w:after="0"/>
        <w:ind w:left="539" w:hanging="0"/>
        <w:jc w:val="both"/>
        <w:rPr/>
      </w:pPr>
      <w:r>
        <w:rPr>
          <w:rFonts w:cs="Arial" w:ascii="Arial" w:hAnsi="Arial"/>
          <w:sz w:val="24"/>
        </w:rPr>
        <w:t xml:space="preserve">- d’une enveloppe d'augmentation individuelle égale à </w:t>
      </w:r>
      <w:r>
        <w:rPr>
          <w:rFonts w:cs="Arial" w:ascii="Arial" w:hAnsi="Arial"/>
          <w:b/>
          <w:color w:val="0070C0"/>
          <w:sz w:val="24"/>
        </w:rPr>
        <w:t>1%</w:t>
      </w:r>
      <w:r>
        <w:rPr>
          <w:rFonts w:cs="Arial" w:ascii="Arial" w:hAnsi="Arial"/>
          <w:sz w:val="24"/>
        </w:rPr>
        <w:t xml:space="preserve"> au </w:t>
      </w:r>
      <w:r>
        <w:rPr>
          <w:rFonts w:cs="Arial" w:ascii="Arial" w:hAnsi="Arial"/>
          <w:sz w:val="24"/>
          <w:u w:val="single"/>
        </w:rPr>
        <w:t>1</w:t>
      </w:r>
      <w:r>
        <w:rPr>
          <w:rFonts w:cs="Arial" w:ascii="Arial" w:hAnsi="Arial"/>
          <w:sz w:val="24"/>
          <w:u w:val="single"/>
          <w:vertAlign w:val="superscript"/>
        </w:rPr>
        <w:t>er</w:t>
      </w:r>
      <w:r>
        <w:rPr>
          <w:rFonts w:cs="Arial" w:ascii="Arial" w:hAnsi="Arial"/>
          <w:sz w:val="24"/>
          <w:u w:val="single"/>
        </w:rPr>
        <w:t xml:space="preserve"> septembre 2018</w:t>
      </w:r>
      <w:r>
        <w:rPr>
          <w:rFonts w:cs="Arial" w:ascii="Arial" w:hAnsi="Arial"/>
          <w:sz w:val="24"/>
        </w:rPr>
        <w:t> ;</w:t>
      </w:r>
    </w:p>
    <w:p>
      <w:pPr>
        <w:pStyle w:val="Normal"/>
        <w:tabs>
          <w:tab w:val="left" w:pos="720" w:leader="none"/>
          <w:tab w:val="left" w:pos="1440" w:leader="none"/>
        </w:tabs>
        <w:spacing w:before="80" w:after="0"/>
        <w:ind w:left="540" w:hanging="0"/>
        <w:jc w:val="both"/>
        <w:rPr>
          <w:rFonts w:ascii="Arial" w:hAnsi="Arial" w:cs="Arial"/>
          <w:sz w:val="24"/>
        </w:rPr>
      </w:pPr>
      <w:r>
        <w:rPr>
          <w:rFonts w:cs="Arial" w:ascii="Arial" w:hAnsi="Arial"/>
          <w:sz w:val="24"/>
        </w:rPr>
        <w:t xml:space="preserve">- d’une enveloppe spécifique de </w:t>
      </w:r>
      <w:r>
        <w:rPr>
          <w:rFonts w:cs="Arial" w:ascii="Arial" w:hAnsi="Arial"/>
          <w:b/>
          <w:color w:val="0070C0"/>
          <w:sz w:val="24"/>
        </w:rPr>
        <w:t>0,4%</w:t>
      </w:r>
      <w:r>
        <w:rPr>
          <w:rFonts w:cs="Arial" w:ascii="Arial" w:hAnsi="Arial"/>
          <w:sz w:val="24"/>
        </w:rPr>
        <w:t xml:space="preserve">, gérée, pour les révisions de salaire liées à des situations particulières (mobilité, changement de poste conduisant à une responsabilité nouvelle, promotion, reconversion professionnelle) </w:t>
      </w:r>
    </w:p>
    <w:p>
      <w:pPr>
        <w:pStyle w:val="Normal"/>
        <w:tabs>
          <w:tab w:val="left" w:pos="720" w:leader="none"/>
          <w:tab w:val="left" w:pos="1440" w:leader="none"/>
        </w:tabs>
        <w:spacing w:before="80" w:after="0"/>
        <w:ind w:left="540" w:hanging="0"/>
        <w:jc w:val="both"/>
        <w:rPr>
          <w:rFonts w:ascii="Arial" w:hAnsi="Arial" w:cs="Arial"/>
          <w:sz w:val="24"/>
        </w:rPr>
      </w:pPr>
      <w:r>
        <w:rPr>
          <w:rFonts w:cs="Arial" w:ascii="Arial" w:hAnsi="Arial"/>
          <w:sz w:val="24"/>
        </w:rPr>
      </w:r>
    </w:p>
    <w:p>
      <w:pPr>
        <w:pStyle w:val="Normal"/>
        <w:tabs>
          <w:tab w:val="left" w:pos="720" w:leader="none"/>
          <w:tab w:val="left" w:pos="1440" w:leader="none"/>
        </w:tabs>
        <w:spacing w:before="80" w:after="0"/>
        <w:jc w:val="both"/>
        <w:rPr/>
      </w:pPr>
      <w:r>
        <w:rPr>
          <w:rFonts w:cs="Arial" w:ascii="Arial" w:hAnsi="Arial"/>
          <w:sz w:val="24"/>
        </w:rPr>
        <w:t xml:space="preserve">L’enveloppe des augmentations est ainsi portée en 2018 à </w:t>
      </w:r>
      <w:r>
        <w:rPr>
          <w:rFonts w:cs="Arial" w:ascii="Arial" w:hAnsi="Arial"/>
          <w:b/>
          <w:color w:val="0070C0"/>
          <w:sz w:val="24"/>
        </w:rPr>
        <w:t>2,9%</w:t>
      </w:r>
      <w:r>
        <w:rPr>
          <w:rFonts w:cs="Arial" w:ascii="Arial" w:hAnsi="Arial"/>
          <w:sz w:val="24"/>
        </w:rPr>
        <w:t xml:space="preserve">. </w:t>
      </w:r>
    </w:p>
    <w:p>
      <w:pPr>
        <w:pStyle w:val="Normal"/>
        <w:tabs>
          <w:tab w:val="left" w:pos="1983" w:leader="none"/>
        </w:tabs>
        <w:autoSpaceDE w:val="false"/>
        <w:jc w:val="both"/>
        <w:rPr>
          <w:rFonts w:ascii="Arial" w:hAnsi="Arial" w:cs="Arial"/>
          <w:b/>
          <w:b/>
          <w:i/>
          <w:i/>
          <w:sz w:val="24"/>
        </w:rPr>
      </w:pPr>
      <w:r>
        <w:rPr>
          <w:rFonts w:cs="Arial" w:ascii="Arial" w:hAnsi="Arial"/>
          <w:sz w:val="24"/>
        </w:rPr>
        <w:tab/>
      </w:r>
    </w:p>
    <w:p>
      <w:pPr>
        <w:pStyle w:val="Normal"/>
        <w:spacing w:before="80" w:after="0"/>
        <w:ind w:left="1416" w:hanging="0"/>
        <w:jc w:val="both"/>
        <w:rPr>
          <w:rFonts w:ascii="Arial" w:hAnsi="Arial" w:cs="Arial"/>
          <w:b/>
          <w:b/>
          <w:sz w:val="24"/>
        </w:rPr>
      </w:pPr>
      <w:r>
        <w:rPr>
          <w:rFonts w:cs="Arial" w:ascii="Arial" w:hAnsi="Arial"/>
          <w:b/>
          <w:sz w:val="24"/>
        </w:rPr>
        <w:t>1-2</w:t>
        <w:tab/>
        <w:t>Pour les Cadres</w:t>
      </w:r>
    </w:p>
    <w:p>
      <w:pPr>
        <w:pStyle w:val="Normal"/>
        <w:spacing w:before="120" w:after="0"/>
        <w:jc w:val="both"/>
        <w:rPr/>
      </w:pPr>
      <w:r>
        <w:rPr>
          <w:rFonts w:cs="Arial" w:ascii="Arial" w:hAnsi="Arial"/>
          <w:sz w:val="24"/>
        </w:rPr>
        <w:t>Ce personnel bénéficiera en 2018 :</w:t>
      </w:r>
    </w:p>
    <w:p>
      <w:pPr>
        <w:pStyle w:val="Normal"/>
        <w:tabs>
          <w:tab w:val="left" w:pos="720" w:leader="none"/>
          <w:tab w:val="left" w:pos="1440" w:leader="none"/>
        </w:tabs>
        <w:spacing w:before="80" w:after="0"/>
        <w:ind w:left="540" w:hanging="0"/>
        <w:jc w:val="both"/>
        <w:rPr/>
      </w:pPr>
      <w:r>
        <w:rPr>
          <w:rFonts w:cs="Arial" w:ascii="Arial" w:hAnsi="Arial"/>
          <w:sz w:val="24"/>
        </w:rPr>
        <w:t xml:space="preserve">- d’une enveloppe d’augmentation individuelle de </w:t>
      </w:r>
      <w:r>
        <w:rPr>
          <w:rFonts w:cs="Arial" w:ascii="Arial" w:hAnsi="Arial"/>
          <w:b/>
          <w:color w:val="0070C0"/>
          <w:sz w:val="24"/>
        </w:rPr>
        <w:t>2,5%</w:t>
      </w:r>
      <w:r>
        <w:rPr>
          <w:rFonts w:cs="Arial" w:ascii="Arial" w:hAnsi="Arial"/>
          <w:sz w:val="24"/>
        </w:rPr>
        <w:t xml:space="preserve"> au </w:t>
      </w:r>
      <w:r>
        <w:rPr>
          <w:rFonts w:cs="Arial" w:ascii="Arial" w:hAnsi="Arial"/>
          <w:sz w:val="24"/>
          <w:u w:val="single"/>
        </w:rPr>
        <w:t>1</w:t>
      </w:r>
      <w:r>
        <w:rPr>
          <w:rFonts w:cs="Arial" w:ascii="Arial" w:hAnsi="Arial"/>
          <w:sz w:val="24"/>
          <w:u w:val="single"/>
          <w:vertAlign w:val="superscript"/>
        </w:rPr>
        <w:t>er</w:t>
      </w:r>
      <w:r>
        <w:rPr>
          <w:rFonts w:cs="Arial" w:ascii="Arial" w:hAnsi="Arial"/>
          <w:sz w:val="24"/>
          <w:u w:val="single"/>
        </w:rPr>
        <w:t xml:space="preserve"> avril 2018</w:t>
      </w:r>
      <w:r>
        <w:rPr>
          <w:rFonts w:cs="Arial" w:ascii="Arial" w:hAnsi="Arial"/>
          <w:sz w:val="24"/>
        </w:rPr>
        <w:t xml:space="preserve">. </w:t>
      </w:r>
    </w:p>
    <w:p>
      <w:pPr>
        <w:pStyle w:val="Normal"/>
        <w:tabs>
          <w:tab w:val="left" w:pos="720" w:leader="none"/>
          <w:tab w:val="left" w:pos="1440" w:leader="none"/>
        </w:tabs>
        <w:spacing w:before="80" w:after="0"/>
        <w:ind w:left="540" w:hanging="0"/>
        <w:jc w:val="both"/>
        <w:rPr>
          <w:rFonts w:ascii="Arial" w:hAnsi="Arial" w:cs="Arial"/>
          <w:sz w:val="24"/>
        </w:rPr>
      </w:pPr>
      <w:r>
        <w:rPr>
          <w:rFonts w:cs="Arial" w:ascii="Arial" w:hAnsi="Arial"/>
          <w:sz w:val="24"/>
        </w:rPr>
        <w:t xml:space="preserve">- d’une enveloppe spécifique de </w:t>
      </w:r>
      <w:r>
        <w:rPr>
          <w:rFonts w:cs="Arial" w:ascii="Arial" w:hAnsi="Arial"/>
          <w:b/>
          <w:color w:val="0070C0"/>
          <w:sz w:val="24"/>
        </w:rPr>
        <w:t>0,4%</w:t>
      </w:r>
      <w:r>
        <w:rPr>
          <w:rFonts w:cs="Arial" w:ascii="Arial" w:hAnsi="Arial"/>
          <w:sz w:val="24"/>
        </w:rPr>
        <w:t xml:space="preserve">, pour les révisions de salaire liées à des situations particulières (mobilité, changement de poste conduisant à une responsabilité nouvelle, promotion, reconversion professionnelle) </w:t>
      </w:r>
    </w:p>
    <w:p>
      <w:pPr>
        <w:pStyle w:val="Normal"/>
        <w:tabs>
          <w:tab w:val="left" w:pos="720" w:leader="none"/>
          <w:tab w:val="left" w:pos="1440" w:leader="none"/>
        </w:tabs>
        <w:spacing w:before="80" w:after="0"/>
        <w:ind w:left="540" w:hanging="0"/>
        <w:jc w:val="both"/>
        <w:rPr>
          <w:rFonts w:ascii="Arial" w:hAnsi="Arial" w:cs="Arial"/>
          <w:sz w:val="24"/>
        </w:rPr>
      </w:pPr>
      <w:r>
        <w:rPr>
          <w:rFonts w:cs="Arial" w:ascii="Arial" w:hAnsi="Arial"/>
          <w:sz w:val="24"/>
        </w:rPr>
      </w:r>
    </w:p>
    <w:p>
      <w:pPr>
        <w:pStyle w:val="Normal"/>
        <w:tabs>
          <w:tab w:val="left" w:pos="720" w:leader="none"/>
          <w:tab w:val="left" w:pos="1440" w:leader="none"/>
        </w:tabs>
        <w:spacing w:before="80" w:after="0"/>
        <w:jc w:val="both"/>
        <w:rPr>
          <w:rFonts w:ascii="Arial" w:hAnsi="Arial" w:cs="Arial"/>
          <w:sz w:val="24"/>
        </w:rPr>
      </w:pPr>
      <w:r>
        <w:rPr>
          <w:rFonts w:cs="Arial" w:ascii="Arial" w:hAnsi="Arial"/>
          <w:sz w:val="24"/>
        </w:rPr>
        <w:t xml:space="preserve">L’enveloppe des augmentations individuelles est ainsi portée en 2018 à </w:t>
      </w:r>
      <w:r>
        <w:rPr>
          <w:rFonts w:cs="Arial" w:ascii="Arial" w:hAnsi="Arial"/>
          <w:b/>
          <w:color w:val="0070C0"/>
          <w:sz w:val="24"/>
        </w:rPr>
        <w:t>2,9 %</w:t>
      </w:r>
      <w:r>
        <w:rPr>
          <w:rFonts w:cs="Arial" w:ascii="Arial" w:hAnsi="Arial"/>
          <w:sz w:val="24"/>
        </w:rPr>
        <w:t xml:space="preserve">. </w:t>
      </w:r>
    </w:p>
    <w:p>
      <w:pPr>
        <w:pStyle w:val="Normal"/>
        <w:spacing w:before="80" w:after="0"/>
        <w:ind w:left="1416" w:hanging="0"/>
        <w:jc w:val="both"/>
        <w:rPr>
          <w:rFonts w:ascii="Arial" w:hAnsi="Arial" w:cs="Arial"/>
          <w:b/>
          <w:b/>
          <w:sz w:val="24"/>
        </w:rPr>
      </w:pPr>
      <w:r>
        <w:rPr>
          <w:rFonts w:cs="Arial" w:ascii="Arial" w:hAnsi="Arial"/>
          <w:b/>
          <w:sz w:val="24"/>
        </w:rPr>
        <w:t>1-3</w:t>
        <w:tab/>
        <w:t>Primes et grilles</w:t>
      </w:r>
    </w:p>
    <w:p>
      <w:pPr>
        <w:pStyle w:val="Normal"/>
        <w:tabs>
          <w:tab w:val="left" w:pos="360" w:leader="none"/>
        </w:tabs>
        <w:spacing w:before="80" w:after="0"/>
        <w:jc w:val="both"/>
        <w:rPr>
          <w:rFonts w:ascii="Arial" w:hAnsi="Arial" w:cs="Arial"/>
          <w:sz w:val="24"/>
        </w:rPr>
      </w:pPr>
      <w:r>
        <w:rPr>
          <w:rFonts w:cs="Arial" w:ascii="Arial" w:hAnsi="Arial"/>
          <w:sz w:val="24"/>
        </w:rPr>
        <w:t xml:space="preserve">Les primes (hors prime d’ancienneté, prime médaille, prime vacances) seront revalorisées de </w:t>
      </w:r>
      <w:r>
        <w:rPr>
          <w:rFonts w:cs="Arial" w:ascii="Arial" w:hAnsi="Arial"/>
          <w:b/>
          <w:color w:val="0070C0"/>
          <w:sz w:val="24"/>
        </w:rPr>
        <w:t>1,5%</w:t>
      </w:r>
      <w:r>
        <w:rPr>
          <w:rFonts w:cs="Arial" w:ascii="Arial" w:hAnsi="Arial"/>
          <w:sz w:val="24"/>
        </w:rPr>
        <w:t xml:space="preserve"> au </w:t>
      </w:r>
      <w:r>
        <w:rPr>
          <w:rFonts w:cs="Arial" w:ascii="Arial" w:hAnsi="Arial"/>
          <w:sz w:val="24"/>
          <w:u w:val="single"/>
        </w:rPr>
        <w:t>2 avril 2018</w:t>
      </w:r>
      <w:r>
        <w:rPr>
          <w:rFonts w:cs="Arial" w:ascii="Arial" w:hAnsi="Arial"/>
          <w:sz w:val="24"/>
        </w:rPr>
        <w:t xml:space="preserve"> (à compter de la paie de mai 2018). </w:t>
      </w:r>
    </w:p>
    <w:p>
      <w:pPr>
        <w:pStyle w:val="Normal"/>
        <w:tabs>
          <w:tab w:val="left" w:pos="360" w:leader="none"/>
        </w:tabs>
        <w:spacing w:before="80" w:after="0"/>
        <w:jc w:val="both"/>
        <w:rPr>
          <w:rFonts w:ascii="Arial" w:hAnsi="Arial" w:cs="Arial"/>
          <w:sz w:val="24"/>
        </w:rPr>
      </w:pPr>
      <w:r>
        <w:rPr>
          <w:rFonts w:cs="Arial" w:ascii="Arial" w:hAnsi="Arial"/>
          <w:sz w:val="24"/>
        </w:rPr>
      </w:r>
    </w:p>
    <w:p>
      <w:pPr>
        <w:pStyle w:val="Normal"/>
        <w:tabs>
          <w:tab w:val="left" w:pos="360" w:leader="none"/>
        </w:tabs>
        <w:spacing w:before="80" w:after="0"/>
        <w:jc w:val="both"/>
        <w:rPr>
          <w:rFonts w:ascii="Arial" w:hAnsi="Arial" w:cs="Arial"/>
          <w:sz w:val="24"/>
        </w:rPr>
      </w:pPr>
      <w:r>
        <w:rPr>
          <w:rFonts w:cs="Arial" w:ascii="Arial" w:hAnsi="Arial"/>
          <w:sz w:val="24"/>
        </w:rPr>
        <w:t xml:space="preserve">Les tarifs des grilles de salaires seront revalorisés de </w:t>
      </w:r>
      <w:r>
        <w:rPr>
          <w:rFonts w:cs="Arial" w:ascii="Arial" w:hAnsi="Arial"/>
          <w:b/>
          <w:color w:val="0070C0"/>
          <w:sz w:val="24"/>
        </w:rPr>
        <w:t>1,5%</w:t>
      </w:r>
      <w:r>
        <w:rPr>
          <w:rFonts w:cs="Arial" w:ascii="Arial" w:hAnsi="Arial"/>
          <w:sz w:val="24"/>
        </w:rPr>
        <w:t xml:space="preserve"> au </w:t>
      </w:r>
      <w:r>
        <w:rPr>
          <w:rFonts w:cs="Arial" w:ascii="Arial" w:hAnsi="Arial"/>
          <w:sz w:val="24"/>
          <w:u w:val="single"/>
        </w:rPr>
        <w:t xml:space="preserve">2 avril 2018 </w:t>
      </w:r>
      <w:r>
        <w:rPr>
          <w:rFonts w:cs="Arial" w:ascii="Arial" w:hAnsi="Arial"/>
          <w:sz w:val="24"/>
        </w:rPr>
        <w:t xml:space="preserve">(à compter de la paie de mai 2018). </w:t>
      </w:r>
    </w:p>
    <w:p>
      <w:pPr>
        <w:pStyle w:val="Normal"/>
        <w:tabs>
          <w:tab w:val="left" w:pos="360" w:leader="none"/>
        </w:tabs>
        <w:spacing w:before="80" w:after="0"/>
        <w:jc w:val="both"/>
        <w:rPr>
          <w:rFonts w:ascii="Arial" w:hAnsi="Arial" w:cs="Arial"/>
          <w:sz w:val="24"/>
        </w:rPr>
      </w:pPr>
      <w:r>
        <w:rPr>
          <w:rFonts w:cs="Arial" w:ascii="Arial" w:hAnsi="Arial"/>
          <w:sz w:val="24"/>
        </w:rPr>
      </w:r>
    </w:p>
    <w:p>
      <w:pPr>
        <w:pStyle w:val="Normal"/>
        <w:spacing w:before="80" w:after="0"/>
        <w:ind w:left="1416" w:hanging="0"/>
        <w:jc w:val="both"/>
        <w:rPr/>
      </w:pPr>
      <w:r>
        <w:rPr>
          <w:rFonts w:cs="Arial" w:ascii="Arial" w:hAnsi="Arial"/>
          <w:b/>
          <w:sz w:val="24"/>
        </w:rPr>
        <w:t>1-4</w:t>
        <w:tab/>
        <w:t xml:space="preserve">Prime Vélo </w:t>
      </w:r>
    </w:p>
    <w:p>
      <w:pPr>
        <w:pStyle w:val="Normal"/>
        <w:jc w:val="both"/>
        <w:rPr/>
      </w:pPr>
      <w:r>
        <w:rPr>
          <w:rFonts w:cs="Arial" w:ascii="Arial" w:hAnsi="Arial"/>
          <w:sz w:val="24"/>
        </w:rPr>
        <w:t xml:space="preserve">La valeur de la prime « Vélo » sera de </w:t>
      </w:r>
      <w:r>
        <w:rPr>
          <w:rFonts w:cs="Arial" w:ascii="Arial" w:hAnsi="Arial"/>
          <w:b/>
          <w:color w:val="0070C0"/>
          <w:sz w:val="24"/>
        </w:rPr>
        <w:t>0,35€</w:t>
      </w:r>
      <w:r>
        <w:rPr>
          <w:rFonts w:cs="Arial" w:ascii="Arial" w:hAnsi="Arial"/>
          <w:sz w:val="24"/>
        </w:rPr>
        <w:t xml:space="preserve"> par km à partir du </w:t>
      </w:r>
      <w:r>
        <w:rPr>
          <w:rFonts w:cs="Arial" w:ascii="Arial" w:hAnsi="Arial"/>
          <w:sz w:val="24"/>
          <w:u w:val="single"/>
        </w:rPr>
        <w:t>2 avril 2018</w:t>
      </w:r>
      <w:r>
        <w:rPr>
          <w:rFonts w:cs="Arial" w:ascii="Arial" w:hAnsi="Arial"/>
          <w:sz w:val="24"/>
        </w:rPr>
        <w:t xml:space="preserve">. </w:t>
      </w:r>
    </w:p>
    <w:p>
      <w:pPr>
        <w:pStyle w:val="Normal"/>
        <w:jc w:val="both"/>
        <w:rPr>
          <w:rFonts w:ascii="Arial" w:hAnsi="Arial" w:cs="Arial"/>
          <w:sz w:val="24"/>
        </w:rPr>
      </w:pPr>
      <w:r>
        <w:rPr>
          <w:rFonts w:cs="Arial" w:ascii="Arial" w:hAnsi="Arial"/>
          <w:sz w:val="24"/>
        </w:rPr>
      </w:r>
    </w:p>
    <w:tbl>
      <w:tblPr>
        <w:tblW w:w="9245" w:type="dxa"/>
        <w:jc w:val="left"/>
        <w:tblInd w:w="65" w:type="dxa"/>
        <w:tblBorders/>
        <w:tblCellMar>
          <w:top w:w="0" w:type="dxa"/>
          <w:left w:w="70" w:type="dxa"/>
          <w:bottom w:w="0" w:type="dxa"/>
          <w:right w:w="70" w:type="dxa"/>
        </w:tblCellMar>
      </w:tblPr>
      <w:tblGrid>
        <w:gridCol w:w="1016"/>
        <w:gridCol w:w="198"/>
        <w:gridCol w:w="858"/>
        <w:gridCol w:w="968"/>
        <w:gridCol w:w="769"/>
        <w:gridCol w:w="968"/>
        <w:gridCol w:w="968"/>
        <w:gridCol w:w="1165"/>
        <w:gridCol w:w="1034"/>
        <w:gridCol w:w="1301"/>
      </w:tblGrid>
      <w:tr>
        <w:trPr>
          <w:trHeight w:val="276" w:hRule="atLeast"/>
          <w:cantSplit w:val="true"/>
        </w:trPr>
        <w:tc>
          <w:tcPr>
            <w:tcW w:w="9245" w:type="dxa"/>
            <w:gridSpan w:val="10"/>
            <w:vMerge w:val="restart"/>
            <w:tcBorders/>
            <w:shd w:fill="auto" w:val="clear"/>
            <w:vAlign w:val="bottom"/>
          </w:tcPr>
          <w:p>
            <w:pPr>
              <w:pStyle w:val="Normal"/>
              <w:rPr>
                <w:rFonts w:ascii="Arial" w:hAnsi="Arial" w:cs="Arial"/>
                <w:sz w:val="24"/>
              </w:rPr>
            </w:pPr>
            <w:r>
              <w:rPr>
                <w:rFonts w:cs="Arial" w:ascii="Arial" w:hAnsi="Arial"/>
                <w:sz w:val="24"/>
              </w:rPr>
              <w:t xml:space="preserve">Les conditions d’attribution seront les suivantes </w:t>
            </w:r>
            <w:r>
              <w:rPr>
                <w:rFonts w:cs="Arial" w:ascii="Arial" w:hAnsi="Arial"/>
                <w:sz w:val="24"/>
                <w:u w:val="single"/>
              </w:rPr>
              <w:t>à partir du 2 avril 2018</w:t>
            </w:r>
            <w:r>
              <w:rPr>
                <w:rFonts w:cs="Arial" w:ascii="Arial" w:hAnsi="Arial"/>
                <w:sz w:val="24"/>
              </w:rPr>
              <w:t xml:space="preserve"> (à compter de la paie de mai 2018) : </w:t>
            </w:r>
          </w:p>
          <w:p>
            <w:pPr>
              <w:pStyle w:val="Normal"/>
              <w:jc w:val="both"/>
              <w:rPr/>
            </w:pPr>
            <w:r>
              <w:rPr>
                <w:rFonts w:cs="Arial" w:ascii="Arial" w:hAnsi="Arial"/>
                <w:sz w:val="24"/>
              </w:rPr>
              <w:t xml:space="preserve">Application d'une indemnité kilométrique de </w:t>
            </w:r>
            <w:r>
              <w:rPr>
                <w:rFonts w:cs="Arial" w:ascii="Arial" w:hAnsi="Arial"/>
                <w:b/>
                <w:color w:val="0070C0"/>
                <w:sz w:val="24"/>
              </w:rPr>
              <w:t xml:space="preserve">0,35€ </w:t>
            </w:r>
            <w:r>
              <w:rPr>
                <w:rFonts w:cs="Arial" w:ascii="Arial" w:hAnsi="Arial"/>
                <w:sz w:val="24"/>
              </w:rPr>
              <w:t xml:space="preserve">par kilomètre parcouru avec un plafond de </w:t>
            </w:r>
            <w:r>
              <w:rPr>
                <w:rFonts w:cs="Arial" w:ascii="Arial" w:hAnsi="Arial"/>
                <w:b/>
                <w:color w:val="0070C0"/>
                <w:sz w:val="24"/>
              </w:rPr>
              <w:t>70€</w:t>
            </w:r>
            <w:r>
              <w:rPr>
                <w:rFonts w:cs="Arial" w:ascii="Arial" w:hAnsi="Arial"/>
                <w:sz w:val="24"/>
              </w:rPr>
              <w:t xml:space="preserve"> par mois, pour le personnel effectuant à vélo au minimum </w:t>
            </w:r>
            <w:r>
              <w:rPr>
                <w:rFonts w:cs="Arial" w:ascii="Arial" w:hAnsi="Arial"/>
                <w:b/>
                <w:color w:val="0070C0"/>
                <w:sz w:val="24"/>
              </w:rPr>
              <w:t>5 jours</w:t>
            </w:r>
            <w:r>
              <w:rPr>
                <w:rFonts w:cs="Arial" w:ascii="Arial" w:hAnsi="Arial"/>
                <w:sz w:val="24"/>
              </w:rPr>
              <w:t xml:space="preserve"> par mois le déplacement du domicile au travail. </w:t>
            </w:r>
          </w:p>
        </w:tc>
      </w:tr>
      <w:tr>
        <w:trPr>
          <w:trHeight w:val="276" w:hRule="atLeast"/>
          <w:cantSplit w:val="true"/>
        </w:trPr>
        <w:tc>
          <w:tcPr>
            <w:tcW w:w="9245" w:type="dxa"/>
            <w:gridSpan w:val="10"/>
            <w:vMerge w:val="continue"/>
            <w:tcBorders/>
            <w:shd w:fill="auto" w:val="clear"/>
            <w:vAlign w:val="center"/>
          </w:tcPr>
          <w:p>
            <w:pPr>
              <w:pStyle w:val="Normal"/>
              <w:snapToGrid w:val="false"/>
              <w:rPr>
                <w:rFonts w:ascii="Arial" w:hAnsi="Arial" w:cs="Arial"/>
                <w:sz w:val="24"/>
              </w:rPr>
            </w:pPr>
            <w:r>
              <w:rPr>
                <w:rFonts w:cs="Arial" w:ascii="Arial" w:hAnsi="Arial"/>
                <w:sz w:val="24"/>
              </w:rPr>
            </w:r>
          </w:p>
        </w:tc>
      </w:tr>
      <w:tr>
        <w:trPr>
          <w:trHeight w:val="276" w:hRule="atLeast"/>
          <w:cantSplit w:val="true"/>
        </w:trPr>
        <w:tc>
          <w:tcPr>
            <w:tcW w:w="9245" w:type="dxa"/>
            <w:gridSpan w:val="10"/>
            <w:vMerge w:val="continue"/>
            <w:tcBorders/>
            <w:shd w:fill="auto" w:val="clear"/>
            <w:vAlign w:val="center"/>
          </w:tcPr>
          <w:p>
            <w:pPr>
              <w:pStyle w:val="Normal"/>
              <w:snapToGrid w:val="false"/>
              <w:rPr>
                <w:rFonts w:ascii="Arial" w:hAnsi="Arial" w:cs="Arial"/>
                <w:sz w:val="24"/>
              </w:rPr>
            </w:pPr>
            <w:r>
              <w:rPr>
                <w:rFonts w:cs="Arial" w:ascii="Arial" w:hAnsi="Arial"/>
                <w:sz w:val="24"/>
              </w:rPr>
            </w:r>
          </w:p>
        </w:tc>
      </w:tr>
      <w:tr>
        <w:trPr>
          <w:trHeight w:val="276" w:hRule="atLeast"/>
          <w:cantSplit w:val="true"/>
        </w:trPr>
        <w:tc>
          <w:tcPr>
            <w:tcW w:w="9245" w:type="dxa"/>
            <w:gridSpan w:val="10"/>
            <w:vMerge w:val="continue"/>
            <w:tcBorders/>
            <w:shd w:fill="auto" w:val="clear"/>
            <w:vAlign w:val="center"/>
          </w:tcPr>
          <w:p>
            <w:pPr>
              <w:pStyle w:val="Normal"/>
              <w:snapToGrid w:val="false"/>
              <w:rPr>
                <w:rFonts w:ascii="Arial" w:hAnsi="Arial" w:cs="Arial"/>
                <w:sz w:val="24"/>
              </w:rPr>
            </w:pPr>
            <w:r>
              <w:rPr>
                <w:rFonts w:cs="Arial" w:ascii="Arial" w:hAnsi="Arial"/>
                <w:sz w:val="24"/>
              </w:rPr>
            </w:r>
          </w:p>
        </w:tc>
      </w:tr>
      <w:tr>
        <w:trPr>
          <w:trHeight w:val="276" w:hRule="atLeast"/>
          <w:cantSplit w:val="true"/>
        </w:trPr>
        <w:tc>
          <w:tcPr>
            <w:tcW w:w="9245" w:type="dxa"/>
            <w:gridSpan w:val="10"/>
            <w:vMerge w:val="continue"/>
            <w:tcBorders/>
            <w:shd w:fill="auto" w:val="clear"/>
            <w:vAlign w:val="center"/>
          </w:tcPr>
          <w:p>
            <w:pPr>
              <w:pStyle w:val="Normal"/>
              <w:snapToGrid w:val="false"/>
              <w:rPr>
                <w:rFonts w:ascii="Arial" w:hAnsi="Arial" w:cs="Arial"/>
                <w:sz w:val="24"/>
              </w:rPr>
            </w:pPr>
            <w:r>
              <w:rPr>
                <w:rFonts w:cs="Arial" w:ascii="Arial" w:hAnsi="Arial"/>
                <w:sz w:val="24"/>
              </w:rPr>
            </w:r>
          </w:p>
        </w:tc>
      </w:tr>
      <w:tr>
        <w:trPr>
          <w:trHeight w:val="211" w:hRule="atLeast"/>
        </w:trPr>
        <w:tc>
          <w:tcPr>
            <w:tcW w:w="1016" w:type="dxa"/>
            <w:tcBorders/>
            <w:shd w:fill="auto" w:val="clear"/>
          </w:tcPr>
          <w:p>
            <w:pPr>
              <w:pStyle w:val="Normal"/>
              <w:rPr>
                <w:rFonts w:ascii="Arial" w:hAnsi="Arial" w:cs="Arial"/>
                <w:sz w:val="24"/>
              </w:rPr>
            </w:pPr>
            <w:r>
              <w:rPr>
                <w:rFonts w:cs="Arial" w:ascii="Arial" w:hAnsi="Arial"/>
                <w:sz w:val="24"/>
              </w:rPr>
              <w:t xml:space="preserve">NB : </w:t>
            </w:r>
          </w:p>
        </w:tc>
        <w:tc>
          <w:tcPr>
            <w:tcW w:w="198" w:type="dxa"/>
            <w:tcBorders/>
            <w:shd w:fill="auto" w:val="clear"/>
            <w:vAlign w:val="bottom"/>
          </w:tcPr>
          <w:p>
            <w:pPr>
              <w:pStyle w:val="Normal"/>
              <w:snapToGrid w:val="false"/>
              <w:rPr>
                <w:rFonts w:ascii="Arial" w:hAnsi="Arial" w:cs="Arial"/>
                <w:sz w:val="24"/>
              </w:rPr>
            </w:pPr>
            <w:r>
              <w:rPr>
                <w:rFonts w:cs="Arial" w:ascii="Arial" w:hAnsi="Arial"/>
                <w:sz w:val="24"/>
              </w:rPr>
            </w:r>
          </w:p>
        </w:tc>
        <w:tc>
          <w:tcPr>
            <w:tcW w:w="858" w:type="dxa"/>
            <w:tcBorders/>
            <w:shd w:fill="auto" w:val="clear"/>
            <w:vAlign w:val="bottom"/>
          </w:tcPr>
          <w:p>
            <w:pPr>
              <w:pStyle w:val="Normal"/>
              <w:snapToGrid w:val="false"/>
              <w:rPr>
                <w:rFonts w:ascii="Arial" w:hAnsi="Arial" w:cs="Arial"/>
                <w:sz w:val="24"/>
              </w:rPr>
            </w:pPr>
            <w:r>
              <w:rPr>
                <w:rFonts w:cs="Arial" w:ascii="Arial" w:hAnsi="Arial"/>
                <w:sz w:val="24"/>
              </w:rPr>
            </w:r>
          </w:p>
        </w:tc>
        <w:tc>
          <w:tcPr>
            <w:tcW w:w="968" w:type="dxa"/>
            <w:tcBorders/>
            <w:shd w:fill="auto" w:val="clear"/>
            <w:vAlign w:val="bottom"/>
          </w:tcPr>
          <w:p>
            <w:pPr>
              <w:pStyle w:val="Normal"/>
              <w:snapToGrid w:val="false"/>
              <w:rPr>
                <w:rFonts w:ascii="Arial" w:hAnsi="Arial" w:cs="Arial"/>
                <w:sz w:val="24"/>
              </w:rPr>
            </w:pPr>
            <w:r>
              <w:rPr>
                <w:rFonts w:cs="Arial" w:ascii="Arial" w:hAnsi="Arial"/>
                <w:sz w:val="24"/>
              </w:rPr>
            </w:r>
          </w:p>
        </w:tc>
        <w:tc>
          <w:tcPr>
            <w:tcW w:w="769" w:type="dxa"/>
            <w:tcBorders/>
            <w:shd w:fill="auto" w:val="clear"/>
            <w:vAlign w:val="bottom"/>
          </w:tcPr>
          <w:p>
            <w:pPr>
              <w:pStyle w:val="Normal"/>
              <w:snapToGrid w:val="false"/>
              <w:rPr>
                <w:rFonts w:ascii="Arial" w:hAnsi="Arial" w:cs="Arial"/>
                <w:sz w:val="24"/>
              </w:rPr>
            </w:pPr>
            <w:r>
              <w:rPr>
                <w:rFonts w:cs="Arial" w:ascii="Arial" w:hAnsi="Arial"/>
                <w:sz w:val="24"/>
              </w:rPr>
            </w:r>
          </w:p>
        </w:tc>
        <w:tc>
          <w:tcPr>
            <w:tcW w:w="968" w:type="dxa"/>
            <w:tcBorders/>
            <w:shd w:fill="auto" w:val="clear"/>
            <w:vAlign w:val="bottom"/>
          </w:tcPr>
          <w:p>
            <w:pPr>
              <w:pStyle w:val="Normal"/>
              <w:snapToGrid w:val="false"/>
              <w:rPr>
                <w:rFonts w:ascii="Arial" w:hAnsi="Arial" w:cs="Arial"/>
                <w:sz w:val="24"/>
              </w:rPr>
            </w:pPr>
            <w:r>
              <w:rPr>
                <w:rFonts w:cs="Arial" w:ascii="Arial" w:hAnsi="Arial"/>
                <w:sz w:val="24"/>
              </w:rPr>
            </w:r>
          </w:p>
        </w:tc>
        <w:tc>
          <w:tcPr>
            <w:tcW w:w="968" w:type="dxa"/>
            <w:tcBorders/>
            <w:shd w:fill="auto" w:val="clear"/>
            <w:vAlign w:val="bottom"/>
          </w:tcPr>
          <w:p>
            <w:pPr>
              <w:pStyle w:val="Normal"/>
              <w:snapToGrid w:val="false"/>
              <w:rPr>
                <w:rFonts w:ascii="Arial" w:hAnsi="Arial" w:cs="Arial"/>
                <w:sz w:val="24"/>
              </w:rPr>
            </w:pPr>
            <w:r>
              <w:rPr>
                <w:rFonts w:cs="Arial" w:ascii="Arial" w:hAnsi="Arial"/>
                <w:sz w:val="24"/>
              </w:rPr>
            </w:r>
          </w:p>
        </w:tc>
        <w:tc>
          <w:tcPr>
            <w:tcW w:w="1165" w:type="dxa"/>
            <w:tcBorders/>
            <w:shd w:fill="auto" w:val="clear"/>
            <w:vAlign w:val="bottom"/>
          </w:tcPr>
          <w:p>
            <w:pPr>
              <w:pStyle w:val="Normal"/>
              <w:snapToGrid w:val="false"/>
              <w:rPr>
                <w:rFonts w:ascii="Arial" w:hAnsi="Arial" w:cs="Arial"/>
                <w:sz w:val="24"/>
              </w:rPr>
            </w:pPr>
            <w:r>
              <w:rPr>
                <w:rFonts w:cs="Arial" w:ascii="Arial" w:hAnsi="Arial"/>
                <w:sz w:val="24"/>
              </w:rPr>
            </w:r>
          </w:p>
        </w:tc>
        <w:tc>
          <w:tcPr>
            <w:tcW w:w="1034" w:type="dxa"/>
            <w:tcBorders/>
            <w:shd w:fill="auto" w:val="clear"/>
            <w:vAlign w:val="bottom"/>
          </w:tcPr>
          <w:p>
            <w:pPr>
              <w:pStyle w:val="Normal"/>
              <w:snapToGrid w:val="false"/>
              <w:rPr>
                <w:rFonts w:ascii="Arial" w:hAnsi="Arial" w:cs="Arial"/>
                <w:sz w:val="24"/>
              </w:rPr>
            </w:pPr>
            <w:r>
              <w:rPr>
                <w:rFonts w:cs="Arial" w:ascii="Arial" w:hAnsi="Arial"/>
                <w:sz w:val="24"/>
              </w:rPr>
            </w:r>
          </w:p>
        </w:tc>
        <w:tc>
          <w:tcPr>
            <w:tcW w:w="1301" w:type="dxa"/>
            <w:tcBorders/>
            <w:shd w:fill="auto" w:val="clear"/>
            <w:vAlign w:val="bottom"/>
          </w:tcPr>
          <w:p>
            <w:pPr>
              <w:pStyle w:val="Normal"/>
              <w:rPr>
                <w:rFonts w:ascii="Arial" w:hAnsi="Arial" w:cs="Arial"/>
                <w:sz w:val="24"/>
              </w:rPr>
            </w:pPr>
            <w:r>
              <w:rPr>
                <w:rFonts w:cs="Arial" w:ascii="Arial" w:hAnsi="Arial"/>
                <w:sz w:val="24"/>
              </w:rPr>
              <w:t> </w:t>
            </w:r>
          </w:p>
        </w:tc>
      </w:tr>
      <w:tr>
        <w:trPr>
          <w:trHeight w:val="211" w:hRule="atLeast"/>
        </w:trPr>
        <w:tc>
          <w:tcPr>
            <w:tcW w:w="9245" w:type="dxa"/>
            <w:gridSpan w:val="10"/>
            <w:tcBorders/>
            <w:shd w:fill="auto" w:val="clear"/>
            <w:vAlign w:val="bottom"/>
          </w:tcPr>
          <w:p>
            <w:pPr>
              <w:pStyle w:val="Normal"/>
              <w:jc w:val="both"/>
              <w:rPr>
                <w:rFonts w:ascii="Arial" w:hAnsi="Arial" w:cs="Arial"/>
                <w:sz w:val="24"/>
              </w:rPr>
            </w:pPr>
            <w:r>
              <w:rPr>
                <w:rFonts w:cs="Arial" w:ascii="Arial" w:hAnsi="Arial"/>
                <w:sz w:val="24"/>
              </w:rPr>
              <w:t>Cette indemnité est cumulable uniquement avec la prime transport public.</w:t>
            </w:r>
          </w:p>
        </w:tc>
      </w:tr>
    </w:tbl>
    <w:p>
      <w:pPr>
        <w:pStyle w:val="Normal"/>
        <w:tabs>
          <w:tab w:val="left" w:pos="360" w:leader="none"/>
        </w:tabs>
        <w:spacing w:before="80" w:after="0"/>
        <w:jc w:val="both"/>
        <w:rPr>
          <w:rFonts w:ascii="Arial" w:hAnsi="Arial" w:cs="Arial"/>
          <w:sz w:val="24"/>
        </w:rPr>
      </w:pPr>
      <w:r>
        <w:rPr>
          <w:rFonts w:cs="Arial" w:ascii="Arial" w:hAnsi="Arial"/>
          <w:sz w:val="24"/>
        </w:rPr>
      </w:r>
    </w:p>
    <w:p>
      <w:pPr>
        <w:pStyle w:val="Normal"/>
        <w:spacing w:before="80" w:after="0"/>
        <w:ind w:left="1416" w:hanging="0"/>
        <w:jc w:val="both"/>
        <w:rPr/>
      </w:pPr>
      <w:r>
        <w:rPr>
          <w:rFonts w:cs="Arial" w:ascii="Arial" w:hAnsi="Arial"/>
          <w:b/>
          <w:sz w:val="24"/>
        </w:rPr>
        <w:t xml:space="preserve">1-5 </w:t>
        <w:tab/>
        <w:t>Mesures de suivi des augmentations individuelles</w:t>
      </w:r>
    </w:p>
    <w:p>
      <w:pPr>
        <w:pStyle w:val="Normal"/>
        <w:jc w:val="both"/>
        <w:rPr/>
      </w:pPr>
      <w:r>
        <w:rPr>
          <w:rFonts w:cs="Arial" w:ascii="Arial" w:hAnsi="Arial"/>
          <w:sz w:val="24"/>
          <w:szCs w:val="24"/>
        </w:rPr>
        <w:t>Une démarche visant à identifier les salariés n’ayant pas eu d’augmentation depuis plus de 3 ans sera menée en 2018.</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Cette étude pourra conduire selon le cas à une révision salariale individuelle et /ou à un entretien individuel mené par la hiérarchie et le Responsable des Ressources Humaines, pour évoquer les raisons de cette situation et définir les actions à mener.</w:t>
      </w:r>
    </w:p>
    <w:p>
      <w:pPr>
        <w:pStyle w:val="Normal"/>
        <w:tabs>
          <w:tab w:val="left" w:pos="360" w:leader="none"/>
        </w:tabs>
        <w:spacing w:before="80" w:after="0"/>
        <w:jc w:val="both"/>
        <w:rPr>
          <w:rFonts w:ascii="Arial" w:hAnsi="Arial" w:cs="Arial"/>
          <w:sz w:val="24"/>
          <w:szCs w:val="24"/>
        </w:rPr>
      </w:pPr>
      <w:r>
        <w:rPr>
          <w:rFonts w:cs="Arial" w:ascii="Arial" w:hAnsi="Arial"/>
          <w:sz w:val="24"/>
          <w:szCs w:val="24"/>
        </w:rPr>
      </w:r>
    </w:p>
    <w:p>
      <w:pPr>
        <w:pStyle w:val="Normal"/>
        <w:spacing w:before="80" w:after="0"/>
        <w:ind w:left="1416" w:hanging="0"/>
        <w:jc w:val="both"/>
        <w:rPr/>
      </w:pPr>
      <w:r>
        <w:rPr>
          <w:rFonts w:cs="Arial" w:ascii="Arial" w:hAnsi="Arial"/>
          <w:b/>
          <w:sz w:val="24"/>
        </w:rPr>
        <w:t xml:space="preserve">1-6 </w:t>
        <w:tab/>
        <w:t xml:space="preserve">Egalité professionnelle </w:t>
      </w:r>
    </w:p>
    <w:p>
      <w:pPr>
        <w:pStyle w:val="Normal"/>
        <w:spacing w:before="80" w:after="0"/>
        <w:jc w:val="both"/>
        <w:rPr>
          <w:rFonts w:ascii="Arial" w:hAnsi="Arial" w:cs="Arial"/>
          <w:sz w:val="24"/>
          <w:szCs w:val="24"/>
        </w:rPr>
      </w:pPr>
      <w:r>
        <w:rPr>
          <w:rFonts w:cs="Arial" w:ascii="Arial" w:hAnsi="Arial"/>
          <w:sz w:val="24"/>
          <w:szCs w:val="24"/>
        </w:rPr>
        <w:t xml:space="preserve">La direction s’engage également à poursuivre le suivi particulier lors de l’examen des plans d’augmentations individuelles pour s’assurer que les propositions sont en adéquation avec le principe d’égalité de traitement. </w:t>
      </w:r>
    </w:p>
    <w:p>
      <w:pPr>
        <w:pStyle w:val="Normal"/>
        <w:spacing w:before="80" w:after="0"/>
        <w:jc w:val="both"/>
        <w:rPr>
          <w:rFonts w:ascii="Arial" w:hAnsi="Arial" w:cs="Arial"/>
          <w:sz w:val="24"/>
          <w:szCs w:val="24"/>
        </w:rPr>
      </w:pPr>
      <w:r>
        <w:rPr>
          <w:rFonts w:cs="Arial" w:ascii="Arial" w:hAnsi="Arial"/>
          <w:sz w:val="24"/>
          <w:szCs w:val="24"/>
        </w:rPr>
      </w:r>
    </w:p>
    <w:p>
      <w:pPr>
        <w:pStyle w:val="Normal"/>
        <w:spacing w:before="80" w:after="0"/>
        <w:jc w:val="both"/>
        <w:rPr>
          <w:rFonts w:ascii="Arial" w:hAnsi="Arial" w:cs="Arial"/>
          <w:sz w:val="24"/>
          <w:szCs w:val="24"/>
        </w:rPr>
      </w:pPr>
      <w:r>
        <w:rPr>
          <w:rFonts w:cs="Arial" w:ascii="Arial" w:hAnsi="Arial"/>
          <w:sz w:val="24"/>
          <w:szCs w:val="24"/>
        </w:rPr>
        <w:t xml:space="preserve">Par ailleurs, les exigences d’égalité de traitement seront formalisées dans la communication faite aux managers à l’occasion du lancement de la campagne d’augmentation. </w:t>
      </w:r>
    </w:p>
    <w:p>
      <w:pPr>
        <w:pStyle w:val="Normal"/>
        <w:spacing w:before="80" w:after="0"/>
        <w:jc w:val="both"/>
        <w:rPr>
          <w:rFonts w:ascii="Arial" w:hAnsi="Arial" w:cs="Arial"/>
          <w:sz w:val="24"/>
          <w:szCs w:val="24"/>
        </w:rPr>
      </w:pPr>
      <w:r>
        <w:rPr>
          <w:rFonts w:cs="Arial" w:ascii="Arial" w:hAnsi="Arial"/>
          <w:sz w:val="24"/>
          <w:szCs w:val="24"/>
        </w:rPr>
      </w:r>
    </w:p>
    <w:p>
      <w:pPr>
        <w:pStyle w:val="Normal"/>
        <w:spacing w:before="80" w:after="0"/>
        <w:jc w:val="both"/>
        <w:rPr>
          <w:rFonts w:ascii="Arial" w:hAnsi="Arial" w:cs="Arial"/>
          <w:sz w:val="24"/>
          <w:szCs w:val="24"/>
        </w:rPr>
      </w:pPr>
      <w:r>
        <w:rPr>
          <w:rFonts w:cs="Arial" w:ascii="Arial" w:hAnsi="Arial"/>
          <w:sz w:val="24"/>
          <w:szCs w:val="24"/>
        </w:rPr>
        <w:t xml:space="preserve">Un budget de </w:t>
      </w:r>
      <w:r>
        <w:rPr>
          <w:rFonts w:cs="Arial" w:ascii="Arial" w:hAnsi="Arial"/>
          <w:b/>
          <w:color w:val="0070C0"/>
          <w:sz w:val="24"/>
          <w:szCs w:val="24"/>
        </w:rPr>
        <w:t>0,1%</w:t>
      </w:r>
      <w:r>
        <w:rPr>
          <w:rFonts w:cs="Arial" w:ascii="Arial" w:hAnsi="Arial"/>
          <w:sz w:val="24"/>
          <w:szCs w:val="24"/>
        </w:rPr>
        <w:t xml:space="preserve"> de la masse salariale sera réservé à l’égalité professionnelle pour l’année </w:t>
      </w:r>
      <w:r>
        <w:rPr>
          <w:rFonts w:cs="Arial" w:ascii="Arial" w:hAnsi="Arial"/>
          <w:sz w:val="24"/>
          <w:szCs w:val="24"/>
          <w:u w:val="single"/>
        </w:rPr>
        <w:t>2018</w:t>
      </w:r>
      <w:r>
        <w:rPr>
          <w:rFonts w:cs="Arial" w:ascii="Arial" w:hAnsi="Arial"/>
          <w:sz w:val="24"/>
          <w:szCs w:val="24"/>
        </w:rPr>
        <w:t xml:space="preserve">. </w:t>
      </w:r>
    </w:p>
    <w:p>
      <w:pPr>
        <w:pStyle w:val="Normal"/>
        <w:spacing w:before="80" w:after="0"/>
        <w:jc w:val="both"/>
        <w:rPr>
          <w:rFonts w:ascii="Arial" w:hAnsi="Arial" w:cs="Arial"/>
          <w:sz w:val="24"/>
          <w:szCs w:val="24"/>
        </w:rPr>
      </w:pPr>
      <w:r>
        <w:rPr>
          <w:rFonts w:cs="Arial" w:ascii="Arial" w:hAnsi="Arial"/>
          <w:sz w:val="24"/>
          <w:szCs w:val="24"/>
        </w:rPr>
      </w:r>
    </w:p>
    <w:p>
      <w:pPr>
        <w:pStyle w:val="Normal"/>
        <w:spacing w:before="80" w:after="0"/>
        <w:ind w:left="1416" w:hanging="0"/>
        <w:jc w:val="both"/>
        <w:rPr/>
      </w:pPr>
      <w:r>
        <w:rPr>
          <w:rFonts w:cs="Arial" w:ascii="Arial" w:hAnsi="Arial"/>
          <w:b/>
          <w:sz w:val="24"/>
        </w:rPr>
        <w:t>1-7</w:t>
        <w:tab/>
        <w:t xml:space="preserve"> En conclusion</w:t>
      </w:r>
    </w:p>
    <w:p>
      <w:pPr>
        <w:pStyle w:val="Normal"/>
        <w:tabs>
          <w:tab w:val="left" w:pos="360" w:leader="none"/>
        </w:tabs>
        <w:spacing w:before="80" w:after="0"/>
        <w:jc w:val="both"/>
        <w:rPr/>
      </w:pPr>
      <w:r>
        <w:rPr>
          <w:rFonts w:cs="Arial" w:ascii="Arial" w:hAnsi="Arial"/>
          <w:sz w:val="24"/>
        </w:rPr>
        <w:t xml:space="preserve">L’ensemble des enveloppes d’augmentations salariales mentionnées ci-dessus, représente </w:t>
      </w:r>
      <w:r>
        <w:rPr>
          <w:rFonts w:cs="Arial" w:ascii="Arial" w:hAnsi="Arial"/>
          <w:b/>
          <w:color w:val="0070C0"/>
          <w:sz w:val="24"/>
        </w:rPr>
        <w:t>une enveloppe d’augmentation de 3%</w:t>
      </w:r>
      <w:r>
        <w:rPr>
          <w:rFonts w:cs="Arial" w:ascii="Arial" w:hAnsi="Arial"/>
          <w:b/>
          <w:sz w:val="24"/>
        </w:rPr>
        <w:t xml:space="preserve"> </w:t>
      </w:r>
      <w:r>
        <w:rPr>
          <w:rFonts w:cs="Arial" w:ascii="Arial" w:hAnsi="Arial"/>
          <w:sz w:val="24"/>
        </w:rPr>
        <w:t>environ pour</w:t>
      </w:r>
      <w:r>
        <w:rPr>
          <w:rFonts w:cs="Arial" w:ascii="Arial" w:hAnsi="Arial"/>
          <w:b/>
          <w:sz w:val="24"/>
        </w:rPr>
        <w:t xml:space="preserve"> </w:t>
      </w:r>
      <w:r>
        <w:rPr>
          <w:rFonts w:cs="Arial" w:ascii="Arial" w:hAnsi="Arial"/>
          <w:sz w:val="24"/>
          <w:u w:val="single"/>
        </w:rPr>
        <w:t>2018</w:t>
      </w:r>
      <w:r>
        <w:rPr>
          <w:rFonts w:cs="Arial" w:ascii="Arial" w:hAnsi="Arial"/>
          <w:sz w:val="24"/>
        </w:rPr>
        <w:t xml:space="preserve">. </w:t>
      </w:r>
    </w:p>
    <w:p>
      <w:pPr>
        <w:pStyle w:val="Paragraphedeliste"/>
        <w:jc w:val="both"/>
        <w:rPr>
          <w:rFonts w:ascii="Arial" w:hAnsi="Arial" w:cs="Arial"/>
          <w:sz w:val="28"/>
        </w:rPr>
      </w:pPr>
      <w:r>
        <w:rPr>
          <w:rFonts w:cs="Arial" w:ascii="Arial" w:hAnsi="Arial"/>
          <w:sz w:val="28"/>
        </w:rPr>
      </w:r>
    </w:p>
    <w:p>
      <w:pPr>
        <w:pStyle w:val="Paragraphedeliste"/>
        <w:jc w:val="both"/>
        <w:rPr>
          <w:rFonts w:ascii="Arial" w:hAnsi="Arial" w:cs="Arial"/>
          <w:sz w:val="28"/>
        </w:rPr>
      </w:pPr>
      <w:r>
        <w:rPr>
          <w:rFonts w:cs="Arial" w:ascii="Arial" w:hAnsi="Arial"/>
          <w:sz w:val="28"/>
        </w:rPr>
      </w:r>
    </w:p>
    <w:p>
      <w:pPr>
        <w:pStyle w:val="Paragraphedeliste"/>
        <w:jc w:val="both"/>
        <w:rPr>
          <w:rFonts w:ascii="Arial" w:hAnsi="Arial" w:cs="Arial"/>
          <w:sz w:val="28"/>
        </w:rPr>
      </w:pPr>
      <w:r>
        <w:rPr>
          <w:rFonts w:cs="Arial" w:ascii="Arial" w:hAnsi="Arial"/>
          <w:sz w:val="28"/>
        </w:rPr>
      </w:r>
    </w:p>
    <w:p>
      <w:pPr>
        <w:pStyle w:val="Paragraphedeliste"/>
        <w:jc w:val="both"/>
        <w:rPr>
          <w:rFonts w:ascii="Arial" w:hAnsi="Arial" w:cs="Arial"/>
          <w:sz w:val="28"/>
        </w:rPr>
      </w:pPr>
      <w:r>
        <w:rPr>
          <w:rFonts w:cs="Arial" w:ascii="Arial" w:hAnsi="Arial"/>
          <w:sz w:val="28"/>
        </w:rPr>
      </w:r>
    </w:p>
    <w:p>
      <w:pPr>
        <w:pStyle w:val="TextBody"/>
        <w:rPr>
          <w:rFonts w:cs="Arial"/>
          <w:b/>
          <w:b/>
          <w:u w:val="single"/>
        </w:rPr>
      </w:pPr>
      <w:r>
        <w:rPr>
          <w:rFonts w:cs="Arial" w:ascii="Arial" w:hAnsi="Arial"/>
          <w:b/>
          <w:sz w:val="24"/>
          <w:u w:val="single"/>
        </w:rPr>
        <w:t>Chapitre 2 – Retraite</w:t>
      </w:r>
    </w:p>
    <w:p>
      <w:pPr>
        <w:pStyle w:val="Normal"/>
        <w:spacing w:before="80" w:after="0"/>
        <w:ind w:left="1416" w:hanging="0"/>
        <w:jc w:val="both"/>
        <w:rPr>
          <w:rFonts w:ascii="Arial" w:hAnsi="Arial" w:cs="Arial"/>
          <w:b/>
          <w:b/>
          <w:sz w:val="24"/>
          <w:szCs w:val="24"/>
        </w:rPr>
      </w:pPr>
      <w:r>
        <w:rPr>
          <w:rFonts w:cs="Arial" w:ascii="Arial" w:hAnsi="Arial"/>
          <w:b/>
          <w:sz w:val="24"/>
          <w:szCs w:val="24"/>
        </w:rPr>
        <w:t>2-1</w:t>
        <w:tab/>
        <w:t xml:space="preserve"> Barème</w:t>
      </w:r>
    </w:p>
    <w:p>
      <w:pPr>
        <w:pStyle w:val="Normal"/>
        <w:spacing w:before="80" w:after="0"/>
        <w:jc w:val="both"/>
        <w:rPr>
          <w:rFonts w:ascii="Arial" w:hAnsi="Arial" w:cs="Arial"/>
          <w:sz w:val="24"/>
        </w:rPr>
      </w:pPr>
      <w:r>
        <w:rPr>
          <w:rFonts w:cs="Arial" w:ascii="Arial" w:hAnsi="Arial"/>
          <w:sz w:val="24"/>
        </w:rPr>
        <w:t xml:space="preserve">Le barème d'indemnités est amélioré pour les départs volontaires en retraite sur l’année 2018. </w:t>
      </w:r>
    </w:p>
    <w:p>
      <w:pPr>
        <w:pStyle w:val="Normal"/>
        <w:spacing w:before="80" w:after="0"/>
        <w:jc w:val="both"/>
        <w:rPr>
          <w:rFonts w:ascii="Arial" w:hAnsi="Arial" w:cs="Arial"/>
          <w:sz w:val="24"/>
        </w:rPr>
      </w:pPr>
      <w:r>
        <w:rPr>
          <w:rFonts w:cs="Arial" w:ascii="Arial" w:hAnsi="Arial"/>
          <w:sz w:val="24"/>
        </w:rPr>
        <w:t xml:space="preserve">Le barème d'indemnités de départ à la retraite est défini par la convention collective applicable. </w:t>
      </w:r>
    </w:p>
    <w:p>
      <w:pPr>
        <w:pStyle w:val="Normal"/>
        <w:spacing w:before="80" w:after="0"/>
        <w:jc w:val="both"/>
        <w:rPr>
          <w:rFonts w:ascii="Arial" w:hAnsi="Arial" w:cs="Arial"/>
          <w:sz w:val="24"/>
        </w:rPr>
      </w:pPr>
      <w:r>
        <w:rPr>
          <w:rFonts w:cs="Arial" w:ascii="Arial" w:hAnsi="Arial"/>
          <w:sz w:val="24"/>
        </w:rPr>
        <w:t xml:space="preserve">Dans le cadre du présent accord, le barème est amélioré pour les départs volontaires en retraite entre le 1er avril 2018 et le 31 mars 2019 (date de sortie des effectifs), selon les modalités suivantes : </w:t>
      </w:r>
    </w:p>
    <w:p>
      <w:pPr>
        <w:pStyle w:val="Normal"/>
        <w:spacing w:before="80" w:after="0"/>
        <w:jc w:val="both"/>
        <w:rPr>
          <w:rFonts w:ascii="Arial" w:hAnsi="Arial" w:cs="Arial"/>
          <w:sz w:val="24"/>
        </w:rPr>
      </w:pPr>
      <w:r>
        <w:rPr>
          <w:rFonts w:cs="Arial" w:ascii="Arial" w:hAnsi="Arial"/>
          <w:sz w:val="24"/>
        </w:rPr>
      </w:r>
    </w:p>
    <w:tbl>
      <w:tblPr>
        <w:tblW w:w="9700" w:type="dxa"/>
        <w:jc w:val="left"/>
        <w:tblInd w:w="45" w:type="dxa"/>
        <w:tblBorders>
          <w:top w:val="single" w:sz="8" w:space="0" w:color="000000"/>
          <w:left w:val="single" w:sz="8" w:space="0" w:color="000000"/>
        </w:tblBorders>
        <w:tblCellMar>
          <w:top w:w="0" w:type="dxa"/>
          <w:left w:w="60" w:type="dxa"/>
          <w:bottom w:w="0" w:type="dxa"/>
          <w:right w:w="70" w:type="dxa"/>
        </w:tblCellMar>
      </w:tblPr>
      <w:tblGrid>
        <w:gridCol w:w="3760"/>
        <w:gridCol w:w="2900"/>
        <w:gridCol w:w="3040"/>
      </w:tblGrid>
      <w:tr>
        <w:trPr>
          <w:trHeight w:val="645" w:hRule="atLeast"/>
        </w:trPr>
        <w:tc>
          <w:tcPr>
            <w:tcW w:w="3760" w:type="dxa"/>
            <w:tcBorders>
              <w:top w:val="single" w:sz="8" w:space="0" w:color="000000"/>
              <w:left w:val="single" w:sz="8" w:space="0" w:color="000000"/>
            </w:tcBorders>
            <w:shd w:fill="auto" w:val="clear"/>
            <w:tcMar>
              <w:left w:w="60" w:type="dxa"/>
            </w:tcMar>
          </w:tcPr>
          <w:p>
            <w:pPr>
              <w:pStyle w:val="Normal"/>
              <w:spacing w:before="120" w:after="120"/>
              <w:jc w:val="center"/>
              <w:rPr>
                <w:b/>
                <w:b/>
                <w:bCs/>
              </w:rPr>
            </w:pPr>
            <w:r>
              <w:rPr>
                <w:b/>
                <w:bCs/>
              </w:rPr>
              <w:t>Années d’ancienneté</w:t>
            </w:r>
          </w:p>
        </w:tc>
        <w:tc>
          <w:tcPr>
            <w:tcW w:w="2900" w:type="dxa"/>
            <w:tcBorders>
              <w:top w:val="single" w:sz="8" w:space="0" w:color="000000"/>
              <w:left w:val="single" w:sz="8" w:space="0" w:color="000000"/>
            </w:tcBorders>
            <w:shd w:fill="auto" w:val="clear"/>
            <w:tcMar>
              <w:left w:w="60" w:type="dxa"/>
            </w:tcMar>
          </w:tcPr>
          <w:p>
            <w:pPr>
              <w:pStyle w:val="Normal"/>
              <w:spacing w:before="120" w:after="120"/>
              <w:jc w:val="center"/>
              <w:rPr>
                <w:b/>
                <w:b/>
                <w:bCs/>
              </w:rPr>
            </w:pPr>
            <w:r>
              <w:rPr>
                <w:b/>
                <w:bCs/>
              </w:rPr>
              <w:t>Départ volontaire pour carrière longue</w:t>
            </w:r>
          </w:p>
        </w:tc>
        <w:tc>
          <w:tcPr>
            <w:tcW w:w="3040" w:type="dxa"/>
            <w:tcBorders>
              <w:top w:val="single" w:sz="8" w:space="0" w:color="000000"/>
              <w:left w:val="single" w:sz="8" w:space="0" w:color="000000"/>
              <w:right w:val="single" w:sz="8" w:space="0" w:color="000000"/>
              <w:insideV w:val="single" w:sz="8" w:space="0" w:color="000000"/>
            </w:tcBorders>
            <w:shd w:fill="auto" w:val="clear"/>
            <w:tcMar>
              <w:left w:w="60" w:type="dxa"/>
            </w:tcMar>
          </w:tcPr>
          <w:p>
            <w:pPr>
              <w:pStyle w:val="Normal"/>
              <w:spacing w:before="120" w:after="120"/>
              <w:jc w:val="center"/>
              <w:rPr>
                <w:b/>
                <w:b/>
                <w:bCs/>
              </w:rPr>
            </w:pPr>
            <w:r>
              <w:rPr>
                <w:b/>
                <w:bCs/>
              </w:rPr>
              <w:t>Départ volontaire dès l’âge légal de la retraite atteint*</w:t>
            </w:r>
          </w:p>
        </w:tc>
      </w:tr>
      <w:tr>
        <w:trPr>
          <w:trHeight w:val="330" w:hRule="atLeast"/>
        </w:trPr>
        <w:tc>
          <w:tcPr>
            <w:tcW w:w="3760" w:type="dxa"/>
            <w:tcBorders>
              <w:top w:val="single" w:sz="8" w:space="0" w:color="000000"/>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moins de deux ans</w:t>
            </w:r>
          </w:p>
        </w:tc>
        <w:tc>
          <w:tcPr>
            <w:tcW w:w="2900" w:type="dxa"/>
            <w:tcBorders>
              <w:top w:val="single" w:sz="8" w:space="0" w:color="000000"/>
              <w:left w:val="single" w:sz="8" w:space="0" w:color="000000"/>
              <w:bottom w:val="single" w:sz="8" w:space="0" w:color="000000"/>
              <w:insideH w:val="single" w:sz="8" w:space="0" w:color="000000"/>
            </w:tcBorders>
            <w:shd w:fill="C0C0C0" w:val="clear"/>
            <w:tcMar>
              <w:left w:w="60" w:type="dxa"/>
            </w:tcMar>
          </w:tcPr>
          <w:p>
            <w:pPr>
              <w:pStyle w:val="Normal"/>
              <w:spacing w:before="120" w:after="120"/>
              <w:jc w:val="center"/>
              <w:rPr/>
            </w:pPr>
            <w:r>
              <w:rPr/>
              <w:t> </w:t>
            </w:r>
          </w:p>
        </w:tc>
        <w:tc>
          <w:tcPr>
            <w:tcW w:w="3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Mar>
              <w:left w:w="60" w:type="dxa"/>
            </w:tcMar>
          </w:tcPr>
          <w:p>
            <w:pPr>
              <w:pStyle w:val="Normal"/>
              <w:spacing w:before="120" w:after="120"/>
              <w:jc w:val="center"/>
              <w:rPr/>
            </w:pPr>
            <w:r>
              <w:rPr/>
              <w:t> </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2 ans révolus à moins de 5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3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1,5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5 ans révolus à moins de 10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4,5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2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10 ans révolus à moins de 15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6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3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15 ans révolus à moins de 20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6,5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4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20 ans révolus à moins de 25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7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5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25 ans révolus à moins de 30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7,5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5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30 ans révolus à moins de 35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9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6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de 35 ans révolus à moins de 40 ans</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9,5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7 mois</w:t>
            </w:r>
          </w:p>
        </w:tc>
      </w:tr>
      <w:tr>
        <w:trPr>
          <w:trHeight w:val="330" w:hRule="atLeast"/>
        </w:trPr>
        <w:tc>
          <w:tcPr>
            <w:tcW w:w="376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40 ans révolus et +</w:t>
            </w:r>
          </w:p>
        </w:tc>
        <w:tc>
          <w:tcPr>
            <w:tcW w:w="2900" w:type="dxa"/>
            <w:tcBorders>
              <w:left w:val="single" w:sz="8" w:space="0" w:color="000000"/>
              <w:bottom w:val="single" w:sz="8" w:space="0" w:color="000000"/>
              <w:insideH w:val="single" w:sz="8" w:space="0" w:color="000000"/>
            </w:tcBorders>
            <w:shd w:fill="auto" w:val="clear"/>
            <w:tcMar>
              <w:left w:w="60" w:type="dxa"/>
            </w:tcMar>
          </w:tcPr>
          <w:p>
            <w:pPr>
              <w:pStyle w:val="Normal"/>
              <w:spacing w:before="120" w:after="120"/>
              <w:jc w:val="center"/>
              <w:rPr/>
            </w:pPr>
            <w:r>
              <w:rPr/>
              <w:t>10,5 mois</w:t>
            </w:r>
          </w:p>
        </w:tc>
        <w:tc>
          <w:tcPr>
            <w:tcW w:w="30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tcPr>
          <w:p>
            <w:pPr>
              <w:pStyle w:val="Normal"/>
              <w:spacing w:before="120" w:after="120"/>
              <w:jc w:val="center"/>
              <w:rPr/>
            </w:pPr>
            <w:r>
              <w:rPr/>
              <w:t>8 mois</w:t>
            </w:r>
          </w:p>
        </w:tc>
      </w:tr>
    </w:tbl>
    <w:p>
      <w:pPr>
        <w:pStyle w:val="Normal"/>
        <w:tabs>
          <w:tab w:val="left" w:pos="720" w:leader="none"/>
          <w:tab w:val="left" w:pos="1440" w:leader="none"/>
        </w:tabs>
        <w:spacing w:before="80" w:after="0"/>
        <w:jc w:val="both"/>
        <w:rPr>
          <w:rFonts w:ascii="Arial" w:hAnsi="Arial" w:cs="Arial"/>
          <w:sz w:val="18"/>
          <w:szCs w:val="18"/>
        </w:rPr>
      </w:pPr>
      <w:r>
        <w:rPr/>
        <w:t>*</w:t>
      </w:r>
      <w:r>
        <w:rPr>
          <w:rFonts w:cs="Arial" w:ascii="Arial" w:hAnsi="Arial"/>
          <w:sz w:val="18"/>
          <w:szCs w:val="18"/>
        </w:rPr>
        <w:t>62 ans pour les salariés nés à compter de 1955</w:t>
      </w:r>
    </w:p>
    <w:p>
      <w:pPr>
        <w:pStyle w:val="Normal"/>
        <w:tabs>
          <w:tab w:val="left" w:pos="720" w:leader="none"/>
          <w:tab w:val="left" w:pos="1440" w:leader="none"/>
        </w:tabs>
        <w:spacing w:before="80" w:after="0"/>
        <w:jc w:val="both"/>
        <w:rPr>
          <w:rFonts w:ascii="Arial" w:hAnsi="Arial" w:cs="Arial"/>
          <w:sz w:val="18"/>
          <w:szCs w:val="18"/>
        </w:rPr>
      </w:pPr>
      <w:r>
        <w:rPr>
          <w:rFonts w:cs="Arial" w:ascii="Arial" w:hAnsi="Arial"/>
          <w:sz w:val="18"/>
          <w:szCs w:val="18"/>
        </w:rPr>
      </w:r>
    </w:p>
    <w:p>
      <w:pPr>
        <w:pStyle w:val="Normal"/>
        <w:spacing w:before="80" w:after="0"/>
        <w:ind w:left="1416" w:hanging="0"/>
        <w:jc w:val="both"/>
        <w:rPr>
          <w:rFonts w:ascii="Arial" w:hAnsi="Arial" w:cs="Arial"/>
          <w:b/>
          <w:b/>
          <w:sz w:val="24"/>
          <w:szCs w:val="24"/>
        </w:rPr>
      </w:pPr>
      <w:r>
        <w:rPr>
          <w:rFonts w:cs="Arial" w:ascii="Arial" w:hAnsi="Arial"/>
          <w:b/>
          <w:sz w:val="24"/>
          <w:szCs w:val="24"/>
        </w:rPr>
        <w:t>2-1</w:t>
        <w:tab/>
        <w:t xml:space="preserve"> Congé supplémentaire lors de départ en retraite </w:t>
      </w:r>
    </w:p>
    <w:p>
      <w:pPr>
        <w:pStyle w:val="Normal"/>
        <w:spacing w:before="80" w:after="0"/>
        <w:jc w:val="both"/>
        <w:rPr>
          <w:rFonts w:ascii="Arial" w:hAnsi="Arial" w:cs="Arial"/>
        </w:rPr>
      </w:pPr>
      <w:r>
        <w:rPr>
          <w:rFonts w:cs="Arial" w:ascii="Arial" w:hAnsi="Arial"/>
          <w:sz w:val="24"/>
        </w:rPr>
        <w:t xml:space="preserve">La direction attribuera </w:t>
      </w:r>
      <w:r>
        <w:rPr>
          <w:rFonts w:cs="Arial" w:ascii="Arial" w:hAnsi="Arial"/>
          <w:b/>
          <w:color w:val="0070C0"/>
          <w:sz w:val="24"/>
          <w:szCs w:val="24"/>
        </w:rPr>
        <w:t>un jour de congés supplémentaire</w:t>
      </w:r>
      <w:r>
        <w:rPr>
          <w:rFonts w:cs="Arial" w:ascii="Arial" w:hAnsi="Arial"/>
          <w:sz w:val="24"/>
        </w:rPr>
        <w:t xml:space="preserve"> aux salariés bénéficiant d’un départ en retraite (volontaire, négocié) à partir de </w:t>
      </w:r>
      <w:r>
        <w:rPr>
          <w:rFonts w:cs="Arial" w:ascii="Arial" w:hAnsi="Arial"/>
          <w:sz w:val="24"/>
          <w:szCs w:val="24"/>
          <w:u w:val="single"/>
        </w:rPr>
        <w:t>2018</w:t>
      </w:r>
      <w:r>
        <w:rPr>
          <w:rFonts w:cs="Arial" w:ascii="Arial" w:hAnsi="Arial"/>
          <w:sz w:val="24"/>
        </w:rPr>
        <w:t xml:space="preserve">. </w:t>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t xml:space="preserve">Chapitre 3 – Ancienneté </w:t>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
        <w:tabs>
          <w:tab w:val="left" w:pos="720" w:leader="none"/>
          <w:tab w:val="left" w:pos="1440" w:leader="none"/>
        </w:tabs>
        <w:jc w:val="both"/>
        <w:rPr/>
      </w:pPr>
      <w:r>
        <w:rPr>
          <w:rFonts w:cs="Arial" w:ascii="Arial" w:hAnsi="Arial"/>
          <w:sz w:val="24"/>
          <w:szCs w:val="24"/>
        </w:rPr>
        <w:t xml:space="preserve">La Direction confirme que le </w:t>
      </w:r>
      <w:r>
        <w:rPr>
          <w:rFonts w:cs="Arial" w:ascii="Arial" w:hAnsi="Arial"/>
          <w:b/>
          <w:color w:val="0070C0"/>
          <w:sz w:val="24"/>
          <w:szCs w:val="24"/>
        </w:rPr>
        <w:t>5ème jour d’ancienneté</w:t>
      </w:r>
      <w:r>
        <w:rPr>
          <w:rFonts w:cs="Arial" w:ascii="Arial" w:hAnsi="Arial"/>
          <w:sz w:val="24"/>
          <w:szCs w:val="24"/>
        </w:rPr>
        <w:t xml:space="preserve"> sera acquis de la façon suivante  selon le statut : </w:t>
      </w:r>
    </w:p>
    <w:p>
      <w:pPr>
        <w:pStyle w:val="Normal"/>
        <w:numPr>
          <w:ilvl w:val="0"/>
          <w:numId w:val="2"/>
        </w:numPr>
        <w:tabs>
          <w:tab w:val="left" w:pos="720" w:leader="none"/>
          <w:tab w:val="left" w:pos="1440" w:leader="none"/>
        </w:tabs>
        <w:jc w:val="both"/>
        <w:rPr>
          <w:rFonts w:ascii="Arial" w:hAnsi="Arial" w:cs="Arial"/>
          <w:sz w:val="24"/>
          <w:szCs w:val="24"/>
        </w:rPr>
      </w:pPr>
      <w:r>
        <w:rPr>
          <w:rFonts w:cs="Arial" w:ascii="Arial" w:hAnsi="Arial"/>
          <w:sz w:val="24"/>
          <w:szCs w:val="24"/>
        </w:rPr>
        <w:t xml:space="preserve">Pour les non cadres à compter de </w:t>
      </w:r>
      <w:r>
        <w:rPr>
          <w:rFonts w:cs="Arial" w:ascii="Arial" w:hAnsi="Arial"/>
          <w:b/>
          <w:color w:val="0070C0"/>
          <w:sz w:val="24"/>
          <w:szCs w:val="24"/>
        </w:rPr>
        <w:t>25 ans d’ancienneté</w:t>
      </w:r>
      <w:r>
        <w:rPr>
          <w:rFonts w:cs="Arial" w:ascii="Arial" w:hAnsi="Arial"/>
          <w:sz w:val="24"/>
          <w:szCs w:val="24"/>
        </w:rPr>
        <w:t xml:space="preserve"> au lieu de 30 ans d’ancienneté, et ce à compter de </w:t>
      </w:r>
      <w:r>
        <w:rPr>
          <w:rFonts w:cs="Arial" w:ascii="Arial" w:hAnsi="Arial"/>
          <w:sz w:val="24"/>
          <w:szCs w:val="24"/>
          <w:u w:val="single"/>
        </w:rPr>
        <w:t>2018</w:t>
      </w:r>
    </w:p>
    <w:p>
      <w:pPr>
        <w:pStyle w:val="Normal"/>
        <w:numPr>
          <w:ilvl w:val="0"/>
          <w:numId w:val="2"/>
        </w:numPr>
        <w:tabs>
          <w:tab w:val="left" w:pos="720" w:leader="none"/>
          <w:tab w:val="left" w:pos="1440" w:leader="none"/>
        </w:tabs>
        <w:jc w:val="both"/>
        <w:rPr>
          <w:rFonts w:ascii="Arial" w:hAnsi="Arial" w:cs="Arial"/>
          <w:sz w:val="24"/>
          <w:szCs w:val="24"/>
        </w:rPr>
      </w:pPr>
      <w:r>
        <w:rPr>
          <w:rFonts w:cs="Arial" w:ascii="Arial" w:hAnsi="Arial"/>
          <w:sz w:val="24"/>
          <w:szCs w:val="24"/>
        </w:rPr>
        <w:t xml:space="preserve">Pour les cadres à compter de </w:t>
      </w:r>
      <w:r>
        <w:rPr>
          <w:rFonts w:cs="Arial" w:ascii="Arial" w:hAnsi="Arial"/>
          <w:b/>
          <w:color w:val="0070C0"/>
          <w:sz w:val="24"/>
          <w:szCs w:val="24"/>
        </w:rPr>
        <w:t>25 ans d’ancienneté</w:t>
      </w:r>
      <w:r>
        <w:rPr>
          <w:rFonts w:cs="Arial" w:ascii="Arial" w:hAnsi="Arial"/>
          <w:sz w:val="24"/>
          <w:szCs w:val="24"/>
        </w:rPr>
        <w:t xml:space="preserve">, et ce à compter de </w:t>
      </w:r>
      <w:r>
        <w:rPr>
          <w:rFonts w:cs="Arial" w:ascii="Arial" w:hAnsi="Arial"/>
          <w:sz w:val="24"/>
          <w:szCs w:val="24"/>
          <w:u w:val="single"/>
        </w:rPr>
        <w:t>2018.</w:t>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
        <w:tabs>
          <w:tab w:val="left" w:pos="720" w:leader="none"/>
          <w:tab w:val="left" w:pos="1440" w:leader="none"/>
        </w:tabs>
        <w:jc w:val="both"/>
        <w:rPr/>
      </w:pPr>
      <w:r>
        <w:rPr>
          <w:rFonts w:cs="Arial" w:ascii="Arial" w:hAnsi="Arial"/>
          <w:b/>
          <w:sz w:val="24"/>
          <w:szCs w:val="24"/>
          <w:u w:val="single"/>
        </w:rPr>
        <w:t xml:space="preserve">Chapitre 4 – Budget Œuvres Sociales au CE </w:t>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
        <w:tabs>
          <w:tab w:val="left" w:pos="720" w:leader="none"/>
          <w:tab w:val="left" w:pos="1440" w:leader="none"/>
        </w:tabs>
        <w:jc w:val="both"/>
        <w:rPr/>
      </w:pPr>
      <w:r>
        <w:rPr>
          <w:rFonts w:cs="Arial" w:ascii="Arial" w:hAnsi="Arial"/>
          <w:sz w:val="24"/>
          <w:szCs w:val="24"/>
        </w:rPr>
        <w:t xml:space="preserve">La Direction confirme son accord pour continuer à verser une subvention exceptionnelle liée à l’activité des chèques vacances et cette dernière sera d’un montant de </w:t>
      </w:r>
      <w:r>
        <w:rPr>
          <w:rFonts w:cs="Arial" w:ascii="Arial" w:hAnsi="Arial"/>
          <w:b/>
          <w:color w:val="0070C0"/>
          <w:sz w:val="24"/>
          <w:szCs w:val="24"/>
        </w:rPr>
        <w:t>310€</w:t>
      </w:r>
      <w:r>
        <w:rPr>
          <w:rFonts w:cs="Arial" w:ascii="Arial" w:hAnsi="Arial"/>
          <w:sz w:val="24"/>
          <w:szCs w:val="24"/>
        </w:rPr>
        <w:t xml:space="preserve"> par salarié à compter de </w:t>
      </w:r>
      <w:r>
        <w:rPr>
          <w:rFonts w:cs="Arial" w:ascii="Arial" w:hAnsi="Arial"/>
          <w:sz w:val="24"/>
          <w:szCs w:val="24"/>
          <w:u w:val="single"/>
        </w:rPr>
        <w:t>2018</w:t>
      </w:r>
      <w:r>
        <w:rPr>
          <w:rFonts w:cs="Arial" w:ascii="Arial" w:hAnsi="Arial"/>
          <w:sz w:val="24"/>
          <w:szCs w:val="24"/>
        </w:rPr>
        <w:t xml:space="preserve">.  </w:t>
      </w:r>
    </w:p>
    <w:p>
      <w:pPr>
        <w:pStyle w:val="Normal"/>
        <w:tabs>
          <w:tab w:val="left" w:pos="720" w:leader="none"/>
          <w:tab w:val="left" w:pos="1440" w:leader="none"/>
        </w:tabs>
        <w:jc w:val="both"/>
        <w:rPr>
          <w:rFonts w:ascii="Arial" w:hAnsi="Arial" w:cs="Arial"/>
          <w:sz w:val="24"/>
          <w:szCs w:val="24"/>
        </w:rPr>
      </w:pPr>
      <w:r>
        <w:rPr>
          <w:rFonts w:cs="Arial" w:ascii="Arial" w:hAnsi="Arial"/>
          <w:sz w:val="24"/>
          <w:szCs w:val="24"/>
        </w:rPr>
      </w:r>
    </w:p>
    <w:p>
      <w:pPr>
        <w:pStyle w:val="Normal"/>
        <w:tabs>
          <w:tab w:val="left" w:pos="720" w:leader="none"/>
          <w:tab w:val="left" w:pos="1440" w:leader="none"/>
        </w:tabs>
        <w:jc w:val="both"/>
        <w:rPr>
          <w:rFonts w:ascii="Arial" w:hAnsi="Arial" w:cs="Arial"/>
          <w:sz w:val="24"/>
          <w:szCs w:val="24"/>
        </w:rPr>
      </w:pPr>
      <w:r>
        <w:rPr>
          <w:rFonts w:cs="Arial" w:ascii="Arial" w:hAnsi="Arial"/>
          <w:sz w:val="24"/>
          <w:szCs w:val="24"/>
        </w:rPr>
        <w:t xml:space="preserve">La direction confirme que le budget au titre des Œuvres Sociales sera de </w:t>
      </w:r>
      <w:r>
        <w:rPr>
          <w:rFonts w:cs="Arial" w:ascii="Arial" w:hAnsi="Arial"/>
          <w:b/>
          <w:color w:val="0070C0"/>
          <w:sz w:val="24"/>
          <w:szCs w:val="24"/>
        </w:rPr>
        <w:t>0,85%</w:t>
      </w:r>
      <w:r>
        <w:rPr>
          <w:rFonts w:cs="Arial" w:ascii="Arial" w:hAnsi="Arial"/>
          <w:sz w:val="24"/>
          <w:szCs w:val="24"/>
        </w:rPr>
        <w:t xml:space="preserve"> de la masse salariale brute annuelle. </w:t>
      </w:r>
    </w:p>
    <w:p>
      <w:pPr>
        <w:pStyle w:val="Normal"/>
        <w:tabs>
          <w:tab w:val="left" w:pos="720" w:leader="none"/>
          <w:tab w:val="left" w:pos="1440" w:leader="none"/>
        </w:tabs>
        <w:jc w:val="both"/>
        <w:rPr>
          <w:rFonts w:ascii="Arial" w:hAnsi="Arial" w:cs="Arial"/>
          <w:sz w:val="24"/>
          <w:szCs w:val="24"/>
        </w:rPr>
      </w:pPr>
      <w:r>
        <w:rPr>
          <w:rFonts w:cs="Arial" w:ascii="Arial" w:hAnsi="Arial"/>
          <w:sz w:val="24"/>
          <w:szCs w:val="24"/>
        </w:rPr>
      </w:r>
    </w:p>
    <w:p>
      <w:pPr>
        <w:pStyle w:val="Normal"/>
        <w:tabs>
          <w:tab w:val="left" w:pos="720" w:leader="none"/>
          <w:tab w:val="left" w:pos="1440" w:leader="none"/>
        </w:tabs>
        <w:jc w:val="both"/>
        <w:rPr/>
      </w:pPr>
      <w:r>
        <w:rPr>
          <w:rFonts w:cs="Arial" w:ascii="Arial" w:hAnsi="Arial"/>
          <w:sz w:val="24"/>
          <w:szCs w:val="24"/>
        </w:rPr>
        <w:t xml:space="preserve">Le détail de cette contribution sera revu lors de la prochaine réunion CE du mois d’avril 2018. </w:t>
      </w:r>
    </w:p>
    <w:p>
      <w:pPr>
        <w:pStyle w:val="Normal"/>
        <w:tabs>
          <w:tab w:val="left" w:pos="720" w:leader="none"/>
          <w:tab w:val="left" w:pos="1440" w:leader="none"/>
        </w:tabs>
        <w:jc w:val="both"/>
        <w:rPr>
          <w:rFonts w:ascii="Arial" w:hAnsi="Arial" w:cs="Arial"/>
          <w:sz w:val="24"/>
          <w:szCs w:val="24"/>
        </w:rPr>
      </w:pPr>
      <w:r>
        <w:rPr>
          <w:rFonts w:cs="Arial" w:ascii="Arial" w:hAnsi="Arial"/>
          <w:sz w:val="24"/>
          <w:szCs w:val="24"/>
        </w:rPr>
      </w:r>
    </w:p>
    <w:p>
      <w:pPr>
        <w:pStyle w:val="Normal"/>
        <w:tabs>
          <w:tab w:val="left" w:pos="720" w:leader="none"/>
          <w:tab w:val="left" w:pos="1440" w:leader="none"/>
        </w:tabs>
        <w:jc w:val="both"/>
        <w:rPr/>
      </w:pPr>
      <w:r>
        <w:rPr>
          <w:rFonts w:cs="Arial" w:ascii="Arial" w:hAnsi="Arial"/>
          <w:b/>
          <w:sz w:val="24"/>
          <w:szCs w:val="24"/>
          <w:u w:val="single"/>
        </w:rPr>
        <w:t xml:space="preserve">Chapitre 5  – Salariés en mission </w:t>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
        <w:spacing w:before="80" w:after="0"/>
        <w:ind w:left="1416" w:hanging="0"/>
        <w:jc w:val="both"/>
        <w:rPr/>
      </w:pPr>
      <w:r>
        <w:rPr>
          <w:rFonts w:cs="Arial" w:ascii="Arial" w:hAnsi="Arial"/>
          <w:b/>
          <w:sz w:val="24"/>
          <w:szCs w:val="24"/>
        </w:rPr>
        <w:t>5-1</w:t>
        <w:tab/>
        <w:t xml:space="preserve"> Définition</w:t>
      </w:r>
    </w:p>
    <w:p>
      <w:pPr>
        <w:pStyle w:val="Normal"/>
        <w:jc w:val="both"/>
        <w:rPr>
          <w:rFonts w:ascii="Arial" w:hAnsi="Arial" w:cs="Arial"/>
          <w:sz w:val="24"/>
          <w:szCs w:val="24"/>
        </w:rPr>
      </w:pPr>
      <w:r>
        <w:rPr>
          <w:rFonts w:cs="Arial" w:ascii="Arial" w:hAnsi="Arial"/>
          <w:sz w:val="24"/>
          <w:szCs w:val="24"/>
        </w:rPr>
        <w:t>Une mission est une période d’activité à durée déterminée confiée à un salarié en dehors de son périmètre d’appartenance et sur des activités différentes de celles qu’il réalise habituellement. Elle permet au salarié de découvrir de nouvelles activités, de développer de nouvelles compétences et contribue au développement de son employabilité.</w:t>
      </w:r>
    </w:p>
    <w:p>
      <w:pPr>
        <w:pStyle w:val="Normal"/>
        <w:ind w:left="360" w:hanging="0"/>
        <w:jc w:val="both"/>
        <w:rPr>
          <w:rFonts w:ascii="Arial" w:hAnsi="Arial" w:cs="Arial"/>
          <w:sz w:val="24"/>
          <w:szCs w:val="24"/>
        </w:rPr>
      </w:pPr>
      <w:r>
        <w:rPr>
          <w:rFonts w:cs="Arial" w:ascii="Arial" w:hAnsi="Arial"/>
          <w:sz w:val="24"/>
          <w:szCs w:val="24"/>
        </w:rPr>
      </w:r>
    </w:p>
    <w:p>
      <w:pPr>
        <w:pStyle w:val="Normal"/>
        <w:spacing w:before="80" w:after="0"/>
        <w:ind w:left="1416" w:hanging="0"/>
        <w:jc w:val="both"/>
        <w:rPr/>
      </w:pPr>
      <w:r>
        <w:rPr>
          <w:rFonts w:cs="Arial" w:ascii="Arial" w:hAnsi="Arial"/>
          <w:b/>
          <w:sz w:val="24"/>
          <w:szCs w:val="24"/>
        </w:rPr>
        <w:t>5-2</w:t>
        <w:tab/>
        <w:t xml:space="preserve"> Durée</w:t>
      </w:r>
    </w:p>
    <w:p>
      <w:pPr>
        <w:pStyle w:val="Normal"/>
        <w:jc w:val="both"/>
        <w:rPr>
          <w:rFonts w:ascii="Arial" w:hAnsi="Arial" w:cs="Arial"/>
          <w:sz w:val="24"/>
          <w:szCs w:val="24"/>
        </w:rPr>
      </w:pPr>
      <w:r>
        <w:rPr>
          <w:rFonts w:cs="Arial" w:ascii="Arial" w:hAnsi="Arial"/>
          <w:sz w:val="24"/>
          <w:szCs w:val="24"/>
        </w:rPr>
        <w:t>Dans le cas général, la durée d’une mission sur un même poste sera limitée à environ 12 mois.</w:t>
      </w:r>
    </w:p>
    <w:p>
      <w:pPr>
        <w:pStyle w:val="Normal"/>
        <w:ind w:left="360" w:hanging="0"/>
        <w:jc w:val="both"/>
        <w:rPr>
          <w:rFonts w:ascii="Arial" w:hAnsi="Arial" w:cs="Arial"/>
          <w:sz w:val="24"/>
          <w:szCs w:val="24"/>
        </w:rPr>
      </w:pPr>
      <w:r>
        <w:rPr>
          <w:rFonts w:cs="Arial" w:ascii="Arial" w:hAnsi="Arial"/>
          <w:sz w:val="24"/>
          <w:szCs w:val="24"/>
        </w:rPr>
      </w:r>
    </w:p>
    <w:p>
      <w:pPr>
        <w:pStyle w:val="Normal"/>
        <w:spacing w:before="80" w:after="0"/>
        <w:ind w:left="1416" w:hanging="0"/>
        <w:jc w:val="both"/>
        <w:rPr/>
      </w:pPr>
      <w:r>
        <w:rPr>
          <w:rFonts w:cs="Arial" w:ascii="Arial" w:hAnsi="Arial"/>
          <w:b/>
          <w:sz w:val="24"/>
          <w:szCs w:val="24"/>
        </w:rPr>
        <w:t>5-3</w:t>
        <w:tab/>
        <w:t xml:space="preserve"> Gestion des salariés en mission</w:t>
      </w:r>
    </w:p>
    <w:p>
      <w:pPr>
        <w:pStyle w:val="Normal"/>
        <w:jc w:val="both"/>
        <w:rPr>
          <w:rFonts w:ascii="Arial" w:hAnsi="Arial" w:cs="Arial"/>
          <w:sz w:val="24"/>
          <w:szCs w:val="24"/>
        </w:rPr>
      </w:pPr>
      <w:r>
        <w:rPr>
          <w:rFonts w:cs="Arial" w:ascii="Arial" w:hAnsi="Arial"/>
          <w:sz w:val="24"/>
          <w:szCs w:val="24"/>
        </w:rPr>
        <w:t>La mission est encadrée par une lettre de mission qui précise les modalités de réalisation, notamment : durée, contenu, secteur de réalisation, responsable.</w:t>
      </w:r>
    </w:p>
    <w:p>
      <w:pPr>
        <w:pStyle w:val="Normal"/>
        <w:jc w:val="both"/>
        <w:rPr>
          <w:rFonts w:ascii="Arial" w:hAnsi="Arial" w:cs="Arial"/>
          <w:sz w:val="24"/>
          <w:szCs w:val="24"/>
        </w:rPr>
      </w:pPr>
      <w:r>
        <w:rPr>
          <w:rFonts w:cs="Arial" w:ascii="Arial" w:hAnsi="Arial"/>
          <w:sz w:val="24"/>
          <w:szCs w:val="24"/>
        </w:rPr>
        <w:t>Le salarié en mission reçoit l’accompagnement nécessaire pour bénéficier des entretiens individuels, plan d’augmentation et plan de formation au moins dans les mêmes conditions que les autres salariés.</w:t>
      </w:r>
    </w:p>
    <w:p>
      <w:pPr>
        <w:pStyle w:val="Normal"/>
        <w:jc w:val="both"/>
        <w:rPr>
          <w:rFonts w:ascii="Arial" w:hAnsi="Arial" w:cs="Arial"/>
          <w:sz w:val="24"/>
          <w:szCs w:val="24"/>
        </w:rPr>
      </w:pPr>
      <w:r>
        <w:rPr>
          <w:rFonts w:cs="Arial" w:ascii="Arial" w:hAnsi="Arial"/>
          <w:sz w:val="24"/>
          <w:szCs w:val="24"/>
        </w:rPr>
        <w:t xml:space="preserve">A l’issue de la mission et sous réserve de la réussite de celle-ci, une prime de fin de mission sera attribuée. Dans le cas général elle représente 5% du salaire de base brut sur la durée de la mission. </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Les dispositions du présent article sont applicables jusqu’au 31 mars 2019. Un bilan sera réalisé lors des NAO de 2019.</w:t>
      </w:r>
    </w:p>
    <w:p>
      <w:pPr>
        <w:pStyle w:val="Normal"/>
        <w:tabs>
          <w:tab w:val="left" w:pos="720" w:leader="none"/>
          <w:tab w:val="left" w:pos="1440" w:leader="none"/>
        </w:tabs>
        <w:jc w:val="both"/>
        <w:rPr>
          <w:rFonts w:ascii="Arial" w:hAnsi="Arial" w:cs="Arial"/>
          <w:sz w:val="24"/>
          <w:szCs w:val="24"/>
        </w:rPr>
      </w:pPr>
      <w:r>
        <w:rPr>
          <w:rFonts w:cs="Arial" w:ascii="Arial" w:hAnsi="Arial"/>
          <w:sz w:val="24"/>
          <w:szCs w:val="24"/>
        </w:rPr>
      </w:r>
    </w:p>
    <w:p>
      <w:pPr>
        <w:pStyle w:val="Normal"/>
        <w:tabs>
          <w:tab w:val="left" w:pos="720" w:leader="none"/>
          <w:tab w:val="left" w:pos="1440" w:leader="none"/>
        </w:tabs>
        <w:jc w:val="both"/>
        <w:rPr/>
      </w:pPr>
      <w:r>
        <w:rPr>
          <w:rFonts w:cs="Arial" w:ascii="Arial" w:hAnsi="Arial"/>
          <w:b/>
          <w:sz w:val="24"/>
          <w:szCs w:val="24"/>
          <w:u w:val="single"/>
        </w:rPr>
        <w:t xml:space="preserve">Chapitre 6  – Recrutement interne &amp; externe </w:t>
      </w:r>
    </w:p>
    <w:p>
      <w:pPr>
        <w:pStyle w:val="Normal"/>
        <w:tabs>
          <w:tab w:val="left" w:pos="720" w:leader="none"/>
          <w:tab w:val="left" w:pos="1440" w:leader="none"/>
        </w:tabs>
        <w:jc w:val="both"/>
        <w:rPr>
          <w:rFonts w:ascii="Arial" w:hAnsi="Arial" w:cs="Arial"/>
          <w:b/>
          <w:b/>
          <w:sz w:val="24"/>
          <w:szCs w:val="24"/>
          <w:u w:val="single"/>
        </w:rPr>
      </w:pPr>
      <w:r>
        <w:rPr>
          <w:rFonts w:cs="Arial" w:ascii="Arial" w:hAnsi="Arial"/>
          <w:b/>
          <w:sz w:val="24"/>
          <w:szCs w:val="24"/>
          <w:u w:val="single"/>
        </w:rPr>
      </w:r>
    </w:p>
    <w:p>
      <w:pPr>
        <w:pStyle w:val="NormalWeb"/>
        <w:spacing w:before="0" w:after="0"/>
        <w:jc w:val="both"/>
        <w:rPr>
          <w:rFonts w:ascii="Arial" w:hAnsi="Arial" w:cs="Arial"/>
        </w:rPr>
      </w:pPr>
      <w:r>
        <w:rPr>
          <w:rFonts w:cs="Arial" w:ascii="Arial" w:hAnsi="Arial"/>
        </w:rPr>
        <w:t>Dans la continuité des recrutements en CDI réalisés sur les 3 dernières années, la Direction confirme son engagement à poursuivre un rythme de recrutement similaire pour 2018 en accord avec le contrat de génération groupe, et en tenant compte notamment,</w:t>
      </w:r>
    </w:p>
    <w:p>
      <w:pPr>
        <w:pStyle w:val="NormalWeb"/>
        <w:spacing w:before="0" w:after="0"/>
        <w:rPr>
          <w:rFonts w:ascii="Arial" w:hAnsi="Arial" w:cs="Arial"/>
        </w:rPr>
      </w:pPr>
      <w:r>
        <w:rPr>
          <w:rFonts w:cs="Arial" w:ascii="Arial" w:hAnsi="Arial"/>
        </w:rPr>
        <w:t>- de l'évolution de l'activité tout au long de cette année,</w:t>
      </w:r>
    </w:p>
    <w:p>
      <w:pPr>
        <w:pStyle w:val="NormalWeb"/>
        <w:spacing w:before="0" w:after="0"/>
        <w:rPr>
          <w:rFonts w:ascii="Arial" w:hAnsi="Arial" w:cs="Arial"/>
        </w:rPr>
      </w:pPr>
      <w:r>
        <w:rPr>
          <w:rFonts w:cs="Arial" w:ascii="Arial" w:hAnsi="Arial"/>
        </w:rPr>
        <w:t>- des besoins avérés de remplacements de compétences,</w:t>
      </w:r>
    </w:p>
    <w:p>
      <w:pPr>
        <w:pStyle w:val="NormalWeb"/>
        <w:spacing w:before="0" w:after="0"/>
        <w:rPr>
          <w:rFonts w:ascii="Arial" w:hAnsi="Arial" w:cs="Arial"/>
        </w:rPr>
      </w:pPr>
      <w:r>
        <w:rPr>
          <w:rFonts w:cs="Arial" w:ascii="Arial" w:hAnsi="Arial"/>
        </w:rPr>
        <w:t>- des opportunités de mutations intra Groupe.</w:t>
      </w:r>
    </w:p>
    <w:p>
      <w:pPr>
        <w:pStyle w:val="Normal"/>
        <w:rPr>
          <w:rFonts w:ascii="Arial" w:hAnsi="Arial" w:cs="Arial"/>
          <w:bCs/>
          <w:sz w:val="24"/>
          <w:szCs w:val="24"/>
        </w:rPr>
      </w:pPr>
      <w:r>
        <w:rPr>
          <w:rFonts w:cs="Arial" w:ascii="Arial" w:hAnsi="Arial"/>
          <w:bCs/>
          <w:sz w:val="24"/>
          <w:szCs w:val="24"/>
        </w:rPr>
      </w:r>
    </w:p>
    <w:p>
      <w:pPr>
        <w:pStyle w:val="Normal"/>
        <w:rPr>
          <w:rFonts w:ascii="Arial" w:hAnsi="Arial" w:cs="Arial"/>
          <w:bCs/>
          <w:sz w:val="24"/>
          <w:szCs w:val="24"/>
        </w:rPr>
      </w:pPr>
      <w:r>
        <w:rPr>
          <w:rFonts w:cs="Arial" w:ascii="Arial" w:hAnsi="Arial"/>
          <w:bCs/>
          <w:sz w:val="24"/>
          <w:szCs w:val="24"/>
        </w:rPr>
      </w:r>
    </w:p>
    <w:p>
      <w:pPr>
        <w:pStyle w:val="Normal"/>
        <w:rPr>
          <w:rFonts w:ascii="Arial" w:hAnsi="Arial" w:cs="Arial"/>
          <w:bCs/>
          <w:sz w:val="24"/>
          <w:szCs w:val="24"/>
        </w:rPr>
      </w:pPr>
      <w:r>
        <w:rPr>
          <w:rFonts w:cs="Arial" w:ascii="Arial" w:hAnsi="Arial"/>
          <w:bCs/>
          <w:sz w:val="24"/>
          <w:szCs w:val="24"/>
        </w:rPr>
      </w:r>
    </w:p>
    <w:p>
      <w:pPr>
        <w:pStyle w:val="Normal"/>
        <w:rPr>
          <w:rFonts w:ascii="Arial" w:hAnsi="Arial" w:cs="Arial"/>
          <w:bCs/>
          <w:sz w:val="24"/>
          <w:szCs w:val="24"/>
        </w:rPr>
      </w:pPr>
      <w:r>
        <w:rPr>
          <w:rFonts w:cs="Arial" w:ascii="Arial" w:hAnsi="Arial"/>
          <w:bCs/>
          <w:sz w:val="24"/>
          <w:szCs w:val="24"/>
        </w:rPr>
      </w:r>
    </w:p>
    <w:p>
      <w:pPr>
        <w:pStyle w:val="Normal"/>
        <w:rPr/>
      </w:pPr>
      <w:r>
        <w:rPr>
          <w:rFonts w:cs="Arial" w:ascii="Arial" w:hAnsi="Arial"/>
          <w:b/>
          <w:sz w:val="24"/>
          <w:u w:val="single"/>
        </w:rPr>
        <w:t>Chapitre 7 – Publicité de l’accord</w:t>
      </w:r>
    </w:p>
    <w:p>
      <w:pPr>
        <w:pStyle w:val="TextBody"/>
        <w:rPr>
          <w:rFonts w:ascii="Arial" w:hAnsi="Arial" w:cs="Arial"/>
          <w:b/>
          <w:b/>
          <w:sz w:val="24"/>
          <w:u w:val="single"/>
        </w:rPr>
      </w:pPr>
      <w:r>
        <w:rPr>
          <w:rFonts w:cs="Arial" w:ascii="Arial" w:hAnsi="Arial"/>
          <w:b/>
          <w:sz w:val="24"/>
          <w:u w:val="single"/>
        </w:rPr>
      </w:r>
    </w:p>
    <w:p>
      <w:pPr>
        <w:pStyle w:val="TextBody"/>
        <w:jc w:val="both"/>
        <w:rPr/>
      </w:pPr>
      <w:r>
        <w:rPr>
          <w:rFonts w:cs="Arial" w:ascii="Arial" w:hAnsi="Arial"/>
          <w:sz w:val="24"/>
          <w:szCs w:val="24"/>
          <w:lang w:val="fr-FR" w:eastAsia="fr-FR"/>
        </w:rPr>
        <w:t>Le présent accord, conclu dans le cadre de la négociation collective annuelle est valable pour une durée de 12 mois à compter du 1er avril 2018.</w:t>
      </w:r>
    </w:p>
    <w:p>
      <w:pPr>
        <w:pStyle w:val="Normal"/>
        <w:jc w:val="both"/>
        <w:rPr>
          <w:rFonts w:ascii="Arial" w:hAnsi="Arial" w:cs="Arial"/>
          <w:sz w:val="24"/>
          <w:szCs w:val="24"/>
          <w:lang w:val="fr-FR" w:eastAsia="fr-FR"/>
        </w:rPr>
      </w:pPr>
      <w:r>
        <w:rPr>
          <w:rFonts w:cs="Arial" w:ascii="Arial" w:hAnsi="Arial"/>
          <w:sz w:val="24"/>
          <w:szCs w:val="24"/>
          <w:lang w:val="fr-FR" w:eastAsia="fr-FR"/>
        </w:rPr>
      </w:r>
    </w:p>
    <w:p>
      <w:pPr>
        <w:pStyle w:val="TextBodyIndent"/>
        <w:ind w:left="0" w:hanging="0"/>
        <w:rPr>
          <w:rFonts w:ascii="Arial" w:hAnsi="Arial" w:cs="Arial"/>
          <w:sz w:val="24"/>
          <w:szCs w:val="24"/>
          <w:lang w:val="fr-FR" w:eastAsia="fr-FR"/>
        </w:rPr>
      </w:pPr>
      <w:r>
        <w:rPr>
          <w:rFonts w:cs="Arial" w:ascii="Arial" w:hAnsi="Arial"/>
          <w:sz w:val="24"/>
          <w:szCs w:val="24"/>
          <w:lang w:val="fr-FR" w:eastAsia="fr-FR"/>
        </w:rPr>
        <w:t>Au-delà de cette période, une nouvelle négociation interviendra dans les conditions prévues par les articles L 2242-1 et suivants du Code du Travail.</w:t>
      </w:r>
    </w:p>
    <w:p>
      <w:pPr>
        <w:pStyle w:val="Normal"/>
        <w:ind w:left="284" w:hanging="0"/>
        <w:jc w:val="both"/>
        <w:rPr>
          <w:rFonts w:ascii="Arial" w:hAnsi="Arial" w:cs="Arial"/>
          <w:sz w:val="24"/>
          <w:szCs w:val="24"/>
          <w:lang w:val="fr-FR" w:eastAsia="fr-FR"/>
        </w:rPr>
      </w:pPr>
      <w:r>
        <w:rPr>
          <w:rFonts w:cs="Arial" w:ascii="Arial" w:hAnsi="Arial"/>
          <w:sz w:val="24"/>
          <w:szCs w:val="24"/>
          <w:lang w:val="fr-FR" w:eastAsia="fr-FR"/>
        </w:rPr>
      </w:r>
    </w:p>
    <w:p>
      <w:pPr>
        <w:pStyle w:val="Normal"/>
        <w:autoSpaceDE w:val="false"/>
        <w:jc w:val="both"/>
        <w:rPr>
          <w:rFonts w:ascii="Arial" w:hAnsi="Arial" w:cs="Arial"/>
          <w:sz w:val="24"/>
          <w:szCs w:val="24"/>
        </w:rPr>
      </w:pPr>
      <w:r>
        <w:rPr>
          <w:rFonts w:cs="Arial" w:ascii="Arial" w:hAnsi="Arial"/>
          <w:sz w:val="24"/>
          <w:szCs w:val="24"/>
        </w:rPr>
        <w:t>Un exemplaire du présent accord est remis à chaque délégation signataire et déposé à la Direction Régionale des Entreprises, de la Concurrence, de la Consommation, du Travail et de l’Emploi ainsi qu’au secrétariat-greffe du Conseil des Prud’hommes de GRENOBLE.</w:t>
      </w:r>
    </w:p>
    <w:p>
      <w:pPr>
        <w:pStyle w:val="Heading1"/>
        <w:numPr>
          <w:ilvl w:val="0"/>
          <w:numId w:val="1"/>
        </w:numPr>
        <w:rPr>
          <w:rFonts w:ascii="Arial" w:hAnsi="Arial" w:cs="Arial"/>
          <w:b w:val="false"/>
          <w:b w:val="false"/>
          <w:bCs w:val="false"/>
          <w:sz w:val="24"/>
          <w:szCs w:val="24"/>
          <w:lang w:val="fr-FR" w:eastAsia="fr-FR"/>
        </w:rPr>
      </w:pPr>
      <w:r>
        <w:rPr>
          <w:rFonts w:cs="Arial" w:ascii="Arial" w:hAnsi="Arial"/>
          <w:b w:val="false"/>
          <w:bCs w:val="false"/>
          <w:sz w:val="24"/>
          <w:szCs w:val="24"/>
          <w:lang w:val="fr-FR" w:eastAsia="fr-FR"/>
        </w:rPr>
        <w:t>Fait à Saint Marcellin, le  28 février 2018</w:t>
      </w:r>
    </w:p>
    <w:p>
      <w:pPr>
        <w:pStyle w:val="Normal"/>
        <w:rPr>
          <w:rFonts w:ascii="Arial" w:hAnsi="Arial" w:cs="Arial"/>
          <w:b/>
          <w:b/>
          <w:bCs/>
          <w:sz w:val="24"/>
          <w:szCs w:val="24"/>
          <w:lang w:val="fr-FR" w:eastAsia="fr-FR"/>
        </w:rPr>
      </w:pPr>
      <w:r>
        <w:rPr>
          <w:rFonts w:cs="Arial" w:ascii="Arial" w:hAnsi="Arial"/>
          <w:b/>
          <w:bCs/>
          <w:sz w:val="24"/>
          <w:szCs w:val="24"/>
          <w:lang w:val="fr-FR" w:eastAsia="fr-FR"/>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lang w:val="en-GB" w:eastAsia="en-GB"/>
        </w:rPr>
      </w:pPr>
      <w:r>
        <w:rPr>
          <w:rFonts w:cs="Arial" w:ascii="Arial" w:hAnsi="Arial"/>
          <w:sz w:val="24"/>
          <w:szCs w:val="24"/>
          <w:lang w:val="en-GB" w:eastAsia="en-GB"/>
        </w:rPr>
      </w:r>
    </w:p>
    <w:p>
      <w:pPr>
        <w:pStyle w:val="Normal"/>
        <w:rPr>
          <w:rFonts w:ascii="Arial" w:hAnsi="Arial" w:cs="Arial"/>
          <w:sz w:val="24"/>
          <w:szCs w:val="24"/>
          <w:lang w:val="en-GB" w:eastAsia="en-GB"/>
        </w:rPr>
      </w:pPr>
      <w:r>
        <w:rPr>
          <w:rFonts w:cs="Arial" w:ascii="Arial" w:hAnsi="Arial"/>
          <w:sz w:val="24"/>
          <w:szCs w:val="24"/>
          <w:lang w:val="en-GB" w:eastAsia="en-GB"/>
        </w:rPr>
      </w:r>
    </w:p>
    <w:p>
      <w:pPr>
        <w:pStyle w:val="Normal"/>
        <w:rPr>
          <w:rFonts w:ascii="Arial" w:hAnsi="Arial" w:cs="Arial"/>
          <w:sz w:val="24"/>
          <w:szCs w:val="24"/>
        </w:rPr>
      </w:pPr>
      <w:r>
        <w:rPr>
          <w:rFonts w:cs="Arial" w:ascii="Arial" w:hAnsi="Arial"/>
          <w:sz w:val="24"/>
          <w:szCs w:val="24"/>
        </w:rPr>
        <w:t>Pour la Direction</w:t>
        <w:tab/>
        <w:tab/>
        <w:tab/>
        <w:t>Pour la CFDT</w:t>
        <w:tab/>
        <w:tab/>
        <w:tab/>
        <w:t>Pour la CGT</w:t>
      </w:r>
    </w:p>
    <w:sectPr>
      <w:headerReference w:type="default" r:id="rId3"/>
      <w:footerReference w:type="default" r:id="rId4"/>
      <w:type w:val="nextPage"/>
      <w:pgSz w:w="11906" w:h="16838"/>
      <w:pgMar w:left="1418" w:right="1418" w:header="567" w:top="1361" w:footer="68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5</w:t>
    </w:r>
    <w:r>
      <w:fldChar w:fldCharType="end"/>
    </w:r>
  </w:p>
  <w:p>
    <w:pPr>
      <w:pStyle w:val="Normal"/>
      <w:ind w:right="-286"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numFmt w:val="bullet"/>
      <w:lvlText w:val=""/>
      <w:lvlJc w:val="left"/>
      <w:pPr>
        <w:ind w:left="720" w:hanging="360"/>
      </w:pPr>
      <w:rPr>
        <w:rFonts w:ascii="Symbol" w:hAnsi="Symbol" w:cs="Symbol" w:hint="default"/>
        <w:sz w:val="24"/>
        <w:szCs w:val="24"/>
        <w:rFonts w:cs="Aria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Garamond" w:hAnsi="Garamond" w:eastAsia="Times New Roman" w:cs="Garamond"/>
      <w:color w:val="auto"/>
      <w:sz w:val="22"/>
      <w:szCs w:val="20"/>
      <w:lang w:val="fr-FR"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cs="Cambria"/>
      <w:b/>
      <w:bCs/>
      <w:sz w:val="32"/>
      <w:szCs w:val="32"/>
      <w:lang w:val="en-GB"/>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i/>
      <w:sz w:val="24"/>
    </w:rPr>
  </w:style>
  <w:style w:type="paragraph" w:styleId="Heading5">
    <w:name w:val="Heading 5"/>
    <w:basedOn w:val="Normal"/>
    <w:next w:val="Normal"/>
    <w:qFormat/>
    <w:pPr>
      <w:numPr>
        <w:ilvl w:val="4"/>
        <w:numId w:val="1"/>
      </w:numPr>
      <w:spacing w:before="240" w:after="60"/>
      <w:outlineLvl w:val="4"/>
      <w:outlineLvl w:val="4"/>
    </w:pPr>
    <w:rPr>
      <w:rFonts w:ascii="Calibri" w:hAnsi="Calibri" w:cs="Calibri"/>
      <w:b/>
      <w:bCs/>
      <w:i/>
      <w:iCs/>
      <w:sz w:val="26"/>
      <w:szCs w:val="26"/>
      <w:lang w:val="en-GB"/>
    </w:rPr>
  </w:style>
  <w:style w:type="character" w:styleId="WW8Num1z0">
    <w:name w:val="WW8Num1z0"/>
    <w:qFormat/>
    <w:rPr>
      <w:rFonts w:ascii="Symbol" w:hAnsi="Symbo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eastAsia="Times New Roman" w:cs="Arial"/>
      <w:sz w:val="24"/>
      <w:szCs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Policepardfaut">
    <w:name w:val="Police par défaut"/>
    <w:qFormat/>
    <w:rPr/>
  </w:style>
  <w:style w:type="character" w:styleId="Marquedecommentaire">
    <w:name w:val="Marque de commentaire"/>
    <w:qFormat/>
    <w:rPr>
      <w:sz w:val="16"/>
    </w:rPr>
  </w:style>
  <w:style w:type="character" w:styleId="RetraitcorpsdetexteCar">
    <w:name w:val="Retrait corps de texte Car"/>
    <w:qFormat/>
    <w:rPr>
      <w:sz w:val="22"/>
    </w:rPr>
  </w:style>
  <w:style w:type="character" w:styleId="Titre1Car">
    <w:name w:val="Titre 1 Car"/>
    <w:qFormat/>
    <w:rPr>
      <w:rFonts w:ascii="Cambria" w:hAnsi="Cambria" w:eastAsia="Times New Roman" w:cs="Times New Roman"/>
      <w:b/>
      <w:bCs/>
      <w:sz w:val="32"/>
      <w:szCs w:val="32"/>
    </w:rPr>
  </w:style>
  <w:style w:type="character" w:styleId="CorpsdetexteCar">
    <w:name w:val="Corps de texte Car"/>
    <w:qFormat/>
    <w:rPr>
      <w:rFonts w:ascii="Garamond" w:hAnsi="Garamond" w:cs="Garamond"/>
      <w:sz w:val="22"/>
    </w:rPr>
  </w:style>
  <w:style w:type="character" w:styleId="Titre5Car">
    <w:name w:val="Titre 5 Car"/>
    <w:qFormat/>
    <w:rPr>
      <w:rFonts w:ascii="Calibri" w:hAnsi="Calibri" w:eastAsia="Times New Roman" w:cs="Times New Roman"/>
      <w:b/>
      <w:bCs/>
      <w:i/>
      <w:iCs/>
      <w:sz w:val="26"/>
      <w:szCs w:val="26"/>
    </w:rPr>
  </w:style>
  <w:style w:type="character" w:styleId="TextedebullesCar">
    <w:name w:val="Texte de bulles Car"/>
    <w:qFormat/>
    <w:rPr>
      <w:rFonts w:ascii="Segoe UI" w:hAnsi="Segoe UI" w:cs="Segoe UI"/>
      <w:sz w:val="18"/>
      <w:szCs w:val="18"/>
    </w:rPr>
  </w:style>
  <w:style w:type="character" w:styleId="EntteCar">
    <w:name w:val="En-tête Car"/>
    <w:qFormat/>
    <w:rPr>
      <w:rFonts w:ascii="Garamond" w:hAnsi="Garamond" w:cs="Garamond"/>
      <w:sz w:val="22"/>
    </w:rPr>
  </w:style>
  <w:style w:type="character" w:styleId="PieddepageCar">
    <w:name w:val="Pied de page Car"/>
    <w:qFormat/>
    <w:rPr>
      <w:rFonts w:ascii="Garamond" w:hAnsi="Garamond" w:cs="Garamond"/>
      <w:sz w:val="22"/>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before="0" w:after="120"/>
    </w:pPr>
    <w:rPr>
      <w:lang w:val="en-GB"/>
    </w:rPr>
  </w:style>
  <w:style w:type="paragraph" w:styleId="List">
    <w:name w:val="List"/>
    <w:basedOn w:val="Normal"/>
    <w:pPr>
      <w:ind w:left="283" w:hanging="283"/>
    </w:pPr>
    <w:rPr>
      <w:rFonts w:ascii="Times New Roman" w:hAnsi="Times New Roman" w:cs="Times New Roman"/>
      <w:sz w:val="24"/>
      <w:szCs w:val="24"/>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1">
    <w:name w:val="Style1"/>
    <w:qFormat/>
    <w:pPr>
      <w:widowControl/>
    </w:pPr>
    <w:rPr>
      <w:rFonts w:ascii="Bookman Old Style" w:hAnsi="Bookman Old Style" w:eastAsia="Times New Roman" w:cs="Bookman Old Style"/>
      <w:b/>
      <w:color w:val="808080"/>
      <w:sz w:val="16"/>
      <w:szCs w:val="20"/>
      <w:lang w:val="fr-FR" w:eastAsia="en-GB" w:bidi="ar-SA"/>
    </w:rPr>
  </w:style>
  <w:style w:type="paragraph" w:styleId="Commentaire">
    <w:name w:val="Commentaire"/>
    <w:basedOn w:val="Normal"/>
    <w:qFormat/>
    <w:pPr/>
    <w:rPr>
      <w:sz w:val="20"/>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BodyIndent">
    <w:name w:val="Text Body Indent"/>
    <w:basedOn w:val="Normal"/>
    <w:pPr>
      <w:ind w:left="851" w:hanging="0"/>
      <w:jc w:val="both"/>
    </w:pPr>
    <w:rPr>
      <w:rFonts w:ascii="Times New Roman" w:hAnsi="Times New Roman" w:cs="Times New Roman"/>
      <w:lang w:val="en-GB"/>
    </w:rPr>
  </w:style>
  <w:style w:type="paragraph" w:styleId="NormalWeb">
    <w:name w:val="Normal (Web)"/>
    <w:basedOn w:val="Normal"/>
    <w:qFormat/>
    <w:pPr>
      <w:spacing w:before="100" w:after="100"/>
    </w:pPr>
    <w:rPr>
      <w:rFonts w:ascii="Times New Roman" w:hAnsi="Times New Roman" w:cs="Times New Roman"/>
      <w:sz w:val="24"/>
      <w:szCs w:val="24"/>
    </w:rPr>
  </w:style>
  <w:style w:type="paragraph" w:styleId="Normalcentr">
    <w:name w:val="Normal centré"/>
    <w:basedOn w:val="Normal"/>
    <w:qFormat/>
    <w:pPr>
      <w:pBdr>
        <w:top w:val="single" w:sz="4" w:space="1" w:color="000000"/>
        <w:left w:val="single" w:sz="4" w:space="31" w:color="000000"/>
        <w:bottom w:val="single" w:sz="4" w:space="0" w:color="000000"/>
        <w:right w:val="single" w:sz="4" w:space="31" w:color="000000"/>
      </w:pBdr>
      <w:tabs>
        <w:tab w:val="left" w:pos="8080" w:leader="none"/>
      </w:tabs>
      <w:ind w:left="851" w:right="1984" w:firstLine="1701"/>
    </w:pPr>
    <w:rPr>
      <w:rFonts w:ascii="Arial" w:hAnsi="Arial" w:cs="Arial"/>
      <w:b/>
      <w:sz w:val="28"/>
    </w:rPr>
  </w:style>
  <w:style w:type="paragraph" w:styleId="Paragraphedeliste">
    <w:name w:val="Paragraphe de liste"/>
    <w:basedOn w:val="Normal"/>
    <w:qFormat/>
    <w:pPr>
      <w:spacing w:before="0" w:after="0"/>
      <w:ind w:left="720" w:hanging="0"/>
      <w:contextualSpacing/>
    </w:pPr>
    <w:rPr>
      <w:rFonts w:ascii="Times New Roman" w:hAnsi="Times New Roman" w:cs="Times New Roman"/>
      <w:sz w:val="20"/>
    </w:rPr>
  </w:style>
  <w:style w:type="paragraph" w:styleId="Textedebulles">
    <w:name w:val="Texte de bulles"/>
    <w:basedOn w:val="Normal"/>
    <w:qFormat/>
    <w:pPr/>
    <w:rPr>
      <w:rFonts w:ascii="Segoe UI" w:hAnsi="Segoe UI" w:cs="Segoe UI"/>
      <w:sz w:val="18"/>
      <w:szCs w:val="18"/>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ICM Group.dot</Template>
  <TotalTime>0</TotalTime>
  <Application>LibreOffice/5.0.6.2$Linux_X86_64 LibreOffice_project/00$Build-2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2018-03-30T08:49:00Z</dcterms:created>
  <dc:language>en-GB</dc:language>
  <cp:lastPrinted>2018-03-05T10:30:00Z</cp:lastPrinted>
  <dcterms:modified xsi:type="dcterms:W3CDTF">2018-03-30T09:56:00Z</dcterms:modified>
  <cp:revision>3</cp:revision>
  <dc:title>CHATEAUDUN DEVELOPPEMENT 3</dc:title>
</cp:coreProperties>
</file>