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rPr>
      </w:pPr>
      <w:r>
        <w:rPr>
          <w:b/>
          <w:sz w:val="28"/>
        </w:rPr>
      </w:r>
    </w:p>
    <w:p>
      <w:pPr>
        <w:pStyle w:val="Normal"/>
        <w:jc w:val="center"/>
        <w:rPr>
          <w:b/>
          <w:b/>
          <w:sz w:val="28"/>
        </w:rPr>
      </w:pPr>
      <w:r>
        <w:rPr>
          <w:b/>
          <w:sz w:val="28"/>
        </w:rPr>
        <w:t xml:space="preserve">PROTOCOLE D’ACCORD PORTANT </w:t>
      </w:r>
    </w:p>
    <w:p>
      <w:pPr>
        <w:pStyle w:val="Normal"/>
        <w:jc w:val="center"/>
        <w:rPr>
          <w:b/>
          <w:b/>
          <w:sz w:val="28"/>
        </w:rPr>
      </w:pPr>
      <w:r>
        <w:rPr>
          <w:b/>
          <w:sz w:val="28"/>
        </w:rPr>
        <w:t>MESURE SALARIALE</w:t>
      </w:r>
    </w:p>
    <w:p>
      <w:pPr>
        <w:pStyle w:val="Normal"/>
        <w:jc w:val="center"/>
        <w:rPr>
          <w:b/>
          <w:b/>
          <w:sz w:val="28"/>
        </w:rPr>
      </w:pPr>
      <w:r>
        <w:rPr>
          <w:b/>
          <w:sz w:val="28"/>
        </w:rPr>
      </w:r>
    </w:p>
    <w:p>
      <w:pPr>
        <w:pStyle w:val="Normal"/>
        <w:rPr>
          <w:b/>
          <w:b/>
          <w:sz w:val="28"/>
        </w:rPr>
      </w:pPr>
      <w:r>
        <w:rPr>
          <w:b/>
          <w:sz w:val="28"/>
        </w:rPr>
      </w:r>
    </w:p>
    <w:p>
      <w:pPr>
        <w:pStyle w:val="Normal"/>
        <w:rPr>
          <w:sz w:val="24"/>
          <w:szCs w:val="24"/>
        </w:rPr>
      </w:pPr>
      <w:r>
        <w:rPr>
          <w:sz w:val="24"/>
          <w:szCs w:val="24"/>
        </w:rPr>
        <w:t xml:space="preserve">Conclu entre </w:t>
      </w:r>
    </w:p>
    <w:p>
      <w:pPr>
        <w:pStyle w:val="Normal"/>
        <w:rPr>
          <w:sz w:val="24"/>
          <w:szCs w:val="24"/>
        </w:rPr>
      </w:pPr>
      <w:r>
        <w:rPr>
          <w:sz w:val="24"/>
          <w:szCs w:val="24"/>
        </w:rPr>
        <w:t>les organisations syndicales représentatives des salariés :</w:t>
      </w:r>
    </w:p>
    <w:p>
      <w:pPr>
        <w:pStyle w:val="Normal"/>
        <w:rPr>
          <w:sz w:val="24"/>
          <w:szCs w:val="24"/>
        </w:rPr>
      </w:pPr>
      <w:r>
        <w:rPr>
          <w:sz w:val="24"/>
          <w:szCs w:val="24"/>
        </w:rPr>
        <w:t xml:space="preserve">Le syndicat CFDT représenté par M                             en qualité de déléguée syndicale, </w:t>
      </w:r>
    </w:p>
    <w:p>
      <w:pPr>
        <w:pStyle w:val="Normal"/>
        <w:rPr>
          <w:sz w:val="24"/>
          <w:szCs w:val="24"/>
        </w:rPr>
      </w:pPr>
      <w:r>
        <w:rPr>
          <w:sz w:val="24"/>
          <w:szCs w:val="24"/>
        </w:rPr>
        <w:t>Le syndicat CGT représenté par M                              en qualité de délégué syndical,</w:t>
      </w:r>
    </w:p>
    <w:p>
      <w:pPr>
        <w:pStyle w:val="Normal"/>
        <w:rPr>
          <w:sz w:val="24"/>
          <w:szCs w:val="24"/>
        </w:rPr>
      </w:pPr>
      <w:r>
        <w:rPr>
          <w:sz w:val="24"/>
          <w:szCs w:val="24"/>
        </w:rPr>
        <w:t>et la Régie Départementale des Transports de l’Aisne, dont le siège est situé 97 rue Pierre SEMARD à GAUCHY (02430) représentée par son Directeur, M                             .</w:t>
      </w:r>
    </w:p>
    <w:p>
      <w:pPr>
        <w:pStyle w:val="Normal"/>
        <w:rPr>
          <w:sz w:val="22"/>
          <w:szCs w:val="22"/>
        </w:rPr>
      </w:pPr>
      <w:r>
        <w:rPr>
          <w:sz w:val="22"/>
          <w:szCs w:val="22"/>
        </w:rPr>
      </w:r>
    </w:p>
    <w:p>
      <w:pPr>
        <w:pStyle w:val="Normal"/>
        <w:rPr>
          <w:sz w:val="22"/>
          <w:szCs w:val="22"/>
        </w:rPr>
      </w:pPr>
      <w:r>
        <w:rPr>
          <w:sz w:val="22"/>
          <w:szCs w:val="22"/>
        </w:rPr>
      </w:r>
    </w:p>
    <w:p>
      <w:pPr>
        <w:pStyle w:val="Normal"/>
        <w:rPr>
          <w:b/>
          <w:b/>
          <w:sz w:val="24"/>
          <w:szCs w:val="24"/>
        </w:rPr>
      </w:pPr>
      <w:r>
        <w:rPr>
          <w:b/>
          <w:sz w:val="24"/>
          <w:szCs w:val="24"/>
        </w:rPr>
        <w:t>PREAMBULE :</w:t>
      </w:r>
    </w:p>
    <w:p>
      <w:pPr>
        <w:pStyle w:val="Normal"/>
        <w:rPr>
          <w:sz w:val="24"/>
          <w:szCs w:val="24"/>
        </w:rPr>
      </w:pPr>
      <w:r>
        <w:rPr>
          <w:sz w:val="24"/>
          <w:szCs w:val="24"/>
        </w:rPr>
        <w:t xml:space="preserve">En raison </w:t>
      </w:r>
      <w:r>
        <w:rPr>
          <w:sz w:val="24"/>
          <w:szCs w:val="24"/>
          <w:lang w:val="fr-FR"/>
        </w:rPr>
        <w:t>de la situation sanitaire, de son impact conséquent sur les comptes de l’entreprise et du manque de visibilité sur la poursuite ou non de cette crise,</w:t>
      </w:r>
      <w:r>
        <w:rPr>
          <w:sz w:val="24"/>
          <w:szCs w:val="24"/>
        </w:rPr>
        <w:t xml:space="preserve"> les négociations annuelles obligatoires 2021 ont été suspendues après la signature par le syndicat CFDT d’un premier accord le 6 mai 2021. La Direction de la RTA s’étant engagée à les reprendre ultérieurement si la situation s’était améliorée.</w:t>
      </w:r>
    </w:p>
    <w:p>
      <w:pPr>
        <w:pStyle w:val="Normal"/>
        <w:rPr>
          <w:sz w:val="24"/>
          <w:szCs w:val="24"/>
        </w:rPr>
      </w:pPr>
      <w:r>
        <w:rPr>
          <w:sz w:val="24"/>
          <w:szCs w:val="24"/>
        </w:rPr>
        <w:t xml:space="preserve">Les discussions ont donc repris et permis de conclure le présent accord. </w:t>
      </w:r>
    </w:p>
    <w:p>
      <w:pPr>
        <w:pStyle w:val="Normal"/>
        <w:rPr>
          <w:sz w:val="24"/>
          <w:szCs w:val="24"/>
        </w:rPr>
      </w:pPr>
      <w:r>
        <w:rPr>
          <w:sz w:val="24"/>
          <w:szCs w:val="24"/>
        </w:rPr>
      </w:r>
    </w:p>
    <w:p>
      <w:pPr>
        <w:pStyle w:val="Normal"/>
        <w:rPr>
          <w:b/>
          <w:b/>
          <w:sz w:val="24"/>
          <w:szCs w:val="24"/>
        </w:rPr>
      </w:pPr>
      <w:r>
        <w:rPr>
          <w:b/>
          <w:sz w:val="24"/>
          <w:szCs w:val="24"/>
        </w:rPr>
        <w:t xml:space="preserve">ARTICLE 1 : augmentation des salaires  </w:t>
      </w:r>
    </w:p>
    <w:p>
      <w:pPr>
        <w:pStyle w:val="Normal"/>
        <w:rPr>
          <w:b/>
          <w:b/>
          <w:sz w:val="24"/>
          <w:szCs w:val="24"/>
        </w:rPr>
      </w:pPr>
      <w:r>
        <w:rPr>
          <w:b/>
          <w:sz w:val="24"/>
          <w:szCs w:val="24"/>
        </w:rPr>
      </w:r>
    </w:p>
    <w:p>
      <w:pPr>
        <w:pStyle w:val="Normal"/>
        <w:rPr>
          <w:sz w:val="24"/>
          <w:szCs w:val="24"/>
        </w:rPr>
      </w:pPr>
      <w:r>
        <w:rPr>
          <w:sz w:val="24"/>
          <w:szCs w:val="24"/>
        </w:rPr>
        <w:t>Au 1</w:t>
      </w:r>
      <w:r>
        <w:rPr>
          <w:sz w:val="24"/>
          <w:szCs w:val="24"/>
          <w:vertAlign w:val="superscript"/>
        </w:rPr>
        <w:t>er</w:t>
      </w:r>
      <w:r>
        <w:rPr>
          <w:sz w:val="24"/>
          <w:szCs w:val="24"/>
        </w:rPr>
        <w:t xml:space="preserve"> janvier 2022, les salaires des personnels RTA seront augmentés de 0,25%.</w:t>
      </w:r>
    </w:p>
    <w:p>
      <w:pPr>
        <w:pStyle w:val="Normal"/>
        <w:rPr/>
      </w:pPr>
      <w:r>
        <w:rPr>
          <w:sz w:val="24"/>
          <w:szCs w:val="24"/>
        </w:rPr>
        <w:t>Comme indiqué à la section 7 « Grilles de rémunération » de l’accord de substitution conclu à la RTA le 3 juin 2019, cette augmentation s’appliquera sur le salaire de base ainsi que, le cas échéant, sur l’indemnité différentielle.</w:t>
      </w:r>
    </w:p>
    <w:p>
      <w:pPr>
        <w:pStyle w:val="Normal"/>
        <w:ind w:firstLine="708"/>
        <w:rPr>
          <w:sz w:val="24"/>
          <w:szCs w:val="24"/>
        </w:rPr>
      </w:pPr>
      <w:r>
        <w:rPr>
          <w:sz w:val="24"/>
          <w:szCs w:val="24"/>
        </w:rPr>
      </w:r>
    </w:p>
    <w:p>
      <w:pPr>
        <w:pStyle w:val="Normal"/>
        <w:rPr/>
      </w:pPr>
      <w:r>
        <w:rPr>
          <w:b/>
          <w:sz w:val="24"/>
          <w:szCs w:val="24"/>
        </w:rPr>
        <w:t>ARTICLE 2 : Chèques déjeuner</w:t>
      </w:r>
    </w:p>
    <w:p>
      <w:pPr>
        <w:pStyle w:val="Normal"/>
        <w:rPr>
          <w:rFonts w:ascii="Arial" w:hAnsi="Arial" w:cs="Arial"/>
          <w:b/>
          <w:b/>
          <w:sz w:val="24"/>
          <w:szCs w:val="24"/>
          <w:lang w:val="fr-FR"/>
        </w:rPr>
      </w:pPr>
      <w:r>
        <w:rPr>
          <w:rFonts w:cs="Arial" w:ascii="Arial" w:hAnsi="Arial"/>
          <w:b/>
          <w:sz w:val="24"/>
          <w:szCs w:val="24"/>
          <w:lang w:val="fr-FR"/>
        </w:rPr>
      </w:r>
    </w:p>
    <w:p>
      <w:pPr>
        <w:pStyle w:val="Normal"/>
        <w:tabs>
          <w:tab w:val="left" w:pos="1440" w:leader="none"/>
        </w:tabs>
        <w:ind w:firstLine="567"/>
        <w:rPr/>
      </w:pPr>
      <w:r>
        <w:rPr>
          <w:sz w:val="24"/>
          <w:szCs w:val="24"/>
        </w:rPr>
        <w:t>Depuis le 1</w:t>
      </w:r>
      <w:r>
        <w:rPr>
          <w:sz w:val="24"/>
          <w:szCs w:val="24"/>
          <w:vertAlign w:val="superscript"/>
        </w:rPr>
        <w:t>er</w:t>
      </w:r>
      <w:r>
        <w:rPr>
          <w:sz w:val="24"/>
          <w:szCs w:val="24"/>
        </w:rPr>
        <w:t xml:space="preserve"> Avril 2019, les personnels sédentaires bénéficient de chèques déjeuner à raison d’un chèque déjeuner par journée travaillée (sous réserve que le repas du midi ne soit pas remboursé par note de frais ou pris en charge par l’entreprise ou un tiers). </w:t>
      </w:r>
    </w:p>
    <w:p>
      <w:pPr>
        <w:pStyle w:val="Normal"/>
        <w:tabs>
          <w:tab w:val="left" w:pos="1440" w:leader="none"/>
        </w:tabs>
        <w:ind w:firstLine="567"/>
        <w:rPr/>
      </w:pPr>
      <w:r>
        <w:rPr>
          <w:sz w:val="24"/>
          <w:szCs w:val="24"/>
        </w:rPr>
        <w:t>A compter du 1</w:t>
      </w:r>
      <w:r>
        <w:rPr>
          <w:sz w:val="24"/>
          <w:szCs w:val="24"/>
          <w:vertAlign w:val="superscript"/>
        </w:rPr>
        <w:t>er</w:t>
      </w:r>
      <w:r>
        <w:rPr>
          <w:sz w:val="24"/>
          <w:szCs w:val="24"/>
        </w:rPr>
        <w:t xml:space="preserve"> janvier 2022 la valeur faciale du titre déjeuner est portée à 6,00€ avec une prise en charge patronale à hauteur de 50% (soit 3,00€). L’adhésion demeure facultative.</w:t>
      </w:r>
    </w:p>
    <w:p>
      <w:pPr>
        <w:pStyle w:val="Normal"/>
        <w:tabs>
          <w:tab w:val="left" w:pos="1440" w:leader="none"/>
        </w:tabs>
        <w:ind w:firstLine="567"/>
        <w:rPr>
          <w:sz w:val="24"/>
          <w:szCs w:val="24"/>
        </w:rPr>
      </w:pPr>
      <w:r>
        <w:rPr>
          <w:sz w:val="24"/>
          <w:szCs w:val="24"/>
        </w:rPr>
        <w:t>Les conditions d’attribution des chèques déjeuner prévues à l’article 7 de l’accord de substitution du 3 juin 2019 demeurent sans changement.</w:t>
      </w:r>
    </w:p>
    <w:p>
      <w:pPr>
        <w:pStyle w:val="Normal"/>
        <w:rPr>
          <w:b/>
          <w:b/>
          <w:sz w:val="24"/>
          <w:szCs w:val="24"/>
        </w:rPr>
      </w:pPr>
      <w:r>
        <w:rPr>
          <w:b/>
          <w:sz w:val="24"/>
          <w:szCs w:val="24"/>
        </w:rPr>
      </w:r>
    </w:p>
    <w:p>
      <w:pPr>
        <w:pStyle w:val="Normal"/>
        <w:tabs>
          <w:tab w:val="left" w:pos="1440" w:leader="none"/>
        </w:tabs>
        <w:ind w:firstLine="567"/>
        <w:rPr>
          <w:b/>
          <w:b/>
          <w:color w:val="FF0000"/>
          <w:sz w:val="24"/>
          <w:szCs w:val="24"/>
        </w:rPr>
      </w:pPr>
      <w:r>
        <w:rPr>
          <w:b/>
          <w:color w:val="FF0000"/>
          <w:sz w:val="24"/>
          <w:szCs w:val="24"/>
        </w:rPr>
      </w:r>
    </w:p>
    <w:p>
      <w:pPr>
        <w:pStyle w:val="Normal"/>
        <w:rPr>
          <w:b/>
          <w:b/>
          <w:sz w:val="24"/>
          <w:szCs w:val="24"/>
        </w:rPr>
      </w:pPr>
      <w:r>
        <w:rPr>
          <w:b/>
          <w:sz w:val="24"/>
          <w:szCs w:val="24"/>
        </w:rPr>
        <w:t>ARTICLE 3 : Durée-Révision-Dénonciation</w:t>
      </w:r>
    </w:p>
    <w:p>
      <w:pPr>
        <w:pStyle w:val="Normal"/>
        <w:rPr>
          <w:rFonts w:ascii="Arial" w:hAnsi="Arial" w:cs="Arial"/>
          <w:b/>
          <w:b/>
          <w:sz w:val="24"/>
          <w:szCs w:val="24"/>
          <w:lang w:val="fr-FR"/>
        </w:rPr>
      </w:pPr>
      <w:r>
        <w:rPr>
          <w:rFonts w:cs="Arial" w:ascii="Arial" w:hAnsi="Arial"/>
          <w:b/>
          <w:sz w:val="24"/>
          <w:szCs w:val="24"/>
          <w:lang w:val="fr-FR"/>
        </w:rPr>
      </w:r>
    </w:p>
    <w:p>
      <w:pPr>
        <w:pStyle w:val="Normal"/>
        <w:tabs>
          <w:tab w:val="left" w:pos="1440" w:leader="none"/>
        </w:tabs>
        <w:rPr>
          <w:sz w:val="24"/>
          <w:szCs w:val="24"/>
        </w:rPr>
      </w:pPr>
      <w:r>
        <w:rPr>
          <w:sz w:val="24"/>
          <w:szCs w:val="24"/>
        </w:rPr>
        <w:t>Le présent accord est conclu pour une durée indéterminée et prendra effet à la date de sa signature.</w:t>
      </w:r>
    </w:p>
    <w:p>
      <w:pPr>
        <w:pStyle w:val="Normal"/>
        <w:rPr/>
      </w:pPr>
      <w:r>
        <w:rPr>
          <w:sz w:val="24"/>
          <w:szCs w:val="24"/>
        </w:rPr>
        <w:t>Il se substitue à toutes les dispositions issues de décisions unilatérales, d’usages, d’accords collectifs, ou de toute autre pratique en vigueur dans l’entreprise et portant sur le même objet que celui prévu par le présent accord.</w:t>
      </w:r>
    </w:p>
    <w:p>
      <w:pPr>
        <w:pStyle w:val="Normal"/>
        <w:ind w:firstLine="567"/>
        <w:rPr>
          <w:sz w:val="24"/>
          <w:szCs w:val="24"/>
        </w:rPr>
      </w:pPr>
      <w:r>
        <w:rPr>
          <w:sz w:val="24"/>
          <w:szCs w:val="24"/>
        </w:rPr>
      </w:r>
    </w:p>
    <w:p>
      <w:pPr>
        <w:pStyle w:val="Normal"/>
        <w:rPr>
          <w:sz w:val="24"/>
          <w:szCs w:val="24"/>
        </w:rPr>
      </w:pPr>
      <w:r>
        <w:rPr>
          <w:sz w:val="24"/>
          <w:szCs w:val="24"/>
        </w:rPr>
        <w:t>Il pourra, à tout moment, être modifié ou dénoncé en respectant la procédure prévue respectivement par les articles L.2222-5, L.2222-6 et L.2261-7 à L.2261-13 du Code du travail.</w:t>
      </w:r>
    </w:p>
    <w:p>
      <w:pPr>
        <w:pStyle w:val="Normal"/>
        <w:ind w:firstLine="567"/>
        <w:rPr>
          <w:sz w:val="24"/>
          <w:szCs w:val="24"/>
        </w:rPr>
      </w:pPr>
      <w:r>
        <w:rPr>
          <w:sz w:val="24"/>
          <w:szCs w:val="24"/>
        </w:rPr>
      </w:r>
    </w:p>
    <w:p>
      <w:pPr>
        <w:pStyle w:val="Normal"/>
        <w:ind w:firstLine="567"/>
        <w:rPr>
          <w:sz w:val="24"/>
          <w:szCs w:val="24"/>
        </w:rPr>
      </w:pPr>
      <w:r>
        <w:rPr>
          <w:sz w:val="24"/>
          <w:szCs w:val="24"/>
        </w:rPr>
      </w:r>
    </w:p>
    <w:p>
      <w:pPr>
        <w:pStyle w:val="Normal"/>
        <w:rPr/>
      </w:pPr>
      <w:r>
        <w:rPr>
          <w:b/>
          <w:sz w:val="24"/>
          <w:szCs w:val="24"/>
        </w:rPr>
        <w:t>ARTICLE 4 : Dépôt et publicité</w:t>
      </w:r>
    </w:p>
    <w:p>
      <w:pPr>
        <w:pStyle w:val="Normal"/>
        <w:keepLines/>
        <w:spacing w:lineRule="atLeast" w:line="280"/>
        <w:ind w:left="1440" w:hanging="0"/>
        <w:jc w:val="both"/>
        <w:rPr>
          <w:rFonts w:ascii="Arial" w:hAnsi="Arial" w:cs="Arial"/>
          <w:b/>
          <w:b/>
          <w:sz w:val="24"/>
          <w:szCs w:val="24"/>
          <w:lang w:val="fr-FR"/>
        </w:rPr>
      </w:pPr>
      <w:r>
        <w:rPr>
          <w:rFonts w:cs="Arial" w:ascii="Arial" w:hAnsi="Arial"/>
          <w:b/>
          <w:sz w:val="24"/>
          <w:szCs w:val="24"/>
          <w:lang w:val="fr-FR"/>
        </w:rPr>
      </w:r>
    </w:p>
    <w:p>
      <w:pPr>
        <w:pStyle w:val="Normal"/>
        <w:tabs>
          <w:tab w:val="left" w:pos="1440" w:leader="none"/>
        </w:tabs>
        <w:rPr/>
      </w:pPr>
      <w:r>
        <w:rPr>
          <w:sz w:val="24"/>
          <w:szCs w:val="24"/>
        </w:rPr>
        <w:t>Conformément aux articles L.2231-6 et D.2231-2 et suivants du Code du travail, un exemplaire du présent accord sera déposé auprès de la direction régionale des entreprises, de la concurrence, de la consommation, du travail et de l’emploi (DIRECCTE), ainsi qu’au secrétariat greffe du conseil de prud’hommes du lieu de sa conclusion.</w:t>
      </w:r>
    </w:p>
    <w:p>
      <w:pPr>
        <w:pStyle w:val="Normal"/>
        <w:tabs>
          <w:tab w:val="left" w:pos="1440" w:leader="none"/>
        </w:tabs>
        <w:ind w:firstLine="567"/>
        <w:rPr>
          <w:sz w:val="24"/>
          <w:szCs w:val="24"/>
        </w:rPr>
      </w:pPr>
      <w:r>
        <w:rPr>
          <w:sz w:val="24"/>
          <w:szCs w:val="24"/>
        </w:rPr>
      </w:r>
    </w:p>
    <w:p>
      <w:pPr>
        <w:pStyle w:val="Normal"/>
        <w:tabs>
          <w:tab w:val="left" w:pos="1440" w:leader="none"/>
        </w:tabs>
        <w:rPr>
          <w:sz w:val="24"/>
          <w:szCs w:val="24"/>
        </w:rPr>
      </w:pPr>
      <w:r>
        <w:rPr>
          <w:sz w:val="24"/>
          <w:szCs w:val="24"/>
        </w:rPr>
        <w:t>Une version sur support électronique est également communiquée à la DIRECCTE du lieu de signature de l’accord.</w:t>
      </w:r>
    </w:p>
    <w:p>
      <w:pPr>
        <w:pStyle w:val="Normal"/>
        <w:tabs>
          <w:tab w:val="left" w:pos="1440" w:leader="none"/>
        </w:tabs>
        <w:ind w:firstLine="567"/>
        <w:rPr>
          <w:sz w:val="24"/>
          <w:szCs w:val="24"/>
        </w:rPr>
      </w:pPr>
      <w:r>
        <w:rPr>
          <w:sz w:val="24"/>
          <w:szCs w:val="24"/>
        </w:rPr>
      </w:r>
    </w:p>
    <w:p>
      <w:pPr>
        <w:pStyle w:val="Normal"/>
        <w:tabs>
          <w:tab w:val="left" w:pos="1440" w:leader="none"/>
        </w:tabs>
        <w:rPr>
          <w:sz w:val="24"/>
          <w:szCs w:val="24"/>
        </w:rPr>
      </w:pPr>
      <w:r>
        <w:rPr>
          <w:sz w:val="24"/>
          <w:szCs w:val="24"/>
        </w:rPr>
        <w:t>En outre, un exemplaire sera établi pour chaque partie.</w:t>
      </w:r>
    </w:p>
    <w:p>
      <w:pPr>
        <w:pStyle w:val="Normal"/>
        <w:tabs>
          <w:tab w:val="left" w:pos="1440" w:leader="none"/>
        </w:tabs>
        <w:ind w:firstLine="567"/>
        <w:rPr>
          <w:sz w:val="24"/>
          <w:szCs w:val="24"/>
        </w:rPr>
      </w:pPr>
      <w:r>
        <w:rPr>
          <w:sz w:val="24"/>
          <w:szCs w:val="24"/>
        </w:rPr>
      </w:r>
    </w:p>
    <w:p>
      <w:pPr>
        <w:pStyle w:val="Normal"/>
        <w:tabs>
          <w:tab w:val="left" w:pos="1440" w:leader="none"/>
        </w:tabs>
        <w:rPr/>
      </w:pPr>
      <w:r>
        <w:rPr>
          <w:sz w:val="24"/>
          <w:szCs w:val="24"/>
        </w:rPr>
        <w:t>Le présent accord sera notifié à l’ensemble des organisations syndicales représentatives dans l’entreprise et non signataires de celui-ci.</w:t>
      </w:r>
    </w:p>
    <w:p>
      <w:pPr>
        <w:pStyle w:val="Normal"/>
        <w:tabs>
          <w:tab w:val="left" w:pos="1440" w:leader="none"/>
        </w:tabs>
        <w:ind w:firstLine="567"/>
        <w:rPr>
          <w:sz w:val="24"/>
          <w:szCs w:val="24"/>
        </w:rPr>
      </w:pPr>
      <w:r>
        <w:rPr>
          <w:sz w:val="24"/>
          <w:szCs w:val="24"/>
        </w:rPr>
      </w:r>
    </w:p>
    <w:p>
      <w:pPr>
        <w:pStyle w:val="Normal"/>
        <w:tabs>
          <w:tab w:val="left" w:pos="1440" w:leader="none"/>
        </w:tabs>
        <w:rPr/>
      </w:pPr>
      <w:r>
        <w:rPr>
          <w:sz w:val="24"/>
          <w:szCs w:val="24"/>
        </w:rPr>
        <w:t>Enfin, en application des articles R.2262-1, R.2262-2 et R.2262-3 du Code du travail, il sera transmis aux représentants du personnel et mention de cet accord sera faite sur les panneaux réservés à la direction pour sa communication avec le personnel.</w:t>
      </w:r>
    </w:p>
    <w:p>
      <w:pPr>
        <w:pStyle w:val="Normal"/>
        <w:rPr>
          <w:sz w:val="22"/>
          <w:szCs w:val="22"/>
          <w:lang w:val="fr-FR"/>
        </w:rPr>
      </w:pPr>
      <w:r>
        <w:rPr>
          <w:sz w:val="22"/>
          <w:szCs w:val="22"/>
          <w:lang w:val="fr-FR"/>
        </w:rPr>
      </w:r>
    </w:p>
    <w:p>
      <w:pPr>
        <w:pStyle w:val="Normal"/>
        <w:rPr>
          <w:sz w:val="24"/>
          <w:szCs w:val="24"/>
          <w:lang w:val="fr-FR"/>
        </w:rPr>
      </w:pPr>
      <w:r>
        <w:rPr>
          <w:sz w:val="24"/>
          <w:szCs w:val="24"/>
          <w:lang w:val="fr-FR"/>
        </w:rPr>
      </w:r>
    </w:p>
    <w:p>
      <w:pPr>
        <w:pStyle w:val="Normal"/>
        <w:rPr>
          <w:sz w:val="24"/>
          <w:szCs w:val="24"/>
        </w:rPr>
      </w:pPr>
      <w:r>
        <w:rPr>
          <w:sz w:val="24"/>
          <w:szCs w:val="24"/>
        </w:rPr>
        <w:t>Fait à GAUCHY le 10/01/2022</w:t>
      </w:r>
    </w:p>
    <w:p>
      <w:pPr>
        <w:pStyle w:val="Normal"/>
        <w:rPr>
          <w:sz w:val="24"/>
          <w:szCs w:val="24"/>
        </w:rPr>
      </w:pPr>
      <w:r>
        <w:rPr>
          <w:sz w:val="24"/>
          <w:szCs w:val="24"/>
        </w:rPr>
      </w:r>
    </w:p>
    <w:p>
      <w:pPr>
        <w:pStyle w:val="Heading2"/>
        <w:numPr>
          <w:ilvl w:val="1"/>
          <w:numId w:val="1"/>
        </w:numPr>
        <w:tabs>
          <w:tab w:val="center" w:pos="1134" w:leader="none"/>
          <w:tab w:val="center" w:pos="3969" w:leader="none"/>
          <w:tab w:val="center" w:pos="7088" w:leader="none"/>
        </w:tabs>
        <w:rPr>
          <w:sz w:val="24"/>
          <w:szCs w:val="24"/>
        </w:rPr>
      </w:pPr>
      <w:r>
        <w:rPr>
          <w:sz w:val="24"/>
          <w:szCs w:val="24"/>
        </w:rPr>
      </w:r>
    </w:p>
    <w:p>
      <w:pPr>
        <w:pStyle w:val="Heading2"/>
        <w:numPr>
          <w:ilvl w:val="1"/>
          <w:numId w:val="1"/>
        </w:numPr>
        <w:tabs>
          <w:tab w:val="center" w:pos="567" w:leader="none"/>
          <w:tab w:val="center" w:pos="3969" w:leader="none"/>
          <w:tab w:val="center" w:pos="7088" w:leader="none"/>
        </w:tabs>
        <w:rPr>
          <w:szCs w:val="24"/>
        </w:rPr>
      </w:pPr>
      <w:r>
        <w:rPr>
          <w:szCs w:val="24"/>
        </w:rPr>
        <w:tab/>
        <w:t>Le Directeur,</w:t>
        <w:tab/>
        <w:t>La Déléguée Syndicale</w:t>
        <w:tab/>
        <w:t>Le délégué syndical</w:t>
      </w:r>
    </w:p>
    <w:p>
      <w:pPr>
        <w:pStyle w:val="Heading2"/>
        <w:numPr>
          <w:ilvl w:val="1"/>
          <w:numId w:val="1"/>
        </w:numPr>
        <w:tabs>
          <w:tab w:val="center" w:pos="567" w:leader="none"/>
          <w:tab w:val="center" w:pos="3969" w:leader="none"/>
          <w:tab w:val="center" w:pos="7088" w:leader="none"/>
        </w:tabs>
        <w:rPr>
          <w:szCs w:val="24"/>
          <w:lang w:val="en-US"/>
        </w:rPr>
      </w:pPr>
      <w:r>
        <w:rPr>
          <w:szCs w:val="24"/>
        </w:rPr>
        <w:tab/>
        <w:tab/>
      </w:r>
      <w:r>
        <w:rPr>
          <w:szCs w:val="24"/>
          <w:lang w:val="en-US"/>
        </w:rPr>
        <w:t>CFDT</w:t>
        <w:tab/>
        <w:t>CGT</w:t>
      </w:r>
    </w:p>
    <w:p>
      <w:pPr>
        <w:pStyle w:val="Heading2"/>
        <w:numPr>
          <w:ilvl w:val="1"/>
          <w:numId w:val="1"/>
        </w:numPr>
        <w:tabs>
          <w:tab w:val="center" w:pos="1134" w:leader="none"/>
          <w:tab w:val="center" w:pos="3969" w:leader="none"/>
          <w:tab w:val="center" w:pos="6521" w:leader="none"/>
          <w:tab w:val="center" w:pos="7088" w:leader="none"/>
        </w:tabs>
        <w:rPr>
          <w:szCs w:val="24"/>
          <w:lang w:val="en-US"/>
        </w:rPr>
      </w:pPr>
      <w:r>
        <w:rPr>
          <w:szCs w:val="24"/>
          <w:lang w:val="en-US"/>
        </w:rPr>
      </w:r>
    </w:p>
    <w:p>
      <w:pPr>
        <w:pStyle w:val="Normal"/>
        <w:tabs>
          <w:tab w:val="center" w:pos="6521" w:leader="none"/>
        </w:tabs>
        <w:rPr>
          <w:sz w:val="24"/>
          <w:szCs w:val="24"/>
          <w:lang w:val="en-US"/>
        </w:rPr>
      </w:pPr>
      <w:r>
        <w:rPr>
          <w:sz w:val="24"/>
          <w:szCs w:val="24"/>
          <w:lang w:val="en-US"/>
        </w:rPr>
      </w:r>
    </w:p>
    <w:p>
      <w:pPr>
        <w:pStyle w:val="Normal"/>
        <w:tabs>
          <w:tab w:val="center" w:pos="6521" w:leader="none"/>
        </w:tabs>
        <w:rPr>
          <w:sz w:val="24"/>
          <w:szCs w:val="24"/>
          <w:lang w:val="en-US"/>
        </w:rPr>
      </w:pPr>
      <w:r>
        <w:rPr>
          <w:sz w:val="24"/>
          <w:szCs w:val="24"/>
          <w:lang w:val="en-US"/>
        </w:rPr>
      </w:r>
    </w:p>
    <w:p>
      <w:pPr>
        <w:pStyle w:val="Heading2"/>
        <w:numPr>
          <w:ilvl w:val="1"/>
          <w:numId w:val="1"/>
        </w:numPr>
        <w:tabs>
          <w:tab w:val="center" w:pos="1134" w:leader="none"/>
          <w:tab w:val="center" w:pos="3969" w:leader="none"/>
          <w:tab w:val="center" w:pos="7088" w:leader="none"/>
        </w:tabs>
        <w:rPr>
          <w:sz w:val="20"/>
          <w:szCs w:val="24"/>
          <w:lang w:val="en-US"/>
        </w:rPr>
      </w:pPr>
      <w:r>
        <w:rPr>
          <w:sz w:val="20"/>
          <w:szCs w:val="24"/>
          <w:lang w:val="en-US"/>
        </w:rPr>
      </w:r>
    </w:p>
    <w:sectPr>
      <w:type w:val="nextPage"/>
      <w:pgSz w:w="11906" w:h="16838"/>
      <w:pgMar w:left="1418" w:right="1418"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6"/>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fr-CA" w:bidi="ar-SA" w:eastAsia="zh-CN"/>
    </w:rPr>
  </w:style>
  <w:style w:type="paragraph" w:styleId="Heading1">
    <w:name w:val="Heading 1"/>
    <w:basedOn w:val="Normal"/>
    <w:next w:val="Normal"/>
    <w:qFormat/>
    <w:pPr>
      <w:keepNext w:val="true"/>
      <w:numPr>
        <w:ilvl w:val="0"/>
        <w:numId w:val="1"/>
      </w:numPr>
      <w:outlineLvl w:val="0"/>
    </w:pPr>
    <w:rPr>
      <w:b/>
      <w:sz w:val="24"/>
      <w:u w:val="single"/>
    </w:rPr>
  </w:style>
  <w:style w:type="paragraph" w:styleId="Heading2">
    <w:name w:val="Heading 2"/>
    <w:basedOn w:val="Normal"/>
    <w:next w:val="Normal"/>
    <w:qFormat/>
    <w:pPr>
      <w:keepNext w:val="true"/>
      <w:numPr>
        <w:ilvl w:val="1"/>
        <w:numId w:val="1"/>
      </w:numPr>
      <w:tabs>
        <w:tab w:val="center" w:pos="3969" w:leader="none"/>
        <w:tab w:val="left" w:pos="5954" w:leader="none"/>
      </w:tabs>
      <w:outlineLvl w:val="1"/>
    </w:pPr>
    <w:rPr>
      <w:sz w:val="24"/>
    </w:rPr>
  </w:style>
  <w:style w:type="paragraph" w:styleId="Heading3">
    <w:name w:val="Heading 3"/>
    <w:basedOn w:val="Normal"/>
    <w:next w:val="Normal"/>
    <w:qFormat/>
    <w:pPr>
      <w:keepNext w:val="true"/>
      <w:numPr>
        <w:ilvl w:val="2"/>
        <w:numId w:val="1"/>
      </w:numPr>
      <w:outlineLvl w:val="2"/>
    </w:pPr>
    <w:rPr>
      <w:sz w:val="32"/>
      <w:szCs w:val="32"/>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eastAsia="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style>
  <w:style w:type="character" w:styleId="WW8Num5z0">
    <w:name w:val="WW8Num5z0"/>
    <w:qFormat/>
    <w:rPr/>
  </w:style>
  <w:style w:type="character" w:styleId="WW8Num6z0">
    <w:name w:val="WW8Num6z0"/>
    <w:qFormat/>
    <w:rPr>
      <w:rFonts w:ascii="Arial" w:hAnsi="Arial" w:eastAsia="Times New Roman" w:cs="Arial"/>
      <w:i w:val="false"/>
      <w:sz w:val="20"/>
      <w:szCs w:val="20"/>
    </w:rPr>
  </w:style>
  <w:style w:type="character" w:styleId="WW8Num6z1">
    <w:name w:val="WW8Num6z1"/>
    <w:qFormat/>
    <w:rPr>
      <w:rFonts w:ascii="Wingdings" w:hAnsi="Wingdings" w:cs="Wingdings"/>
      <w:i w:val="false"/>
      <w:sz w:val="20"/>
      <w:szCs w:val="20"/>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6z4">
    <w:name w:val="WW8Num6z4"/>
    <w:qFormat/>
    <w:rPr>
      <w:rFonts w:ascii="Courier New" w:hAnsi="Courier New" w:cs="Courier New"/>
    </w:rPr>
  </w:style>
  <w:style w:type="character" w:styleId="WW8Num7z0">
    <w:name w:val="WW8Num7z0"/>
    <w:qFormat/>
    <w:rPr>
      <w:rFonts w:ascii="Symbol" w:hAnsi="Symbol" w:cs="Symbol"/>
    </w:rPr>
  </w:style>
  <w:style w:type="character" w:styleId="WW8Num8z0">
    <w:name w:val="WW8Num8z0"/>
    <w:qFormat/>
    <w:rPr>
      <w:rFonts w:ascii="Times New Roman" w:hAnsi="Times New Roman" w:eastAsia="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Policepardfaut">
    <w:name w:val="Police par défau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BodyIndent">
    <w:name w:val="Body Text Indent"/>
    <w:basedOn w:val="Normal"/>
    <w:pPr>
      <w:ind w:firstLine="567"/>
    </w:pPr>
    <w:rPr/>
  </w:style>
  <w:style w:type="paragraph" w:styleId="Retraitcorpsdetexte2">
    <w:name w:val="Retrait corps de texte 2"/>
    <w:basedOn w:val="Normal"/>
    <w:qFormat/>
    <w:pPr>
      <w:ind w:firstLine="567"/>
    </w:pPr>
    <w:rPr>
      <w:sz w:val="24"/>
    </w:rPr>
  </w:style>
  <w:style w:type="paragraph" w:styleId="Retraitcorpsdetexte3">
    <w:name w:val="Retrait corps de texte 3"/>
    <w:basedOn w:val="Normal"/>
    <w:qFormat/>
    <w:pPr>
      <w:ind w:firstLine="702"/>
    </w:pPr>
    <w:rPr>
      <w:sz w:val="24"/>
    </w:rPr>
  </w:style>
  <w:style w:type="paragraph" w:styleId="Textedebulles">
    <w:name w:val="Texte de bulles"/>
    <w:basedOn w:val="Normal"/>
    <w:qFormat/>
    <w:pPr/>
    <w:rPr>
      <w:rFonts w:ascii="Tahoma" w:hAnsi="Tahoma" w:cs="Tahoma"/>
      <w:sz w:val="16"/>
      <w:szCs w:val="16"/>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2022-01-11T11:52:00Z</dcterms:created>
  <dc:creator/>
  <dc:description/>
  <dc:language>en-GB</dc:language>
  <cp:lastModifiedBy/>
  <cp:lastPrinted>2021-12-20T11:40:00Z</cp:lastPrinted>
  <dcterms:modified xsi:type="dcterms:W3CDTF">2022-01-11T11:52:00Z</dcterms:modified>
  <cp:revision>2</cp:revision>
  <dc:subject/>
  <dc:title>PROTOCOLE D’ACCORD PORTANT DIVERSES</dc:title>
</cp:coreProperties>
</file>