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pBdr>
          <w:top w:color="000000" w:space="1" w:sz="4" w:val="single"/>
          <w:left w:color="000000" w:space="4" w:sz="4" w:val="single"/>
          <w:bottom w:color="000000" w:space="1" w:sz="4" w:val="single"/>
          <w:right w:color="000000" w:space="4" w:sz="4" w:val="single"/>
        </w:pBdr>
        <w:spacing w:after="0" w:before="240"/>
        <w:jc w:val="center"/>
        <w:rPr>
          <w:b/>
          <w:b/>
          <w:sz w:val="18"/>
          <w:szCs w:val="18"/>
          <w:u w:val="single"/>
        </w:rPr>
      </w:pPr>
      <w:r>
        <w:rPr>
          <w:b/>
          <w:sz w:val="18"/>
          <w:szCs w:val="18"/>
          <w:u w:val="single"/>
        </w:rPr>
      </w:r>
    </w:p>
    <w:p>
      <w:pPr>
        <w:pStyle w:val="Normal"/>
        <w:pBdr>
          <w:top w:color="000000" w:space="1" w:sz="4" w:val="single"/>
          <w:left w:color="000000" w:space="4" w:sz="4" w:val="single"/>
          <w:bottom w:color="000000" w:space="1" w:sz="4" w:val="single"/>
          <w:right w:color="000000" w:space="4" w:sz="4" w:val="single"/>
        </w:pBdr>
        <w:spacing w:after="0" w:before="120"/>
        <w:jc w:val="center"/>
        <w:rPr/>
      </w:pPr>
      <w:r>
        <w:rPr>
          <w:b/>
          <w:sz w:val="28"/>
          <w:szCs w:val="28"/>
          <w:u w:val="single"/>
        </w:rPr>
        <w:t>ACCORD SUR LES AVANCÉES SOCIALES</w:t>
      </w:r>
    </w:p>
    <w:p>
      <w:pPr>
        <w:pStyle w:val="Normal"/>
        <w:pBdr>
          <w:top w:color="000000" w:space="1" w:sz="4" w:val="single"/>
          <w:left w:color="000000" w:space="4" w:sz="4" w:val="single"/>
          <w:bottom w:color="000000" w:space="1" w:sz="4" w:val="single"/>
          <w:right w:color="000000" w:space="4" w:sz="4" w:val="single"/>
        </w:pBdr>
        <w:spacing w:after="120" w:before="0"/>
        <w:jc w:val="center"/>
        <w:rPr>
          <w:b/>
          <w:b/>
          <w:sz w:val="28"/>
          <w:szCs w:val="28"/>
          <w:u w:val="single"/>
        </w:rPr>
      </w:pPr>
      <w:r>
        <w:rPr>
          <w:b/>
          <w:sz w:val="28"/>
          <w:szCs w:val="28"/>
          <w:u w:val="single"/>
        </w:rPr>
        <w:t>ANNÉE  2023</w:t>
      </w:r>
    </w:p>
    <w:p>
      <w:pPr>
        <w:pStyle w:val="Normal"/>
        <w:pBdr>
          <w:top w:color="000000" w:space="1" w:sz="4" w:val="single"/>
          <w:left w:color="000000" w:space="4" w:sz="4" w:val="single"/>
          <w:bottom w:color="000000" w:space="1" w:sz="4" w:val="single"/>
          <w:right w:color="000000" w:space="4" w:sz="4" w:val="single"/>
        </w:pBdr>
        <w:spacing w:after="120" w:before="0"/>
        <w:jc w:val="center"/>
        <w:rPr>
          <w:b/>
          <w:b/>
          <w:sz w:val="18"/>
          <w:szCs w:val="18"/>
          <w:u w:val="single"/>
        </w:rPr>
      </w:pPr>
      <w:r>
        <w:rPr>
          <w:b/>
          <w:sz w:val="18"/>
          <w:szCs w:val="18"/>
          <w:u w:val="single"/>
        </w:rPr>
      </w:r>
    </w:p>
    <w:p>
      <w:pPr>
        <w:pStyle w:val="Normal"/>
        <w:jc w:val="center"/>
        <w:rPr>
          <w:b/>
          <w:b/>
          <w:sz w:val="28"/>
          <w:szCs w:val="28"/>
          <w:u w:val="single"/>
        </w:rPr>
      </w:pPr>
      <w:r>
        <w:rPr>
          <w:b/>
          <w:sz w:val="28"/>
          <w:szCs w:val="28"/>
          <w:u w:val="single"/>
        </w:rPr>
      </w:r>
    </w:p>
    <w:p>
      <w:pPr>
        <w:pStyle w:val="Normal"/>
        <w:jc w:val="both"/>
        <w:rPr>
          <w:sz w:val="22"/>
          <w:szCs w:val="22"/>
        </w:rPr>
      </w:pPr>
      <w:r>
        <w:rPr>
          <w:sz w:val="22"/>
          <w:szCs w:val="22"/>
        </w:rPr>
        <w:t>Entre, d’une part :</w:t>
      </w:r>
    </w:p>
    <w:p>
      <w:pPr>
        <w:pStyle w:val="Normal"/>
        <w:jc w:val="both"/>
        <w:rPr>
          <w:sz w:val="22"/>
          <w:szCs w:val="22"/>
        </w:rPr>
      </w:pPr>
      <w:r>
        <w:rPr>
          <w:sz w:val="22"/>
          <w:szCs w:val="22"/>
        </w:rPr>
      </w:r>
    </w:p>
    <w:p>
      <w:pPr>
        <w:pStyle w:val="Normal"/>
        <w:numPr>
          <w:ilvl w:val="0"/>
          <w:numId w:val="2"/>
        </w:numPr>
        <w:jc w:val="both"/>
        <w:rPr>
          <w:sz w:val="22"/>
          <w:szCs w:val="22"/>
        </w:rPr>
      </w:pPr>
      <w:r>
        <w:rPr>
          <w:sz w:val="22"/>
          <w:szCs w:val="22"/>
        </w:rPr>
        <w:t>La société </w:t>
      </w:r>
      <w:r>
        <w:rPr>
          <w:rFonts w:cs="Times New Roman" w:eastAsia="Times New Roman"/>
          <w:color w:val="auto"/>
          <w:sz w:val="22"/>
          <w:szCs w:val="22"/>
          <w:lang w:bidi="ar-SA" w:val="fr-FR"/>
        </w:rPr>
        <w:t>WEPA GREENFIELD</w:t>
      </w:r>
      <w:r>
        <w:rPr>
          <w:sz w:val="22"/>
          <w:szCs w:val="22"/>
        </w:rPr>
        <w:t xml:space="preserve"> représentée par ……………………. agissant en qualité de Directeur d’Usine,</w:t>
      </w:r>
    </w:p>
    <w:p>
      <w:pPr>
        <w:pStyle w:val="Normal"/>
        <w:jc w:val="both"/>
        <w:rPr>
          <w:sz w:val="22"/>
          <w:szCs w:val="22"/>
        </w:rPr>
      </w:pPr>
      <w:r>
        <w:rPr>
          <w:sz w:val="22"/>
          <w:szCs w:val="22"/>
        </w:rPr>
      </w:r>
    </w:p>
    <w:p>
      <w:pPr>
        <w:pStyle w:val="Normal"/>
        <w:jc w:val="both"/>
        <w:rPr>
          <w:sz w:val="22"/>
          <w:szCs w:val="22"/>
        </w:rPr>
      </w:pPr>
      <w:r>
        <w:rPr>
          <w:sz w:val="22"/>
          <w:szCs w:val="22"/>
        </w:rPr>
        <w:t>Et, d’autre part :</w:t>
      </w:r>
    </w:p>
    <w:p>
      <w:pPr>
        <w:pStyle w:val="Normal"/>
        <w:jc w:val="both"/>
        <w:rPr>
          <w:sz w:val="22"/>
          <w:szCs w:val="22"/>
        </w:rPr>
      </w:pPr>
      <w:r>
        <w:rPr>
          <w:sz w:val="22"/>
          <w:szCs w:val="22"/>
        </w:rPr>
      </w:r>
    </w:p>
    <w:p>
      <w:pPr>
        <w:pStyle w:val="Normal"/>
        <w:numPr>
          <w:ilvl w:val="0"/>
          <w:numId w:val="2"/>
        </w:numPr>
        <w:jc w:val="both"/>
        <w:rPr>
          <w:sz w:val="22"/>
          <w:szCs w:val="22"/>
        </w:rPr>
      </w:pPr>
      <w:r>
        <w:rPr>
          <w:sz w:val="22"/>
          <w:szCs w:val="22"/>
        </w:rPr>
        <w:t>Le Comité Social et Économique, représenté par ………………, Secrétaire.</w:t>
      </w:r>
    </w:p>
    <w:p>
      <w:pPr>
        <w:pStyle w:val="Normal"/>
        <w:ind w:hanging="0" w:right="-568"/>
        <w:jc w:val="both"/>
        <w:rPr>
          <w:sz w:val="22"/>
          <w:szCs w:val="22"/>
        </w:rPr>
      </w:pPr>
      <w:r>
        <w:rPr>
          <w:sz w:val="22"/>
          <w:szCs w:val="22"/>
        </w:rPr>
      </w:r>
    </w:p>
    <w:p>
      <w:pPr>
        <w:pStyle w:val="Normal"/>
        <w:ind w:hanging="0" w:right="-568"/>
        <w:jc w:val="both"/>
        <w:rPr>
          <w:sz w:val="22"/>
          <w:szCs w:val="22"/>
        </w:rPr>
      </w:pPr>
      <w:r>
        <w:rPr>
          <w:sz w:val="22"/>
          <w:szCs w:val="22"/>
        </w:rPr>
      </w:r>
    </w:p>
    <w:p>
      <w:pPr>
        <w:pStyle w:val="Normal"/>
        <w:rPr>
          <w:b/>
          <w:b/>
          <w:iCs/>
          <w:sz w:val="22"/>
          <w:szCs w:val="22"/>
          <w:u w:val="single"/>
        </w:rPr>
      </w:pPr>
      <w:r>
        <w:rPr>
          <w:b/>
          <w:iCs/>
          <w:sz w:val="22"/>
          <w:szCs w:val="22"/>
          <w:u w:val="single"/>
        </w:rPr>
        <w:t>PRÉAMBULE :</w:t>
      </w:r>
    </w:p>
    <w:p>
      <w:pPr>
        <w:pStyle w:val="Normal"/>
        <w:rPr>
          <w:b/>
          <w:b/>
          <w:iCs/>
          <w:sz w:val="22"/>
          <w:szCs w:val="22"/>
          <w:u w:val="single"/>
        </w:rPr>
      </w:pPr>
      <w:r>
        <w:rPr>
          <w:b/>
          <w:iCs/>
          <w:sz w:val="22"/>
          <w:szCs w:val="22"/>
          <w:u w:val="single"/>
        </w:rPr>
      </w:r>
    </w:p>
    <w:p>
      <w:pPr>
        <w:pStyle w:val="Normal"/>
        <w:jc w:val="both"/>
        <w:rPr>
          <w:sz w:val="22"/>
          <w:szCs w:val="22"/>
        </w:rPr>
      </w:pPr>
      <w:r>
        <w:rPr>
          <w:sz w:val="22"/>
          <w:szCs w:val="22"/>
        </w:rPr>
        <w:t>Le présent accord résulte d’une réelle volonté de négociation qui reflète bien le contexte dans lequel se sont déroulées les discussions préparatoires. Dans un contexte économique concurrentiel et contraignant, les avancées sociales n’en ont que plus de valeur et les parties prenantes à la négociation s’engagent à travailler ensemble pour faire progresser l’entreprise et, par voie de conséquence, les salariés.</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b/>
          <w:b/>
          <w:sz w:val="22"/>
          <w:szCs w:val="22"/>
          <w:u w:val="single"/>
        </w:rPr>
      </w:pPr>
      <w:r>
        <w:rPr>
          <w:b/>
          <w:sz w:val="22"/>
          <w:szCs w:val="22"/>
          <w:u w:val="single"/>
        </w:rPr>
        <w:t>Article 1 – Champ d’application</w:t>
      </w:r>
    </w:p>
    <w:p>
      <w:pPr>
        <w:pStyle w:val="Normal"/>
        <w:jc w:val="both"/>
        <w:rPr>
          <w:b/>
          <w:b/>
          <w:sz w:val="22"/>
          <w:szCs w:val="22"/>
          <w:u w:val="single"/>
        </w:rPr>
      </w:pPr>
      <w:r>
        <w:rPr>
          <w:b/>
          <w:sz w:val="22"/>
          <w:szCs w:val="22"/>
          <w:u w:val="single"/>
        </w:rPr>
      </w:r>
    </w:p>
    <w:p>
      <w:pPr>
        <w:pStyle w:val="Normal"/>
        <w:jc w:val="both"/>
        <w:rPr/>
      </w:pPr>
      <w:r>
        <w:rPr>
          <w:sz w:val="22"/>
          <w:szCs w:val="22"/>
        </w:rPr>
        <w:t xml:space="preserve">Le présent accord est applicable à tout le personnel </w:t>
      </w:r>
    </w:p>
    <w:p>
      <w:pPr>
        <w:pStyle w:val="Normal"/>
        <w:jc w:val="both"/>
        <w:rPr>
          <w:sz w:val="22"/>
          <w:szCs w:val="22"/>
        </w:rPr>
      </w:pPr>
      <w:r>
        <w:rPr>
          <w:sz w:val="22"/>
          <w:szCs w:val="22"/>
        </w:rPr>
      </w:r>
    </w:p>
    <w:p>
      <w:pPr>
        <w:pStyle w:val="Normal"/>
        <w:ind w:hanging="0" w:left="708"/>
        <w:jc w:val="both"/>
        <w:rPr>
          <w:sz w:val="22"/>
          <w:szCs w:val="22"/>
        </w:rPr>
      </w:pPr>
      <w:r>
        <w:rPr>
          <w:sz w:val="22"/>
          <w:szCs w:val="22"/>
        </w:rPr>
      </w:r>
    </w:p>
    <w:p>
      <w:pPr>
        <w:pStyle w:val="Normal"/>
        <w:jc w:val="both"/>
        <w:rPr>
          <w:b/>
          <w:b/>
          <w:sz w:val="22"/>
          <w:szCs w:val="22"/>
          <w:u w:val="single"/>
        </w:rPr>
      </w:pPr>
      <w:r>
        <w:rPr>
          <w:b/>
          <w:sz w:val="22"/>
          <w:szCs w:val="22"/>
          <w:u w:val="single"/>
        </w:rPr>
        <w:t>Article 2 – Revalorisation des salaires pour le personnel.</w:t>
      </w:r>
    </w:p>
    <w:p>
      <w:pPr>
        <w:pStyle w:val="Normal"/>
        <w:jc w:val="both"/>
        <w:rPr>
          <w:b/>
          <w:b/>
          <w:sz w:val="22"/>
          <w:szCs w:val="22"/>
          <w:u w:val="single"/>
        </w:rPr>
      </w:pPr>
      <w:r>
        <w:rPr>
          <w:b/>
          <w:sz w:val="22"/>
          <w:szCs w:val="22"/>
          <w:u w:val="single"/>
        </w:rPr>
      </w:r>
    </w:p>
    <w:p>
      <w:pPr>
        <w:pStyle w:val="Normal"/>
        <w:jc w:val="both"/>
        <w:rPr>
          <w:sz w:val="22"/>
          <w:szCs w:val="22"/>
        </w:rPr>
      </w:pPr>
      <w:r>
        <w:rPr>
          <w:sz w:val="22"/>
          <w:szCs w:val="22"/>
        </w:rPr>
        <w:t>Il a été décidé d’accorder aux salariés :</w:t>
      </w:r>
    </w:p>
    <w:p>
      <w:pPr>
        <w:pStyle w:val="Normal"/>
        <w:jc w:val="both"/>
        <w:rPr>
          <w:sz w:val="22"/>
          <w:szCs w:val="22"/>
        </w:rPr>
      </w:pPr>
      <w:r>
        <w:rPr>
          <w:sz w:val="22"/>
          <w:szCs w:val="22"/>
        </w:rPr>
      </w:r>
    </w:p>
    <w:p>
      <w:pPr>
        <w:pStyle w:val="Normal"/>
        <w:numPr>
          <w:ilvl w:val="0"/>
          <w:numId w:val="3"/>
        </w:numPr>
        <w:spacing w:after="120" w:before="0"/>
        <w:ind w:hanging="357" w:left="714"/>
        <w:jc w:val="both"/>
        <w:rPr>
          <w:sz w:val="22"/>
          <w:szCs w:val="22"/>
        </w:rPr>
      </w:pPr>
      <w:r>
        <w:rPr>
          <w:sz w:val="22"/>
          <w:szCs w:val="22"/>
        </w:rPr>
        <w:t>Une augmentation générale de 5.2 %</w:t>
      </w:r>
    </w:p>
    <w:p>
      <w:pPr>
        <w:pStyle w:val="Normal"/>
        <w:numPr>
          <w:ilvl w:val="0"/>
          <w:numId w:val="3"/>
        </w:numPr>
        <w:jc w:val="both"/>
        <w:rPr/>
      </w:pPr>
      <w:r>
        <w:rPr>
          <w:sz w:val="22"/>
          <w:szCs w:val="22"/>
        </w:rPr>
        <w:t>Une enveloppe supplémentaire de 0.5 % pour des augmentations individuelles, réparties équitablement au sein des services. Ces augmentations individuelles doivent continuer à s’inscrire dans le long terme.</w:t>
      </w:r>
    </w:p>
    <w:p>
      <w:pPr>
        <w:pStyle w:val="Normal"/>
        <w:ind w:hanging="0" w:left="720"/>
        <w:jc w:val="both"/>
        <w:rPr>
          <w:sz w:val="22"/>
          <w:szCs w:val="22"/>
        </w:rPr>
      </w:pPr>
      <w:r>
        <w:rPr>
          <w:sz w:val="22"/>
          <w:szCs w:val="22"/>
        </w:rPr>
      </w:r>
    </w:p>
    <w:p>
      <w:pPr>
        <w:pStyle w:val="Normal"/>
        <w:jc w:val="both"/>
        <w:rPr>
          <w:sz w:val="22"/>
          <w:szCs w:val="22"/>
        </w:rPr>
      </w:pPr>
      <w:r>
        <w:rPr>
          <w:sz w:val="22"/>
          <w:szCs w:val="22"/>
        </w:rPr>
        <w:t>Ces revalorisations de salaires prendront effet au 1</w:t>
      </w:r>
      <w:r>
        <w:rPr>
          <w:sz w:val="22"/>
          <w:szCs w:val="22"/>
          <w:vertAlign w:val="superscript"/>
        </w:rPr>
        <w:t>er</w:t>
      </w:r>
      <w:r>
        <w:rPr>
          <w:sz w:val="22"/>
          <w:szCs w:val="22"/>
        </w:rPr>
        <w:t xml:space="preserve"> janvier 2023.</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b/>
          <w:b/>
          <w:sz w:val="22"/>
          <w:szCs w:val="22"/>
          <w:u w:val="single"/>
        </w:rPr>
      </w:pPr>
      <w:r>
        <w:rPr>
          <w:b/>
          <w:sz w:val="22"/>
          <w:szCs w:val="22"/>
          <w:u w:val="single"/>
        </w:rPr>
        <w:t xml:space="preserve">Article 3 – Prise en charge supplémentaire de 10 € pour la mutuelle : </w:t>
      </w:r>
    </w:p>
    <w:p>
      <w:pPr>
        <w:pStyle w:val="Normal"/>
        <w:jc w:val="both"/>
        <w:rPr>
          <w:b/>
          <w:b/>
          <w:sz w:val="22"/>
          <w:szCs w:val="22"/>
          <w:u w:val="single"/>
        </w:rPr>
      </w:pPr>
      <w:r>
        <w:rPr>
          <w:b/>
          <w:sz w:val="22"/>
          <w:szCs w:val="22"/>
          <w:u w:val="single"/>
        </w:rPr>
      </w:r>
    </w:p>
    <w:p>
      <w:pPr>
        <w:pStyle w:val="Normal"/>
        <w:jc w:val="both"/>
        <w:rPr>
          <w:sz w:val="22"/>
          <w:szCs w:val="22"/>
        </w:rPr>
      </w:pPr>
      <w:r>
        <w:rPr>
          <w:sz w:val="22"/>
          <w:szCs w:val="22"/>
        </w:rPr>
        <w:t xml:space="preserve">La mutuelle ayant augmenté de 10.71 € en cotisation famille et 6.46 € en cotisation isolée, la direction a décidé de prendre en charge 10 € supplémentaires. </w:t>
      </w:r>
    </w:p>
    <w:p>
      <w:pPr>
        <w:pStyle w:val="Normal"/>
        <w:jc w:val="both"/>
        <w:rPr>
          <w:sz w:val="22"/>
          <w:szCs w:val="22"/>
        </w:rPr>
      </w:pPr>
      <w:r>
        <w:rPr>
          <w:sz w:val="22"/>
          <w:szCs w:val="22"/>
        </w:rPr>
      </w:r>
    </w:p>
    <w:p>
      <w:pPr>
        <w:pStyle w:val="Normal"/>
        <w:jc w:val="both"/>
        <w:rPr>
          <w:sz w:val="22"/>
          <w:szCs w:val="22"/>
        </w:rPr>
      </w:pPr>
      <w:r>
        <w:rPr>
          <w:sz w:val="22"/>
          <w:szCs w:val="22"/>
        </w:rPr>
        <w:t>La part patronale de cotisation mutuelle passe ainsi à 99.32 € par mois et par salarié. Cette modification prendra effet au 1</w:t>
      </w:r>
      <w:r>
        <w:rPr>
          <w:sz w:val="22"/>
          <w:szCs w:val="22"/>
          <w:vertAlign w:val="superscript"/>
        </w:rPr>
        <w:t>er</w:t>
      </w:r>
      <w:r>
        <w:rPr>
          <w:sz w:val="22"/>
          <w:szCs w:val="22"/>
        </w:rPr>
        <w:t xml:space="preserve"> janvier 2023.</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b/>
          <w:b/>
          <w:sz w:val="22"/>
          <w:szCs w:val="22"/>
          <w:u w:val="single"/>
        </w:rPr>
      </w:pPr>
      <w:r>
        <w:rPr>
          <w:b/>
          <w:sz w:val="22"/>
          <w:szCs w:val="22"/>
          <w:u w:val="single"/>
        </w:rPr>
      </w:r>
    </w:p>
    <w:p>
      <w:pPr>
        <w:pStyle w:val="Normal"/>
        <w:jc w:val="both"/>
        <w:rPr>
          <w:b/>
          <w:b/>
          <w:sz w:val="22"/>
          <w:szCs w:val="22"/>
          <w:u w:val="single"/>
        </w:rPr>
      </w:pPr>
      <w:r>
        <w:rPr>
          <w:b/>
          <w:sz w:val="22"/>
          <w:szCs w:val="22"/>
          <w:u w:val="single"/>
        </w:rPr>
        <w:t xml:space="preserve">Article 4 – Prime transport : </w:t>
      </w:r>
    </w:p>
    <w:p>
      <w:pPr>
        <w:pStyle w:val="Normal"/>
        <w:jc w:val="both"/>
        <w:rPr>
          <w:b/>
          <w:b/>
          <w:sz w:val="22"/>
          <w:szCs w:val="22"/>
          <w:u w:val="single"/>
        </w:rPr>
      </w:pPr>
      <w:r>
        <w:rPr>
          <w:b/>
          <w:sz w:val="22"/>
          <w:szCs w:val="22"/>
          <w:u w:val="single"/>
        </w:rPr>
      </w:r>
    </w:p>
    <w:p>
      <w:pPr>
        <w:pStyle w:val="Normal"/>
        <w:jc w:val="both"/>
        <w:rPr>
          <w:sz w:val="22"/>
          <w:szCs w:val="22"/>
        </w:rPr>
      </w:pPr>
      <w:r>
        <w:rPr>
          <w:sz w:val="22"/>
          <w:szCs w:val="22"/>
        </w:rPr>
        <w:t>Il a été décidé d’accorder une prime transport annuelle de 200 € à tous les salariés.</w:t>
      </w:r>
    </w:p>
    <w:p>
      <w:pPr>
        <w:pStyle w:val="Normal"/>
        <w:jc w:val="both"/>
        <w:rPr>
          <w:sz w:val="22"/>
          <w:szCs w:val="22"/>
        </w:rPr>
      </w:pPr>
      <w:r>
        <w:rPr>
          <w:sz w:val="22"/>
          <w:szCs w:val="22"/>
        </w:rPr>
      </w:r>
    </w:p>
    <w:p>
      <w:pPr>
        <w:pStyle w:val="Normal"/>
        <w:jc w:val="both"/>
        <w:rPr>
          <w:sz w:val="22"/>
          <w:szCs w:val="22"/>
        </w:rPr>
      </w:pPr>
      <w:r>
        <w:rPr>
          <w:sz w:val="22"/>
          <w:szCs w:val="22"/>
        </w:rPr>
        <w:t xml:space="preserve">Les modalités de cette prime (périodicité de versement, proratisation en fonction des absences et entrées/sorties) seront discutées courant janvier. Cette prime aura vocation à perdurer tant que le dispositif de l’URSSAF en place actuellement le permettra. </w:t>
      </w:r>
    </w:p>
    <w:p>
      <w:pPr>
        <w:pStyle w:val="Normal"/>
        <w:jc w:val="both"/>
        <w:rPr>
          <w:sz w:val="22"/>
          <w:szCs w:val="22"/>
        </w:rPr>
      </w:pPr>
      <w:r>
        <w:rPr>
          <w:sz w:val="22"/>
          <w:szCs w:val="22"/>
        </w:rPr>
      </w:r>
    </w:p>
    <w:p>
      <w:pPr>
        <w:pStyle w:val="Normal"/>
        <w:jc w:val="both"/>
        <w:rPr>
          <w:sz w:val="22"/>
          <w:szCs w:val="22"/>
        </w:rPr>
      </w:pPr>
      <w:r>
        <w:rPr>
          <w:sz w:val="22"/>
          <w:szCs w:val="22"/>
        </w:rPr>
        <w:t>Une DUE sera rédigée à cet effet.</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pPr>
      <w:r>
        <w:rPr>
          <w:b/>
          <w:sz w:val="22"/>
          <w:szCs w:val="22"/>
          <w:u w:val="single"/>
        </w:rPr>
        <w:t>Article 5 – Dénonciation de l’accord</w:t>
      </w:r>
    </w:p>
    <w:p>
      <w:pPr>
        <w:pStyle w:val="Normal"/>
        <w:jc w:val="both"/>
        <w:rPr>
          <w:b/>
          <w:b/>
          <w:sz w:val="22"/>
          <w:szCs w:val="22"/>
          <w:u w:val="single"/>
        </w:rPr>
      </w:pPr>
      <w:r>
        <w:rPr>
          <w:b/>
          <w:sz w:val="22"/>
          <w:szCs w:val="22"/>
          <w:u w:val="single"/>
        </w:rPr>
      </w:r>
    </w:p>
    <w:p>
      <w:pPr>
        <w:pStyle w:val="Normal"/>
        <w:jc w:val="both"/>
        <w:rPr>
          <w:sz w:val="22"/>
          <w:szCs w:val="22"/>
        </w:rPr>
      </w:pPr>
      <w:r>
        <w:rPr>
          <w:sz w:val="22"/>
          <w:szCs w:val="22"/>
        </w:rPr>
        <w:t>Le présent accord pourra être dénoncé ou révisé, à la demande de l’un des signataires, à condition que celle-ci soit formulée par écrit, dûment motivée et sous respect d’un préavis de deux mois. Si l’accord est dénoncé, il continuera à produire effet jusqu’à l’entrée en vigueur de l’accord destiné à le remplacer ou, à défaut de nouvel accord, pendant la durée prévue par la Convention Collective Nationale applicable et par défaut au Code du Travail.</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b/>
          <w:b/>
          <w:sz w:val="22"/>
          <w:szCs w:val="22"/>
          <w:u w:val="single"/>
        </w:rPr>
      </w:pPr>
      <w:r>
        <w:rPr>
          <w:b/>
          <w:sz w:val="22"/>
          <w:szCs w:val="22"/>
          <w:u w:val="single"/>
        </w:rPr>
        <w:t>Article 6 – Règlement des litiges</w:t>
      </w:r>
    </w:p>
    <w:p>
      <w:pPr>
        <w:pStyle w:val="Normal"/>
        <w:jc w:val="both"/>
        <w:rPr>
          <w:b/>
          <w:b/>
          <w:sz w:val="22"/>
          <w:szCs w:val="22"/>
          <w:u w:val="single"/>
        </w:rPr>
      </w:pPr>
      <w:r>
        <w:rPr>
          <w:b/>
          <w:sz w:val="22"/>
          <w:szCs w:val="22"/>
          <w:u w:val="single"/>
        </w:rPr>
      </w:r>
    </w:p>
    <w:p>
      <w:pPr>
        <w:pStyle w:val="Normal"/>
        <w:jc w:val="both"/>
        <w:rPr/>
      </w:pPr>
      <w:r>
        <w:rPr>
          <w:sz w:val="22"/>
          <w:szCs w:val="22"/>
        </w:rPr>
        <w:t>Les litiges pouvant survenir à l’occasion de l’application du présent accord se règleront si possible à l’amiable. A défaut, les parties concernées pourront saisir l’autorité compétente.</w:t>
      </w:r>
    </w:p>
    <w:p>
      <w:pPr>
        <w:pStyle w:val="Normal"/>
        <w:jc w:val="both"/>
        <w:rPr>
          <w:b/>
          <w:b/>
          <w:sz w:val="22"/>
          <w:szCs w:val="22"/>
        </w:rPr>
      </w:pPr>
      <w:r>
        <w:rPr>
          <w:b/>
          <w:sz w:val="22"/>
          <w:szCs w:val="22"/>
        </w:rPr>
      </w:r>
    </w:p>
    <w:p>
      <w:pPr>
        <w:pStyle w:val="Normal"/>
        <w:jc w:val="both"/>
        <w:rPr>
          <w:b/>
          <w:b/>
          <w:sz w:val="22"/>
          <w:szCs w:val="22"/>
        </w:rPr>
      </w:pPr>
      <w:r>
        <w:rPr>
          <w:b/>
          <w:sz w:val="22"/>
          <w:szCs w:val="22"/>
        </w:rPr>
      </w:r>
    </w:p>
    <w:p>
      <w:pPr>
        <w:pStyle w:val="Normal"/>
        <w:jc w:val="both"/>
        <w:rPr/>
      </w:pPr>
      <w:r>
        <w:rPr>
          <w:b/>
          <w:sz w:val="22"/>
          <w:szCs w:val="22"/>
          <w:u w:val="single"/>
        </w:rPr>
        <w:t>Article 7 – Information des salariés</w:t>
      </w:r>
    </w:p>
    <w:p>
      <w:pPr>
        <w:pStyle w:val="Normal"/>
        <w:jc w:val="both"/>
        <w:rPr>
          <w:b/>
          <w:b/>
          <w:sz w:val="22"/>
          <w:szCs w:val="22"/>
          <w:u w:val="single"/>
        </w:rPr>
      </w:pPr>
      <w:r>
        <w:rPr>
          <w:b/>
          <w:sz w:val="22"/>
          <w:szCs w:val="22"/>
          <w:u w:val="single"/>
        </w:rPr>
      </w:r>
    </w:p>
    <w:p>
      <w:pPr>
        <w:pStyle w:val="Normal"/>
        <w:jc w:val="both"/>
        <w:rPr>
          <w:sz w:val="22"/>
          <w:szCs w:val="22"/>
        </w:rPr>
      </w:pPr>
      <w:r>
        <w:rPr>
          <w:sz w:val="22"/>
          <w:szCs w:val="22"/>
        </w:rPr>
        <w:t>Le texte de l’accord fera l’objet d’un affichage sur les panneaux prévus à cet effet.</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b/>
          <w:b/>
          <w:sz w:val="22"/>
          <w:szCs w:val="22"/>
          <w:u w:val="single"/>
        </w:rPr>
      </w:pPr>
      <w:r>
        <w:rPr>
          <w:b/>
          <w:sz w:val="22"/>
          <w:szCs w:val="22"/>
          <w:u w:val="single"/>
        </w:rPr>
        <w:t>Article 8 – Publicité</w:t>
      </w:r>
    </w:p>
    <w:p>
      <w:pPr>
        <w:pStyle w:val="Normal"/>
        <w:jc w:val="both"/>
        <w:rPr>
          <w:b/>
          <w:b/>
          <w:sz w:val="22"/>
          <w:szCs w:val="22"/>
          <w:u w:val="single"/>
        </w:rPr>
      </w:pPr>
      <w:r>
        <w:rPr>
          <w:b/>
          <w:sz w:val="22"/>
          <w:szCs w:val="22"/>
          <w:u w:val="single"/>
        </w:rPr>
      </w:r>
    </w:p>
    <w:p>
      <w:pPr>
        <w:pStyle w:val="Normal"/>
        <w:jc w:val="both"/>
        <w:rPr>
          <w:sz w:val="22"/>
          <w:szCs w:val="22"/>
        </w:rPr>
      </w:pPr>
      <w:r>
        <w:rPr>
          <w:sz w:val="22"/>
          <w:szCs w:val="22"/>
        </w:rPr>
        <w:t xml:space="preserve">Le présent accord sera déposé, à la diligence de l’Entreprise, auprès de la DREETS, sur la plateforme de téléprocédure du ministère du travail.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Fait à Château-Thierry, le 23 janvier 2023 en autant d’exemplaires originaux que nécessaires</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w:t>
      </w:r>
      <w:r>
        <w:rPr>
          <w:sz w:val="22"/>
          <w:szCs w:val="22"/>
        </w:rPr>
        <w:t>..</w:t>
        <w:tab/>
        <w:tab/>
        <w:tab/>
        <w:tab/>
        <w:tab/>
        <w:tab/>
        <w:t>………………………</w:t>
      </w:r>
    </w:p>
    <w:p>
      <w:pPr>
        <w:pStyle w:val="Normal"/>
        <w:jc w:val="both"/>
        <w:rPr>
          <w:sz w:val="22"/>
          <w:szCs w:val="22"/>
        </w:rPr>
      </w:pPr>
      <w:r>
        <w:rPr>
          <w:sz w:val="22"/>
          <w:szCs w:val="22"/>
        </w:rPr>
        <w:t>Directeur d’Usine</w:t>
        <w:tab/>
        <w:tab/>
        <w:tab/>
        <w:tab/>
        <w:tab/>
        <w:tab/>
        <w:t xml:space="preserve">Secrétaire du CSE </w:t>
      </w:r>
    </w:p>
    <w:sectPr>
      <w:headerReference r:id="rId2" w:type="default"/>
      <w:footerReference r:id="rId3" w:type="default"/>
      <w:type w:val="nextPage"/>
      <w:pgSz w:h="16838" w:w="11906"/>
      <w:pgMar w:bottom="765" w:footer="709" w:gutter="0" w:header="709" w:left="1418" w:right="1418" w:top="1701"/>
      <w:pgNumType w:fmt="decimal"/>
      <w:formProt w:val="false"/>
      <w:textDirection w:val="lrTb"/>
      <w:docGrid w:charSpace="0"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kzidenzGroteskBE">
    <w:altName w:val="Courier New"/>
    <w:charset w:val="00"/>
    <w:family w:val="auto"/>
    <w:pitch w:val="variable"/>
  </w:font>
  <w:font w:name="Wingdings">
    <w:charset w:val="02"/>
    <w:family w:val="auto"/>
    <w:pitch w:val="variable"/>
  </w:font>
  <w:font w:name="Courier New">
    <w:charset w:val="00"/>
    <w:family w:val="modern"/>
    <w:pitch w:val="default"/>
  </w:font>
  <w:font w:name="Liberation Sans">
    <w:altName w:val="Arial"/>
    <w:charset w:val="00"/>
    <w:family w:val="swiss"/>
    <w:pitch w:val="variable"/>
  </w:font>
  <w:font w:name="Tahoma">
    <w:charset w:val="00"/>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pBdr>
        <w:top w:color="000000" w:space="0" w:sz="4" w:val="single"/>
      </w:pBdr>
      <w:tabs>
        <w:tab w:pos="708" w:val="clear"/>
        <w:tab w:leader="none" w:pos="4536" w:val="center"/>
        <w:tab w:leader="none" w:pos="9072" w:val="right"/>
      </w:tabs>
      <w:jc w:val="center"/>
      <w:rPr/>
    </w:pPr>
    <w:r>
      <w:rPr>
        <w:i/>
        <w:sz w:val="16"/>
        <w:szCs w:val="16"/>
      </w:rPr>
      <w:t>WEPA GREENFIELD – SAS au capital de 2.000.000 €</w:t>
    </w:r>
  </w:p>
  <w:p>
    <w:pPr>
      <w:pStyle w:val="Normal"/>
      <w:pBdr>
        <w:top w:color="000000" w:space="0" w:sz="4" w:val="single"/>
      </w:pBdr>
      <w:tabs>
        <w:tab w:pos="708" w:val="clear"/>
        <w:tab w:leader="none" w:pos="4536" w:val="center"/>
        <w:tab w:leader="none" w:pos="9072" w:val="right"/>
      </w:tabs>
      <w:jc w:val="center"/>
      <w:rPr>
        <w:i/>
        <w:i/>
        <w:sz w:val="16"/>
        <w:szCs w:val="16"/>
      </w:rPr>
    </w:pPr>
    <w:r>
      <w:rPr>
        <w:i/>
        <w:sz w:val="16"/>
        <w:szCs w:val="16"/>
      </w:rPr>
      <w:t>RCS de Soissons – SIRET 850 258 583 000 10 – TVA : FR32 850 258 583</w:t>
    </w:r>
  </w:p>
  <w:p>
    <w:pPr>
      <w:pStyle w:val="Pieddepage"/>
      <w:jc w:val="center"/>
      <w:rPr>
        <w:i/>
        <w:i/>
        <w:sz w:val="16"/>
        <w:szCs w:val="16"/>
      </w:rPr>
    </w:pPr>
    <w:r>
      <w:rPr>
        <w:i/>
        <w:sz w:val="16"/>
        <w:szCs w:val="16"/>
      </w:rPr>
    </w:r>
  </w:p>
  <w:p>
    <w:pPr>
      <w:pStyle w:val="Pieddepage"/>
      <w:jc w:val="center"/>
      <w:rPr>
        <w:sz w:val="16"/>
        <w:szCs w:val="16"/>
      </w:rPr>
    </w:pPr>
    <w:r>
      <w:rPr>
        <w:sz w:val="16"/>
        <w:szCs w:val="16"/>
      </w:rPr>
    </w:r>
  </w:p>
  <w:p>
    <w:pPr>
      <w:pStyle w:val="Pieddepage"/>
      <w:jc w:val="center"/>
      <w:rPr/>
    </w:pPr>
    <w:r>
      <w:rPr>
        <w:sz w:val="16"/>
        <w:szCs w:val="16"/>
      </w:rPr>
      <w:t xml:space="preserve">Page </w:t>
    </w:r>
    <w:r>
      <w:rPr>
        <w:sz w:val="16"/>
        <w:szCs w:val="16"/>
      </w:rPr>
      <w:fldChar w:fldCharType="begin"/>
    </w:r>
    <w:r>
      <w:rPr>
        <w:sz w:val="16"/>
        <w:szCs w:val="16"/>
      </w:rPr>
      <w:instrText> PAGE </w:instrText>
    </w:r>
    <w:r>
      <w:rPr>
        <w:sz w:val="16"/>
        <w:szCs w:val="16"/>
      </w:rPr>
      <w:fldChar w:fldCharType="separate"/>
    </w:r>
    <w:r>
      <w:rPr>
        <w:sz w:val="16"/>
        <w:szCs w:val="16"/>
      </w:rPr>
      <w:t>2</w:t>
    </w:r>
    <w:r>
      <w:rPr>
        <w:sz w:val="16"/>
        <w:szCs w:val="16"/>
      </w:rPr>
      <w:fldChar w:fldCharType="end"/>
    </w:r>
    <w:r>
      <w:rPr>
        <w:sz w:val="16"/>
        <w:szCs w:val="16"/>
      </w:rPr>
      <w:t>/2</w:t>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tabs>
        <w:tab w:pos="708" w:val="clear"/>
        <w:tab w:leader="none" w:pos="567" w:val="left"/>
      </w:tabs>
      <w:rPr/>
    </w:pPr>
    <w:r>
      <w:rPr>
        <w:i/>
        <w:sz w:val="16"/>
        <w:szCs w:val="16"/>
      </w:rPr>
      <w:t>WEPA GREENFIELD</w:t>
    </w:r>
  </w:p>
  <w:p>
    <w:pPr>
      <w:pStyle w:val="Normal"/>
      <w:tabs>
        <w:tab w:pos="708" w:val="clear"/>
        <w:tab w:leader="none" w:pos="567" w:val="left"/>
        <w:tab w:leader="none" w:pos="709" w:val="right"/>
      </w:tabs>
      <w:rPr>
        <w:i/>
        <w:i/>
        <w:sz w:val="16"/>
        <w:szCs w:val="16"/>
      </w:rPr>
    </w:pPr>
    <w:r>
      <w:rPr>
        <w:i/>
        <w:sz w:val="16"/>
        <w:szCs w:val="16"/>
      </w:rPr>
      <w:t>ZI de la Grande Borne</w:t>
    </w:r>
  </w:p>
  <w:p>
    <w:pPr>
      <w:pStyle w:val="Normal"/>
      <w:tabs>
        <w:tab w:pos="708" w:val="clear"/>
        <w:tab w:leader="none" w:pos="567" w:val="left"/>
        <w:tab w:leader="none" w:pos="4536" w:val="center"/>
        <w:tab w:leader="none" w:pos="9072" w:val="right"/>
      </w:tabs>
      <w:rPr>
        <w:i/>
        <w:i/>
        <w:sz w:val="16"/>
        <w:szCs w:val="16"/>
      </w:rPr>
    </w:pPr>
    <w:r>
      <w:rPr>
        <w:i/>
        <w:sz w:val="16"/>
        <w:szCs w:val="16"/>
      </w:rPr>
      <w:t>02400 CHÂTEAU-THIERRY – France</w:t>
    </w:r>
  </w:p>
  <w:p>
    <w:pPr>
      <w:pStyle w:val="Normal"/>
      <w:tabs>
        <w:tab w:pos="708" w:val="clear"/>
        <w:tab w:leader="none" w:pos="567" w:val="left"/>
        <w:tab w:leader="none" w:pos="4536" w:val="center"/>
        <w:tab w:leader="none" w:pos="9072" w:val="right"/>
      </w:tabs>
      <w:rPr/>
    </w:pPr>
    <w:r>
      <w:rPr>
        <w:i/>
        <w:sz w:val="16"/>
        <w:szCs w:val="16"/>
      </w:rPr>
      <w:t>Téléphone : +33 (0)3 23 69 53 70 – Fax : +33 (0)3 23 69 53 71</w:t>
    </w:r>
  </w:p>
  <w:p>
    <w:pPr>
      <w:pStyle w:val="Entte"/>
      <w:rPr>
        <w:i/>
        <w:i/>
        <w:sz w:val="16"/>
        <w:szCs w:val="16"/>
      </w:rPr>
    </w:pPr>
    <w:r>
      <w:rPr>
        <w:i/>
        <w:sz w:val="16"/>
        <w:szCs w:val="16"/>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pStyle w:val="Titre4"/>
      <w:numFmt w:val="none"/>
      <w:suff w:val="nothing"/>
      <w:lvlText w:val=""/>
      <w:lvlJc w:val="left"/>
      <w:pPr>
        <w:tabs>
          <w:tab w:pos="0" w:val="num"/>
        </w:tabs>
        <w:ind w:hanging="0" w:left="0"/>
      </w:pPr>
    </w:lvl>
    <w:lvl w:ilvl="4">
      <w:start w:val="1"/>
      <w:pStyle w:val="Titre5"/>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2">
    <w:lvl w:ilvl="0">
      <w:start w:val="1"/>
      <w:numFmt w:val="bullet"/>
      <w:lvlText w:val=""/>
      <w:lvlJc w:val="left"/>
      <w:pPr>
        <w:tabs>
          <w:tab w:pos="0" w:val="num"/>
        </w:tabs>
        <w:ind w:hanging="360" w:left="720"/>
      </w:pPr>
      <w:rPr>
        <w:rFonts w:ascii="Symbol" w:cs="Symbol" w:hAnsi="Symbol" w:hint="default"/>
      </w:rPr>
    </w:lvl>
  </w:abstractNum>
  <w:abstractNum w:abstractNumId="3">
    <w:lvl w:ilvl="0">
      <w:start w:val="2"/>
      <w:numFmt w:val="bullet"/>
      <w:lvlText w:val="-"/>
      <w:lvlJc w:val="left"/>
      <w:pPr>
        <w:tabs>
          <w:tab w:pos="0" w:val="num"/>
        </w:tabs>
        <w:ind w:hanging="360" w:left="720"/>
      </w:pPr>
      <w:rPr>
        <w:rFonts w:ascii="Times New Roman" w:cs="Times New Roman" w:hAnsi="Times New Roman" w:hint="default"/>
        <w:sz w:val="22"/>
        <w:szCs w:val="22"/>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Arial" w:eastAsia="NSimSun" w:hAnsi="Liberation Serif"/>
        <w:sz w:val="24"/>
        <w:szCs w:val="24"/>
        <w:lang w:bidi="hi-IN" w:eastAsia="zh-CN" w:val="fr-FR"/>
      </w:rPr>
    </w:rPrDefault>
    <w:pPrDefault>
      <w:pPr>
        <w:suppressAutoHyphens w:val="true"/>
      </w:pPr>
    </w:pPrDefault>
  </w:docDefaults>
  <w:style w:styleId="Normal" w:type="paragraph">
    <w:name w:val="Normal"/>
    <w:qFormat/>
    <w:pPr>
      <w:widowControl/>
      <w:bidi w:val="0"/>
    </w:pPr>
    <w:rPr>
      <w:rFonts w:ascii="Times New Roman" w:cs="Times New Roman" w:eastAsia="Times New Roman" w:hAnsi="Times New Roman"/>
      <w:color w:val="auto"/>
      <w:sz w:val="20"/>
      <w:szCs w:val="20"/>
      <w:lang w:bidi="ar-SA" w:eastAsia="zh-CN" w:val="fr-FR"/>
    </w:rPr>
  </w:style>
  <w:style w:styleId="Titre4" w:type="paragraph">
    <w:name w:val="Heading 4"/>
    <w:basedOn w:val="Normal"/>
    <w:next w:val="Normal"/>
    <w:qFormat/>
    <w:pPr>
      <w:keepNext w:val="true"/>
      <w:numPr>
        <w:ilvl w:val="3"/>
        <w:numId w:val="1"/>
      </w:numPr>
      <w:tabs>
        <w:tab w:pos="708" w:val="clear"/>
        <w:tab w:leader="none" w:pos="3600" w:val="left"/>
      </w:tabs>
      <w:ind w:hanging="0" w:left="4536" w:right="-709"/>
      <w:outlineLvl w:val="3"/>
    </w:pPr>
    <w:rPr>
      <w:rFonts w:ascii="AkzidenzGroteskBE;Courier New" w:cs="AkzidenzGroteskBE;Courier New" w:hAnsi="AkzidenzGroteskBE;Courier New"/>
      <w:i/>
      <w:iCs/>
      <w:sz w:val="16"/>
      <w:szCs w:val="16"/>
    </w:rPr>
  </w:style>
  <w:style w:styleId="Titre5" w:type="paragraph">
    <w:name w:val="Heading 5"/>
    <w:basedOn w:val="Normal"/>
    <w:next w:val="Normal"/>
    <w:qFormat/>
    <w:pPr>
      <w:keepNext w:val="true"/>
      <w:numPr>
        <w:ilvl w:val="4"/>
        <w:numId w:val="1"/>
      </w:numPr>
      <w:tabs>
        <w:tab w:pos="708" w:val="clear"/>
        <w:tab w:leader="none" w:pos="3600" w:val="left"/>
      </w:tabs>
      <w:ind w:hanging="0" w:left="3544" w:right="-709"/>
      <w:outlineLvl w:val="4"/>
    </w:pPr>
    <w:rPr>
      <w:rFonts w:ascii="AkzidenzGroteskBE;Courier New" w:cs="AkzidenzGroteskBE;Courier New" w:hAnsi="AkzidenzGroteskBE;Courier New"/>
      <w:b/>
      <w:bCs/>
      <w:sz w:val="18"/>
      <w:szCs w:val="18"/>
    </w:rPr>
  </w:style>
  <w:style w:styleId="WW8Num1z0" w:type="character">
    <w:name w:val="WW8Num1z0"/>
    <w:qFormat/>
    <w:rPr/>
  </w:style>
  <w:style w:styleId="WW8Num2z0" w:type="character">
    <w:name w:val="WW8Num2z0"/>
    <w:qFormat/>
    <w:rPr>
      <w:rFonts w:ascii="Wingdings" w:cs="Wingdings" w:hAnsi="Wingdings"/>
    </w:rPr>
  </w:style>
  <w:style w:styleId="WW8Num2z1" w:type="character">
    <w:name w:val="WW8Num2z1"/>
    <w:qFormat/>
    <w:rPr>
      <w:rFonts w:ascii="Courier New" w:cs="Courier New" w:hAnsi="Courier New"/>
    </w:rPr>
  </w:style>
  <w:style w:styleId="WW8Num2z3" w:type="character">
    <w:name w:val="WW8Num2z3"/>
    <w:qFormat/>
    <w:rPr>
      <w:rFonts w:ascii="Symbol" w:cs="Symbol" w:hAnsi="Symbol"/>
    </w:rPr>
  </w:style>
  <w:style w:styleId="WW8Num3z0" w:type="character">
    <w:name w:val="WW8Num3z0"/>
    <w:qFormat/>
    <w:rPr>
      <w:rFonts w:ascii="Times New Roman" w:cs="Times New Roman" w:eastAsia="Times New Roman" w:hAnsi="Times New Roman"/>
    </w:rPr>
  </w:style>
  <w:style w:styleId="WW8Num3z1" w:type="character">
    <w:name w:val="WW8Num3z1"/>
    <w:qFormat/>
    <w:rPr>
      <w:rFonts w:ascii="Courier New" w:cs="Courier New" w:hAnsi="Courier New"/>
    </w:rPr>
  </w:style>
  <w:style w:styleId="WW8Num3z2" w:type="character">
    <w:name w:val="WW8Num3z2"/>
    <w:qFormat/>
    <w:rPr>
      <w:rFonts w:ascii="Wingdings" w:cs="Wingdings" w:hAnsi="Wingdings"/>
    </w:rPr>
  </w:style>
  <w:style w:styleId="WW8Num3z3" w:type="character">
    <w:name w:val="WW8Num3z3"/>
    <w:qFormat/>
    <w:rPr>
      <w:rFonts w:ascii="Symbol" w:cs="Symbol" w:hAnsi="Symbol"/>
    </w:rPr>
  </w:style>
  <w:style w:styleId="WW8Num4z0" w:type="character">
    <w:name w:val="WW8Num4z0"/>
    <w:qFormat/>
    <w:rPr>
      <w:rFonts w:ascii="Symbol" w:cs="Times New Roman" w:eastAsia="Times New Roman" w:hAnsi="Symbol"/>
    </w:rPr>
  </w:style>
  <w:style w:styleId="WW8Num4z1" w:type="character">
    <w:name w:val="WW8Num4z1"/>
    <w:qFormat/>
    <w:rPr>
      <w:rFonts w:ascii="Courier New" w:cs="Courier New" w:hAnsi="Courier New"/>
    </w:rPr>
  </w:style>
  <w:style w:styleId="WW8Num4z2" w:type="character">
    <w:name w:val="WW8Num4z2"/>
    <w:qFormat/>
    <w:rPr>
      <w:rFonts w:ascii="Wingdings" w:cs="Wingdings" w:hAnsi="Wingdings"/>
    </w:rPr>
  </w:style>
  <w:style w:styleId="WW8Num4z3" w:type="character">
    <w:name w:val="WW8Num4z3"/>
    <w:qFormat/>
    <w:rPr>
      <w:rFonts w:ascii="Symbol" w:cs="Symbol" w:hAnsi="Symbol"/>
    </w:rPr>
  </w:style>
  <w:style w:styleId="WW8Num5z0" w:type="character">
    <w:name w:val="WW8Num5z0"/>
    <w:qFormat/>
    <w:rPr>
      <w:rFonts w:ascii="Symbol" w:cs="Symbol" w:hAnsi="Symbol"/>
    </w:rPr>
  </w:style>
  <w:style w:styleId="WW8Num5z1" w:type="character">
    <w:name w:val="WW8Num5z1"/>
    <w:qFormat/>
    <w:rPr>
      <w:rFonts w:ascii="Courier New" w:cs="Courier New" w:hAnsi="Courier New"/>
    </w:rPr>
  </w:style>
  <w:style w:styleId="WW8Num5z2" w:type="character">
    <w:name w:val="WW8Num5z2"/>
    <w:qFormat/>
    <w:rPr>
      <w:rFonts w:ascii="Wingdings" w:cs="Wingdings" w:hAnsi="Wingdings"/>
    </w:rPr>
  </w:style>
  <w:style w:styleId="WW8Num6z0" w:type="character">
    <w:name w:val="WW8Num6z0"/>
    <w:qFormat/>
    <w:rPr>
      <w:rFonts w:ascii="Times New Roman" w:cs="Times New Roman" w:eastAsia="Times New Roman" w:hAnsi="Times New Roman"/>
    </w:rPr>
  </w:style>
  <w:style w:styleId="WW8Num6z1" w:type="character">
    <w:name w:val="WW8Num6z1"/>
    <w:qFormat/>
    <w:rPr>
      <w:rFonts w:ascii="Courier New" w:cs="Courier New" w:hAnsi="Courier New"/>
    </w:rPr>
  </w:style>
  <w:style w:styleId="WW8Num6z2" w:type="character">
    <w:name w:val="WW8Num6z2"/>
    <w:qFormat/>
    <w:rPr>
      <w:rFonts w:ascii="Wingdings" w:cs="Wingdings" w:hAnsi="Wingdings"/>
    </w:rPr>
  </w:style>
  <w:style w:styleId="WW8Num6z3" w:type="character">
    <w:name w:val="WW8Num6z3"/>
    <w:qFormat/>
    <w:rPr>
      <w:rFonts w:ascii="Symbol" w:cs="Symbol" w:hAnsi="Symbol"/>
    </w:rPr>
  </w:style>
  <w:style w:styleId="WW8Num7z0" w:type="character">
    <w:name w:val="WW8Num7z0"/>
    <w:qFormat/>
    <w:rPr>
      <w:rFonts w:ascii="Times New Roman" w:cs="Times New Roman" w:eastAsia="Times New Roman" w:hAnsi="Times New Roman"/>
    </w:rPr>
  </w:style>
  <w:style w:styleId="WW8Num7z1" w:type="character">
    <w:name w:val="WW8Num7z1"/>
    <w:qFormat/>
    <w:rPr>
      <w:rFonts w:ascii="Courier New" w:cs="Courier New" w:hAnsi="Courier New"/>
    </w:rPr>
  </w:style>
  <w:style w:styleId="WW8Num7z2" w:type="character">
    <w:name w:val="WW8Num7z2"/>
    <w:qFormat/>
    <w:rPr>
      <w:rFonts w:ascii="Wingdings" w:cs="Wingdings" w:hAnsi="Wingdings"/>
    </w:rPr>
  </w:style>
  <w:style w:styleId="WW8Num7z3" w:type="character">
    <w:name w:val="WW8Num7z3"/>
    <w:qFormat/>
    <w:rPr>
      <w:rFonts w:ascii="Symbol" w:cs="Symbol" w:hAnsi="Symbol"/>
    </w:rPr>
  </w:style>
  <w:style w:styleId="WW8Num8z0" w:type="character">
    <w:name w:val="WW8Num8z0"/>
    <w:qFormat/>
    <w:rPr>
      <w:rFonts w:ascii="Symbol" w:cs="Symbol" w:hAnsi="Symbol"/>
    </w:rPr>
  </w:style>
  <w:style w:styleId="WW8Num8z1" w:type="character">
    <w:name w:val="WW8Num8z1"/>
    <w:qFormat/>
    <w:rPr>
      <w:rFonts w:ascii="Courier New" w:cs="Courier New" w:hAnsi="Courier New"/>
    </w:rPr>
  </w:style>
  <w:style w:styleId="WW8Num8z2" w:type="character">
    <w:name w:val="WW8Num8z2"/>
    <w:qFormat/>
    <w:rPr>
      <w:rFonts w:ascii="Wingdings" w:cs="Wingdings" w:hAnsi="Wingdings"/>
    </w:rPr>
  </w:style>
  <w:style w:styleId="WW8Num9z0" w:type="character">
    <w:name w:val="WW8Num9z0"/>
    <w:qFormat/>
    <w:rPr>
      <w:rFonts w:ascii="Symbol" w:cs="Symbol" w:hAnsi="Symbol"/>
    </w:rPr>
  </w:style>
  <w:style w:styleId="WW8Num9z1" w:type="character">
    <w:name w:val="WW8Num9z1"/>
    <w:qFormat/>
    <w:rPr>
      <w:rFonts w:ascii="Courier New" w:cs="Courier New" w:hAnsi="Courier New"/>
    </w:rPr>
  </w:style>
  <w:style w:styleId="WW8Num9z2" w:type="character">
    <w:name w:val="WW8Num9z2"/>
    <w:qFormat/>
    <w:rPr>
      <w:rFonts w:ascii="Wingdings" w:cs="Wingdings" w:hAnsi="Wingdings"/>
    </w:rPr>
  </w:style>
  <w:style w:styleId="WW8Num10z0" w:type="character">
    <w:name w:val="WW8Num10z0"/>
    <w:qFormat/>
    <w:rPr>
      <w:rFonts w:ascii="Times New Roman" w:cs="Times New Roman" w:eastAsia="Times New Roman" w:hAnsi="Times New Roman"/>
    </w:rPr>
  </w:style>
  <w:style w:styleId="WW8Num10z1" w:type="character">
    <w:name w:val="WW8Num10z1"/>
    <w:qFormat/>
    <w:rPr>
      <w:rFonts w:ascii="Symbol" w:cs="Times New Roman" w:eastAsia="Times New Roman" w:hAnsi="Symbol"/>
    </w:rPr>
  </w:style>
  <w:style w:styleId="WW8Num10z2" w:type="character">
    <w:name w:val="WW8Num10z2"/>
    <w:qFormat/>
    <w:rPr>
      <w:rFonts w:ascii="Wingdings" w:cs="Wingdings" w:hAnsi="Wingdings"/>
    </w:rPr>
  </w:style>
  <w:style w:styleId="WW8Num10z3" w:type="character">
    <w:name w:val="WW8Num10z3"/>
    <w:qFormat/>
    <w:rPr>
      <w:rFonts w:ascii="Symbol" w:cs="Symbol" w:hAnsi="Symbol"/>
    </w:rPr>
  </w:style>
  <w:style w:styleId="WW8Num10z4" w:type="character">
    <w:name w:val="WW8Num10z4"/>
    <w:qFormat/>
    <w:rPr>
      <w:rFonts w:ascii="Courier New" w:cs="Courier New" w:hAnsi="Courier New"/>
    </w:rPr>
  </w:style>
  <w:style w:styleId="WW8Num11z0" w:type="character">
    <w:name w:val="WW8Num11z0"/>
    <w:qFormat/>
    <w:rPr>
      <w:rFonts w:ascii="Times New Roman" w:cs="Times New Roman" w:eastAsia="Times New Roman" w:hAnsi="Times New Roman"/>
    </w:rPr>
  </w:style>
  <w:style w:styleId="WW8Num11z1" w:type="character">
    <w:name w:val="WW8Num11z1"/>
    <w:qFormat/>
    <w:rPr>
      <w:rFonts w:ascii="Courier New" w:cs="Courier New" w:hAnsi="Courier New"/>
    </w:rPr>
  </w:style>
  <w:style w:styleId="WW8Num11z2" w:type="character">
    <w:name w:val="WW8Num11z2"/>
    <w:qFormat/>
    <w:rPr>
      <w:rFonts w:ascii="Wingdings" w:cs="Wingdings" w:hAnsi="Wingdings"/>
    </w:rPr>
  </w:style>
  <w:style w:styleId="WW8Num11z3" w:type="character">
    <w:name w:val="WW8Num11z3"/>
    <w:qFormat/>
    <w:rPr>
      <w:rFonts w:ascii="Symbol" w:cs="Symbol" w:hAnsi="Symbol"/>
    </w:rPr>
  </w:style>
  <w:style w:styleId="WW8Num12z0" w:type="character">
    <w:name w:val="WW8Num12z0"/>
    <w:qFormat/>
    <w:rPr>
      <w:rFonts w:ascii="Times New Roman" w:cs="Times New Roman" w:eastAsia="Times New Roman" w:hAnsi="Times New Roman"/>
      <w:sz w:val="22"/>
      <w:szCs w:val="22"/>
    </w:rPr>
  </w:style>
  <w:style w:styleId="WW8Num12z1" w:type="character">
    <w:name w:val="WW8Num12z1"/>
    <w:qFormat/>
    <w:rPr>
      <w:rFonts w:ascii="Courier New" w:cs="Courier New" w:hAnsi="Courier New"/>
    </w:rPr>
  </w:style>
  <w:style w:styleId="WW8Num12z2" w:type="character">
    <w:name w:val="WW8Num12z2"/>
    <w:qFormat/>
    <w:rPr>
      <w:rFonts w:ascii="Wingdings" w:cs="Wingdings" w:hAnsi="Wingdings"/>
    </w:rPr>
  </w:style>
  <w:style w:styleId="WW8Num12z3" w:type="character">
    <w:name w:val="WW8Num12z3"/>
    <w:qFormat/>
    <w:rPr>
      <w:rFonts w:ascii="Symbol" w:cs="Symbol" w:hAnsi="Symbol"/>
    </w:rPr>
  </w:style>
  <w:style w:styleId="WW8Num13z0" w:type="character">
    <w:name w:val="WW8Num13z0"/>
    <w:qFormat/>
    <w:rPr>
      <w:rFonts w:ascii="Times New Roman" w:cs="Times New Roman" w:eastAsia="Times New Roman" w:hAnsi="Times New Roman"/>
    </w:rPr>
  </w:style>
  <w:style w:styleId="WW8Num13z1" w:type="character">
    <w:name w:val="WW8Num13z1"/>
    <w:qFormat/>
    <w:rPr/>
  </w:style>
  <w:style w:styleId="WW8Num13z2" w:type="character">
    <w:name w:val="WW8Num13z2"/>
    <w:qFormat/>
    <w:rPr>
      <w:rFonts w:ascii="Wingdings" w:cs="Wingdings" w:hAnsi="Wingdings"/>
    </w:rPr>
  </w:style>
  <w:style w:styleId="WW8Num13z3" w:type="character">
    <w:name w:val="WW8Num13z3"/>
    <w:qFormat/>
    <w:rPr>
      <w:rFonts w:ascii="Symbol" w:cs="Symbol" w:hAnsi="Symbol"/>
    </w:rPr>
  </w:style>
  <w:style w:styleId="WW8Num13z4" w:type="character">
    <w:name w:val="WW8Num13z4"/>
    <w:qFormat/>
    <w:rPr>
      <w:rFonts w:ascii="Courier New" w:cs="Courier New" w:hAnsi="Courier New"/>
    </w:rPr>
  </w:style>
  <w:style w:styleId="WW8Num14z0" w:type="character">
    <w:name w:val="WW8Num14z0"/>
    <w:qFormat/>
    <w:rPr>
      <w:rFonts w:ascii="Wingdings" w:cs="Wingdings" w:hAnsi="Wingdings"/>
    </w:rPr>
  </w:style>
  <w:style w:styleId="WW8Num14z1" w:type="character">
    <w:name w:val="WW8Num14z1"/>
    <w:qFormat/>
    <w:rPr>
      <w:rFonts w:ascii="Courier New" w:cs="Courier New" w:hAnsi="Courier New"/>
    </w:rPr>
  </w:style>
  <w:style w:styleId="WW8Num14z3" w:type="character">
    <w:name w:val="WW8Num14z3"/>
    <w:qFormat/>
    <w:rPr>
      <w:rFonts w:ascii="Symbol" w:cs="Symbol" w:hAnsi="Symbol"/>
    </w:rPr>
  </w:style>
  <w:style w:styleId="WW8Num15z0" w:type="character">
    <w:name w:val="WW8Num15z0"/>
    <w:qFormat/>
    <w:rPr>
      <w:rFonts w:ascii="Courier New" w:cs="Courier New" w:hAnsi="Courier New"/>
    </w:rPr>
  </w:style>
  <w:style w:styleId="WW8Num15z2" w:type="character">
    <w:name w:val="WW8Num15z2"/>
    <w:qFormat/>
    <w:rPr>
      <w:rFonts w:ascii="Wingdings" w:cs="Wingdings" w:hAnsi="Wingdings"/>
    </w:rPr>
  </w:style>
  <w:style w:styleId="WW8Num15z3" w:type="character">
    <w:name w:val="WW8Num15z3"/>
    <w:qFormat/>
    <w:rPr>
      <w:rFonts w:ascii="Symbol" w:cs="Symbol" w:hAnsi="Symbol"/>
    </w:rPr>
  </w:style>
  <w:style w:styleId="WW8Num16z0" w:type="character">
    <w:name w:val="WW8Num16z0"/>
    <w:qFormat/>
    <w:rPr>
      <w:rFonts w:ascii="Times New Roman" w:cs="Times New Roman" w:eastAsia="Times New Roman" w:hAnsi="Times New Roman"/>
    </w:rPr>
  </w:style>
  <w:style w:styleId="WW8Num16z1" w:type="character">
    <w:name w:val="WW8Num16z1"/>
    <w:qFormat/>
    <w:rPr>
      <w:rFonts w:ascii="Courier New" w:cs="Courier New" w:hAnsi="Courier New"/>
    </w:rPr>
  </w:style>
  <w:style w:styleId="WW8Num16z2" w:type="character">
    <w:name w:val="WW8Num16z2"/>
    <w:qFormat/>
    <w:rPr>
      <w:rFonts w:ascii="Wingdings" w:cs="Wingdings" w:hAnsi="Wingdings"/>
    </w:rPr>
  </w:style>
  <w:style w:styleId="WW8Num16z3" w:type="character">
    <w:name w:val="WW8Num16z3"/>
    <w:qFormat/>
    <w:rPr>
      <w:rFonts w:ascii="Symbol" w:cs="Symbol" w:hAnsi="Symbol"/>
    </w:rPr>
  </w:style>
  <w:style w:styleId="WW8Num17z0" w:type="character">
    <w:name w:val="WW8Num17z0"/>
    <w:qFormat/>
    <w:rPr>
      <w:rFonts w:ascii="Wingdings" w:cs="Wingdings" w:hAnsi="Wingdings"/>
    </w:rPr>
  </w:style>
  <w:style w:styleId="WW8Num17z3" w:type="character">
    <w:name w:val="WW8Num17z3"/>
    <w:qFormat/>
    <w:rPr>
      <w:rFonts w:ascii="Symbol" w:cs="Symbol" w:hAnsi="Symbol"/>
    </w:rPr>
  </w:style>
  <w:style w:styleId="WW8Num17z4" w:type="character">
    <w:name w:val="WW8Num17z4"/>
    <w:qFormat/>
    <w:rPr>
      <w:rFonts w:ascii="Courier New" w:cs="Courier New" w:hAnsi="Courier New"/>
    </w:rPr>
  </w:style>
  <w:style w:styleId="WW8NumSt9z0" w:type="character">
    <w:name w:val="WW8NumSt9z0"/>
    <w:qFormat/>
    <w:rPr>
      <w:rFonts w:ascii="Wingdings" w:cs="Wingdings" w:hAnsi="Wingdings"/>
      <w:b w:val="false"/>
      <w:i w:val="false"/>
      <w:sz w:val="20"/>
      <w:u w:val="none"/>
    </w:rPr>
  </w:style>
  <w:style w:styleId="Policepardfaut" w:type="character">
    <w:name w:val="Police par défaut"/>
    <w:qFormat/>
    <w:rPr/>
  </w:style>
  <w:style w:styleId="EntteCar" w:type="character">
    <w:name w:val="En-tête Car"/>
    <w:basedOn w:val="Policepardfaut"/>
    <w:qFormat/>
    <w:rPr/>
  </w:style>
  <w:style w:styleId="PieddepageCar" w:type="character">
    <w:name w:val="Pied de page Car"/>
    <w:basedOn w:val="Policepardfaut"/>
    <w:qFormat/>
    <w:rPr/>
  </w:style>
  <w:style w:styleId="CorpsdetexteCar" w:type="character">
    <w:name w:val="Corps de texte Car"/>
    <w:qFormat/>
    <w:rPr>
      <w:lang w:val="fr-FR"/>
    </w:rPr>
  </w:style>
  <w:style w:styleId="Titre" w:type="paragraph">
    <w:name w:val="Titre"/>
    <w:basedOn w:val="Normal"/>
    <w:next w:val="Corpsdetexte"/>
    <w:qFormat/>
    <w:pPr>
      <w:keepNext w:val="true"/>
      <w:spacing w:after="120" w:before="240"/>
    </w:pPr>
    <w:rPr>
      <w:rFonts w:ascii="Liberation Sans" w:cs="Arial" w:eastAsia="Microsoft YaHei" w:hAnsi="Liberation Sans"/>
      <w:sz w:val="28"/>
      <w:szCs w:val="28"/>
    </w:rPr>
  </w:style>
  <w:style w:styleId="Corpsdetexte" w:type="paragraph">
    <w:name w:val="Body Text"/>
    <w:basedOn w:val="Normal"/>
    <w:pPr>
      <w:spacing w:after="120" w:before="0"/>
    </w:pPr>
    <w:rPr/>
  </w:style>
  <w:style w:styleId="Liste" w:type="paragraph">
    <w:name w:val="List"/>
    <w:basedOn w:val="Corpsdetexte"/>
    <w:pPr/>
    <w:rPr>
      <w:rFonts w:cs="Arial"/>
    </w:rPr>
  </w:style>
  <w:style w:styleId="Lgende" w:type="paragraph">
    <w:name w:val="Caption"/>
    <w:basedOn w:val="Normal"/>
    <w:qFormat/>
    <w:pPr>
      <w:suppressLineNumbers/>
      <w:spacing w:after="120" w:before="120"/>
    </w:pPr>
    <w:rPr>
      <w:rFonts w:cs="Arial"/>
      <w:i/>
      <w:iCs/>
      <w:sz w:val="24"/>
      <w:szCs w:val="24"/>
    </w:rPr>
  </w:style>
  <w:style w:styleId="Index" w:type="paragraph">
    <w:name w:val="Index"/>
    <w:basedOn w:val="Normal"/>
    <w:qFormat/>
    <w:pPr>
      <w:suppressLineNumbers/>
    </w:pPr>
    <w:rPr>
      <w:rFonts w:cs="Arial"/>
    </w:rPr>
  </w:style>
  <w:style w:styleId="Textedebulles" w:type="paragraph">
    <w:name w:val="Texte de bulles"/>
    <w:basedOn w:val="Normal"/>
    <w:qFormat/>
    <w:pPr/>
    <w:rPr>
      <w:rFonts w:ascii="Tahoma" w:cs="Tahoma" w:hAnsi="Tahoma"/>
      <w:sz w:val="16"/>
      <w:szCs w:val="16"/>
    </w:rPr>
  </w:style>
  <w:style w:styleId="Entteetpieddepage" w:type="paragraph">
    <w:name w:val="En-tête et pied de page"/>
    <w:basedOn w:val="Normal"/>
    <w:qFormat/>
    <w:pPr>
      <w:suppressLineNumbers/>
      <w:tabs>
        <w:tab w:pos="708" w:val="clear"/>
        <w:tab w:leader="none" w:pos="4819" w:val="center"/>
        <w:tab w:leader="none" w:pos="9638" w:val="right"/>
      </w:tabs>
    </w:pPr>
    <w:rPr/>
  </w:style>
  <w:style w:styleId="Entte" w:type="paragraph">
    <w:name w:val="Header"/>
    <w:basedOn w:val="Normal"/>
    <w:pPr>
      <w:tabs>
        <w:tab w:pos="708" w:val="clear"/>
        <w:tab w:leader="none" w:pos="4536" w:val="center"/>
        <w:tab w:leader="none" w:pos="9072" w:val="right"/>
      </w:tabs>
    </w:pPr>
    <w:rPr/>
  </w:style>
  <w:style w:styleId="Pieddepage" w:type="paragraph">
    <w:name w:val="Footer"/>
    <w:basedOn w:val="Normal"/>
    <w:pPr>
      <w:tabs>
        <w:tab w:pos="708" w:val="clear"/>
        <w:tab w:leader="none" w:pos="4536" w:val="center"/>
        <w:tab w:leader="none" w:pos="9072" w:val="right"/>
      </w:tabs>
    </w:pPr>
    <w:rPr/>
  </w:style>
  <w:style w:styleId="Paragraphedeliste" w:type="paragraph">
    <w:name w:val="Paragraphe de liste"/>
    <w:basedOn w:val="Normal"/>
    <w:qFormat/>
    <w:pPr>
      <w:ind w:hanging="0" w:left="708"/>
    </w:pPr>
    <w:rPr/>
  </w:style>
  <w:style w:styleId="WW8Num1" w:type="numbering">
    <w:name w:val="WW8Num1"/>
    <w:qFormat/>
  </w:style>
  <w:style w:styleId="WW8Num2" w:type="numbering">
    <w:name w:val="WW8Num2"/>
    <w:qFormat/>
  </w:style>
  <w:style w:styleId="WW8Num3" w:type="numbering">
    <w:name w:val="WW8Num3"/>
    <w:qFormat/>
  </w:style>
  <w:style w:styleId="WW8Num4" w:type="numbering">
    <w:name w:val="WW8Num4"/>
    <w:qFormat/>
  </w:style>
  <w:style w:styleId="WW8Num5" w:type="numbering">
    <w:name w:val="WW8Num5"/>
    <w:qFormat/>
  </w:style>
  <w:style w:styleId="WW8Num6" w:type="numbering">
    <w:name w:val="WW8Num6"/>
    <w:qFormat/>
  </w:style>
  <w:style w:styleId="WW8Num7" w:type="numbering">
    <w:name w:val="WW8Num7"/>
    <w:qFormat/>
  </w:style>
  <w:style w:styleId="WW8Num8" w:type="numbering">
    <w:name w:val="WW8Num8"/>
    <w:qFormat/>
  </w:style>
  <w:style w:styleId="WW8Num9" w:type="numbering">
    <w:name w:val="WW8Num9"/>
    <w:qFormat/>
  </w:style>
  <w:style w:styleId="WW8Num10" w:type="numbering">
    <w:name w:val="WW8Num10"/>
    <w:qFormat/>
  </w:style>
  <w:style w:styleId="WW8Num11" w:type="numbering">
    <w:name w:val="WW8Num11"/>
    <w:qFormat/>
  </w:style>
  <w:style w:styleId="WW8Num12" w:type="numbering">
    <w:name w:val="WW8Num12"/>
    <w:qFormat/>
  </w:style>
  <w:style w:styleId="WW8Num13" w:type="numbering">
    <w:name w:val="WW8Num13"/>
    <w:qFormat/>
  </w:style>
  <w:style w:styleId="WW8Num14" w:type="numbering">
    <w:name w:val="WW8Num14"/>
    <w:qFormat/>
  </w:style>
  <w:style w:styleId="WW8Num15" w:type="numbering">
    <w:name w:val="WW8Num15"/>
    <w:qFormat/>
  </w:style>
  <w:style w:styleId="WW8Num16" w:type="numbering">
    <w:name w:val="WW8Num16"/>
    <w:qFormat/>
  </w:style>
  <w:style w:styleId="WW8Num17" w:type="numbering">
    <w:name w:val="WW8Num17"/>
    <w:qFormat/>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fontTable.xml" Type="http://schemas.openxmlformats.org/officeDocument/2006/relationships/fontTable"/><Relationship Id="rId6" Target="settings.xml" Type="http://schemas.openxmlformats.org/officeDocument/2006/relationships/settings"/></Relationships>
</file>

<file path=docProps/app.xml><?xml version="1.0" encoding="utf-8"?>
<Properties xmlns="http://schemas.openxmlformats.org/officeDocument/2006/extended-properties" xmlns:vt="http://schemas.openxmlformats.org/officeDocument/2006/docPropsVTypes">
  <Template>Normal_x0000_</Template>
  <TotalTime>2</TotalTime>
  <Application>LibreOffice/7.1.3.2$Windows_X86_64 LibreOffice_project/47f78053abe362b9384784d31a6e56f8511eb1c1</Application>
  <AppVersion>15.0000</AppVersion>
  <Pages>2</Pages>
  <Words>531</Words>
  <Characters>2811</Characters>
  <CharactersWithSpaces>3329</CharactersWithSpaces>
  <Paragraphs>40</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2023-02-06T09:15:00Z</dcterms:created>
  <cp:keywords> </cp:keywords>
  <dc:language>fr-FR</dc:language>
  <cp:lastPrinted>2020-04-28T11:53:00Z</cp:lastPrinted>
  <dcterms:modified xsi:type="dcterms:W3CDTF">2023-02-16T09:01:57Z</dcterms:modified>
  <cp:revision>4</cp:revision>
  <dc:title>NEGOCIATION ANNUELLE</dc:title>
</cp:coreProperties>
</file>