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rFonts w:ascii="Arial" w:hAnsi="Arial" w:cs="Arial"/>
          <w:b/>
          <w:b/>
          <w:sz w:val="32"/>
          <w:szCs w:val="32"/>
        </w:rPr>
      </w:pPr>
      <w:r>
        <w:rPr>
          <w:rFonts w:cs="Arial" w:ascii="Arial" w:hAnsi="Arial"/>
          <w:b/>
          <w:sz w:val="32"/>
          <w:szCs w:val="32"/>
        </w:rPr>
      </w:r>
    </w:p>
    <w:p>
      <w:pPr>
        <w:pStyle w:val="Normal"/>
        <w:spacing w:lineRule="auto" w:line="360"/>
        <w:jc w:val="center"/>
        <w:rPr>
          <w:rFonts w:ascii="Arial" w:hAnsi="Arial" w:cs="Arial"/>
          <w:b/>
          <w:b/>
          <w:sz w:val="24"/>
          <w:szCs w:val="24"/>
        </w:rPr>
      </w:pPr>
      <w:r>
        <w:rPr>
          <w:rFonts w:cs="Arial" w:ascii="Arial" w:hAnsi="Arial"/>
          <w:b/>
          <w:sz w:val="24"/>
          <w:szCs w:val="24"/>
        </w:rPr>
        <w:t xml:space="preserve">ACCORD D'ENTREPRISE RELATIF A LA </w:t>
      </w:r>
    </w:p>
    <w:p>
      <w:pPr>
        <w:pStyle w:val="Normal"/>
        <w:spacing w:lineRule="auto" w:line="360"/>
        <w:jc w:val="center"/>
        <w:rPr>
          <w:rFonts w:ascii="Arial" w:hAnsi="Arial" w:cs="Arial"/>
          <w:b/>
          <w:b/>
          <w:sz w:val="24"/>
          <w:szCs w:val="24"/>
        </w:rPr>
      </w:pPr>
      <w:r>
        <w:rPr>
          <w:rFonts w:cs="Arial" w:ascii="Arial" w:hAnsi="Arial"/>
          <w:b/>
          <w:sz w:val="24"/>
          <w:szCs w:val="24"/>
        </w:rPr>
        <w:t xml:space="preserve">NEGOCIATION ANNUELLE OBLIGATOIRE </w:t>
      </w:r>
    </w:p>
    <w:p>
      <w:pPr>
        <w:pStyle w:val="Normal"/>
        <w:spacing w:lineRule="auto" w:line="360"/>
        <w:rPr>
          <w:rFonts w:ascii="Arial" w:hAnsi="Arial" w:cs="Arial"/>
          <w:b/>
          <w:b/>
          <w:sz w:val="22"/>
          <w:szCs w:val="22"/>
        </w:rPr>
      </w:pPr>
      <w:r>
        <w:rPr>
          <w:rFonts w:cs="Arial" w:ascii="Arial" w:hAnsi="Arial"/>
          <w:b/>
          <w:sz w:val="22"/>
          <w:szCs w:val="22"/>
        </w:rPr>
      </w:r>
    </w:p>
    <w:p>
      <w:pPr>
        <w:pStyle w:val="Normal"/>
        <w:spacing w:lineRule="auto" w:line="360"/>
        <w:rPr>
          <w:rFonts w:ascii="Arial" w:hAnsi="Arial" w:cs="Arial"/>
          <w:sz w:val="22"/>
          <w:szCs w:val="22"/>
        </w:rPr>
      </w:pPr>
      <w:r>
        <w:rPr>
          <w:rFonts w:cs="Arial" w:ascii="Arial" w:hAnsi="Arial"/>
          <w:sz w:val="22"/>
          <w:szCs w:val="22"/>
        </w:rPr>
        <w:t xml:space="preserve">Entre  la société </w:t>
      </w:r>
    </w:p>
    <w:p>
      <w:pPr>
        <w:pStyle w:val="Normal"/>
        <w:spacing w:lineRule="auto" w:line="360"/>
        <w:rPr>
          <w:rFonts w:ascii="Arial" w:hAnsi="Arial" w:cs="Arial"/>
          <w:sz w:val="22"/>
          <w:szCs w:val="22"/>
        </w:rPr>
      </w:pPr>
      <w:r>
        <w:rPr>
          <w:rFonts w:cs="Arial" w:ascii="Arial" w:hAnsi="Arial"/>
          <w:sz w:val="22"/>
          <w:szCs w:val="22"/>
        </w:rPr>
        <w:t>Dont le siège social est situé 1 rue Petit – 75019 PARIS</w:t>
      </w:r>
    </w:p>
    <w:p>
      <w:pPr>
        <w:pStyle w:val="Normal"/>
        <w:spacing w:lineRule="auto" w:line="360"/>
        <w:rPr>
          <w:rFonts w:ascii="Arial" w:hAnsi="Arial" w:cs="Arial"/>
          <w:sz w:val="22"/>
          <w:szCs w:val="22"/>
        </w:rPr>
      </w:pPr>
      <w:r>
        <w:rPr>
          <w:rFonts w:cs="Arial" w:ascii="Arial" w:hAnsi="Arial"/>
          <w:sz w:val="22"/>
          <w:szCs w:val="22"/>
        </w:rPr>
        <w:t>Inscrite au registre du Commerce et des Sociétés de PARIS</w:t>
      </w:r>
    </w:p>
    <w:p>
      <w:pPr>
        <w:pStyle w:val="Normal"/>
        <w:spacing w:lineRule="auto" w:line="360"/>
        <w:rPr>
          <w:rFonts w:ascii="Arial" w:hAnsi="Arial" w:cs="Arial"/>
          <w:sz w:val="22"/>
          <w:szCs w:val="22"/>
        </w:rPr>
      </w:pPr>
      <w:r>
        <w:rPr>
          <w:rFonts w:cs="Arial" w:ascii="Arial" w:hAnsi="Arial"/>
          <w:sz w:val="22"/>
          <w:szCs w:val="22"/>
        </w:rPr>
        <w:t>Sous le Numéro 458 502 838</w:t>
      </w:r>
    </w:p>
    <w:p>
      <w:pPr>
        <w:pStyle w:val="Normal"/>
        <w:spacing w:lineRule="auto" w:line="360"/>
        <w:jc w:val="both"/>
        <w:rPr>
          <w:rFonts w:ascii="Arial" w:hAnsi="Arial" w:cs="Arial"/>
          <w:sz w:val="22"/>
          <w:szCs w:val="22"/>
        </w:rPr>
      </w:pPr>
      <w:r>
        <w:rPr>
          <w:rFonts w:cs="Arial" w:ascii="Arial" w:hAnsi="Arial"/>
          <w:sz w:val="22"/>
          <w:szCs w:val="22"/>
        </w:rPr>
        <w:t>Représentée par M., agissant en qualité de Directeur Général, ayant tous pouvoirs aux fins des présentes, assisté de, Directrice des Ressources Humaines,</w:t>
      </w:r>
    </w:p>
    <w:p>
      <w:pPr>
        <w:pStyle w:val="Normal"/>
        <w:rPr>
          <w:rFonts w:ascii="Arial" w:hAnsi="Arial" w:cs="Arial"/>
          <w:sz w:val="22"/>
          <w:szCs w:val="22"/>
        </w:rPr>
      </w:pPr>
      <w:r>
        <w:rPr>
          <w:rFonts w:cs="Arial" w:ascii="Arial" w:hAnsi="Arial"/>
          <w:sz w:val="22"/>
          <w:szCs w:val="22"/>
        </w:rPr>
        <w:tab/>
        <w:tab/>
        <w:tab/>
        <w:tab/>
        <w:tab/>
        <w:tab/>
        <w:tab/>
        <w:tab/>
        <w:tab/>
        <w:t>D'une part,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Et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Les organisations Syndicales représentatives:</w:t>
      </w:r>
    </w:p>
    <w:p>
      <w:pPr>
        <w:pStyle w:val="Normal"/>
        <w:rPr>
          <w:rFonts w:ascii="Arial" w:hAnsi="Arial" w:cs="Arial"/>
          <w:sz w:val="22"/>
          <w:szCs w:val="22"/>
        </w:rPr>
      </w:pPr>
      <w:r>
        <w:rPr>
          <w:rFonts w:cs="Arial" w:ascii="Arial" w:hAnsi="Arial"/>
          <w:sz w:val="22"/>
          <w:szCs w:val="22"/>
        </w:rPr>
      </w:r>
    </w:p>
    <w:p>
      <w:pPr>
        <w:pStyle w:val="Normal"/>
        <w:numPr>
          <w:ilvl w:val="0"/>
          <w:numId w:val="2"/>
        </w:numPr>
        <w:spacing w:lineRule="auto" w:line="360"/>
        <w:rPr>
          <w:rFonts w:ascii="Arial" w:hAnsi="Arial" w:cs="Arial"/>
          <w:sz w:val="22"/>
          <w:szCs w:val="22"/>
        </w:rPr>
      </w:pPr>
      <w:r>
        <w:rPr>
          <w:rFonts w:cs="Arial" w:ascii="Arial" w:hAnsi="Arial"/>
          <w:b/>
          <w:sz w:val="22"/>
          <w:szCs w:val="22"/>
        </w:rPr>
        <w:t>C.F.D.T</w:t>
      </w:r>
      <w:r>
        <w:rPr>
          <w:rFonts w:cs="Arial" w:ascii="Arial" w:hAnsi="Arial"/>
          <w:sz w:val="22"/>
          <w:szCs w:val="22"/>
        </w:rPr>
        <w:t xml:space="preserve"> représentée par M, dûment mandatés pour conclure au nom de l’organisation syndicale le présent accord;</w:t>
      </w:r>
    </w:p>
    <w:p>
      <w:pPr>
        <w:pStyle w:val="Normal"/>
        <w:numPr>
          <w:ilvl w:val="0"/>
          <w:numId w:val="2"/>
        </w:numPr>
        <w:spacing w:lineRule="auto" w:line="360"/>
        <w:rPr/>
      </w:pPr>
      <w:r>
        <w:rPr>
          <w:rFonts w:cs="Arial" w:ascii="Arial" w:hAnsi="Arial"/>
          <w:b/>
          <w:sz w:val="22"/>
          <w:szCs w:val="22"/>
        </w:rPr>
        <w:t>C.F.E-C.G.C</w:t>
      </w:r>
      <w:r>
        <w:rPr>
          <w:rFonts w:cs="Arial" w:ascii="Arial" w:hAnsi="Arial"/>
          <w:sz w:val="22"/>
          <w:szCs w:val="22"/>
        </w:rPr>
        <w:t xml:space="preserve"> représentée par M., dûment mandaté pour conclure au nom de l’organisation syndicale le présent accord;</w:t>
      </w:r>
    </w:p>
    <w:p>
      <w:pPr>
        <w:pStyle w:val="Normal"/>
        <w:numPr>
          <w:ilvl w:val="0"/>
          <w:numId w:val="2"/>
        </w:numPr>
        <w:spacing w:lineRule="auto" w:line="360"/>
        <w:rPr/>
      </w:pPr>
      <w:r>
        <w:rPr>
          <w:rFonts w:cs="Arial" w:ascii="Arial" w:hAnsi="Arial"/>
          <w:b/>
          <w:sz w:val="22"/>
          <w:szCs w:val="22"/>
        </w:rPr>
        <w:t>C.G.T</w:t>
      </w:r>
      <w:r>
        <w:rPr>
          <w:rFonts w:cs="Arial" w:ascii="Arial" w:hAnsi="Arial"/>
          <w:sz w:val="22"/>
          <w:szCs w:val="22"/>
        </w:rPr>
        <w:t xml:space="preserve"> représentée par M., dûment mandaté pour conclure au nom de l’organisation syndicale le présent accord;</w:t>
      </w:r>
    </w:p>
    <w:p>
      <w:pPr>
        <w:pStyle w:val="Normal"/>
        <w:numPr>
          <w:ilvl w:val="0"/>
          <w:numId w:val="2"/>
        </w:numPr>
        <w:spacing w:lineRule="auto" w:line="360"/>
        <w:rPr>
          <w:rFonts w:ascii="Arial" w:hAnsi="Arial" w:cs="Arial"/>
          <w:sz w:val="22"/>
          <w:szCs w:val="22"/>
        </w:rPr>
      </w:pPr>
      <w:r>
        <w:rPr>
          <w:rFonts w:cs="Arial" w:ascii="Arial" w:hAnsi="Arial"/>
          <w:b/>
          <w:sz w:val="22"/>
          <w:szCs w:val="22"/>
        </w:rPr>
        <w:t>F.O</w:t>
      </w:r>
      <w:r>
        <w:rPr>
          <w:rFonts w:cs="Arial" w:ascii="Arial" w:hAnsi="Arial"/>
          <w:sz w:val="22"/>
          <w:szCs w:val="22"/>
        </w:rPr>
        <w:t xml:space="preserve"> représentée par M</w:t>
      </w:r>
      <w:r>
        <w:rPr>
          <w:rFonts w:cs="Arial" w:ascii="Arial" w:hAnsi="Arial"/>
          <w:b/>
          <w:sz w:val="22"/>
          <w:szCs w:val="22"/>
        </w:rPr>
        <w:t xml:space="preserve">. </w:t>
      </w:r>
      <w:r>
        <w:rPr>
          <w:rFonts w:cs="Arial" w:ascii="Arial" w:hAnsi="Arial"/>
          <w:sz w:val="22"/>
          <w:szCs w:val="22"/>
        </w:rPr>
        <w:t>dûment mandaté pour conclure au nom de l’organisation syndicale le présent accord;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b/>
        <w:tab/>
        <w:tab/>
        <w:tab/>
        <w:tab/>
        <w:tab/>
        <w:tab/>
        <w:tab/>
        <w:tab/>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D'autre part, </w:t>
      </w:r>
    </w:p>
    <w:p>
      <w:pPr>
        <w:pStyle w:val="Normal"/>
        <w:rPr>
          <w:rFonts w:ascii="Arial" w:hAnsi="Arial" w:cs="Arial"/>
          <w:sz w:val="22"/>
          <w:szCs w:val="22"/>
        </w:rPr>
      </w:pPr>
      <w:r>
        <w:rPr>
          <w:rFonts w:cs="Arial" w:ascii="Arial" w:hAnsi="Arial"/>
          <w:sz w:val="22"/>
          <w:szCs w:val="22"/>
        </w:rPr>
      </w:r>
    </w:p>
    <w:p>
      <w:pPr>
        <w:pStyle w:val="Normal"/>
        <w:rPr/>
      </w:pPr>
      <w:r>
        <w:rPr/>
      </w:r>
    </w:p>
    <w:p>
      <w:pPr>
        <w:pStyle w:val="Normal"/>
        <w:jc w:val="both"/>
        <w:rPr>
          <w:rFonts w:ascii="Arial" w:hAnsi="Arial" w:cs="Arial"/>
          <w:sz w:val="22"/>
          <w:szCs w:val="22"/>
        </w:rPr>
      </w:pPr>
      <w:r>
        <w:rPr>
          <w:rFonts w:cs="Arial" w:ascii="Arial" w:hAnsi="Arial"/>
          <w:sz w:val="22"/>
          <w:szCs w:val="22"/>
        </w:rPr>
        <w:t>Conformément à l'article L. 2242-1 du Code du Travail, pour l'année 2022, la négociation annuelle obligatoire dans l'entreprise conduite entre la Direction et les organisations Syndicales mentionnées ci-dessus s'est déroulée sur la base du calendrier suivant :</w:t>
      </w:r>
      <w:r>
        <w:rPr>
          <w:rFonts w:cs="Calibri" w:ascii="Calibri" w:hAnsi="Calibri"/>
          <w:sz w:val="22"/>
          <w:szCs w:val="22"/>
          <w:u w:val="single"/>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numPr>
          <w:ilvl w:val="0"/>
          <w:numId w:val="3"/>
        </w:numPr>
        <w:autoSpaceDE w:val="false"/>
        <w:jc w:val="both"/>
        <w:rPr>
          <w:rFonts w:ascii="Arial" w:hAnsi="Arial" w:cs="Arial"/>
          <w:sz w:val="22"/>
          <w:szCs w:val="22"/>
        </w:rPr>
      </w:pPr>
      <w:r>
        <w:rPr>
          <w:rFonts w:cs="Arial" w:ascii="Arial" w:hAnsi="Arial"/>
          <w:sz w:val="22"/>
          <w:szCs w:val="22"/>
        </w:rPr>
        <w:t>Réunion le 30 novembre 2021 précisant le lieu, les dates et la remise des documents concernant les emplois et les qualifications, les salaires, ainsi qu'une analyse comparée de la situation des hommes et des femmes.</w:t>
      </w:r>
    </w:p>
    <w:p>
      <w:pPr>
        <w:pStyle w:val="Normal"/>
        <w:autoSpaceDE w:val="false"/>
        <w:ind w:left="530" w:hanging="0"/>
        <w:jc w:val="both"/>
        <w:rPr>
          <w:rFonts w:ascii="Arial" w:hAnsi="Arial" w:cs="Arial"/>
          <w:sz w:val="22"/>
          <w:szCs w:val="22"/>
        </w:rPr>
      </w:pPr>
      <w:r>
        <w:rPr>
          <w:rFonts w:cs="Arial" w:ascii="Arial" w:hAnsi="Arial"/>
          <w:sz w:val="22"/>
          <w:szCs w:val="22"/>
        </w:rPr>
      </w:r>
    </w:p>
    <w:p>
      <w:pPr>
        <w:pStyle w:val="Normal"/>
        <w:numPr>
          <w:ilvl w:val="0"/>
          <w:numId w:val="3"/>
        </w:numPr>
        <w:jc w:val="both"/>
        <w:rPr>
          <w:rFonts w:ascii="Arial" w:hAnsi="Arial" w:cs="Arial"/>
          <w:sz w:val="22"/>
          <w:szCs w:val="22"/>
        </w:rPr>
      </w:pPr>
      <w:r>
        <w:rPr>
          <w:rFonts w:cs="Arial" w:ascii="Arial" w:hAnsi="Arial"/>
          <w:sz w:val="22"/>
          <w:szCs w:val="22"/>
        </w:rPr>
        <w:t>Réunions de négociation les 20 et 23 décembre 2021 ainsi que les 6, 10 et 25 janvier 2022,</w:t>
      </w:r>
    </w:p>
    <w:p>
      <w:pPr>
        <w:pStyle w:val="Paragraphedeliste"/>
        <w:rPr>
          <w:rFonts w:ascii="Arial" w:hAnsi="Arial" w:cs="Arial"/>
          <w:sz w:val="22"/>
          <w:szCs w:val="22"/>
        </w:rPr>
      </w:pPr>
      <w:r>
        <w:rPr>
          <w:rFonts w:cs="Arial" w:ascii="Arial" w:hAnsi="Arial"/>
          <w:sz w:val="22"/>
          <w:szCs w:val="22"/>
        </w:rPr>
      </w:r>
    </w:p>
    <w:p>
      <w:pPr>
        <w:pStyle w:val="Normal"/>
        <w:rPr>
          <w:rFonts w:ascii="Arial" w:hAnsi="Arial" w:cs="Arial"/>
          <w:b/>
          <w:b/>
          <w:sz w:val="22"/>
          <w:szCs w:val="22"/>
          <w:u w:val="single"/>
        </w:rPr>
      </w:pPr>
      <w:r>
        <w:rPr>
          <w:rFonts w:cs="Arial" w:ascii="Arial" w:hAnsi="Arial"/>
          <w:b/>
          <w:sz w:val="22"/>
          <w:szCs w:val="22"/>
          <w:u w:val="single"/>
        </w:rPr>
        <w:t>Préambule</w:t>
      </w:r>
    </w:p>
    <w:p>
      <w:pPr>
        <w:pStyle w:val="Normal"/>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Le calendrier des Négociations Annuelles Obligatoires est ouvert dès le 30 novembre 2021 à l'initiative de la Direction. Cette dernière a souligné les principes sur lesquels elle entend engager</w:t>
      </w:r>
      <w:r>
        <w:rPr>
          <w:rFonts w:cs="Calibri" w:ascii="Calibri" w:hAnsi="Calibri"/>
          <w:sz w:val="22"/>
          <w:szCs w:val="22"/>
        </w:rPr>
        <w:t xml:space="preserve"> </w:t>
      </w:r>
      <w:r>
        <w:rPr>
          <w:rFonts w:cs="Arial" w:ascii="Arial" w:hAnsi="Arial"/>
          <w:sz w:val="22"/>
          <w:szCs w:val="22"/>
        </w:rPr>
        <w:t>les négociations salariales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augmentation générale utile à la cohésion dans l’entreprise et la défense de tout ou partie du pouvoir d’achat,</w:t>
      </w:r>
    </w:p>
    <w:p>
      <w:pPr>
        <w:pStyle w:val="Normal"/>
        <w:jc w:val="both"/>
        <w:rPr>
          <w:rFonts w:ascii="Arial" w:hAnsi="Arial" w:cs="Arial"/>
          <w:sz w:val="22"/>
          <w:szCs w:val="22"/>
        </w:rPr>
      </w:pPr>
      <w:r>
        <w:rPr>
          <w:rFonts w:cs="Arial" w:ascii="Arial" w:hAnsi="Arial"/>
          <w:sz w:val="22"/>
          <w:szCs w:val="22"/>
        </w:rPr>
        <w:t>- principe de reconnaissance de la contribution personnelle des salariés via des augmentations individuelles,</w:t>
      </w:r>
    </w:p>
    <w:p>
      <w:pPr>
        <w:pStyle w:val="Normal"/>
        <w:jc w:val="both"/>
        <w:rPr>
          <w:rFonts w:ascii="Arial" w:hAnsi="Arial" w:cs="Arial"/>
          <w:sz w:val="22"/>
          <w:szCs w:val="22"/>
        </w:rPr>
      </w:pPr>
      <w:r>
        <w:rPr>
          <w:rFonts w:cs="Arial" w:ascii="Arial" w:hAnsi="Arial"/>
          <w:sz w:val="22"/>
          <w:szCs w:val="22"/>
        </w:rPr>
        <w:t>- application de l’Accord NAO sur la base des salaires de septembre 2021 étant donné qu’une avance d’augmentation générale a été exceptionnellement effectuée le 1</w:t>
      </w:r>
      <w:r>
        <w:rPr>
          <w:rFonts w:cs="Arial" w:ascii="Arial" w:hAnsi="Arial"/>
          <w:sz w:val="22"/>
          <w:szCs w:val="22"/>
          <w:vertAlign w:val="superscript"/>
        </w:rPr>
        <w:t>er</w:t>
      </w:r>
      <w:r>
        <w:rPr>
          <w:rFonts w:cs="Arial" w:ascii="Arial" w:hAnsi="Arial"/>
          <w:sz w:val="22"/>
          <w:szCs w:val="22"/>
        </w:rPr>
        <w:t xml:space="preserve"> octobre 2021 pour les salariés ayant un salaire inférieur à 2333€.</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dstrike/>
          <w:sz w:val="22"/>
          <w:szCs w:val="22"/>
        </w:rPr>
      </w:pPr>
      <w:r>
        <w:rPr>
          <w:rFonts w:cs="Arial" w:ascii="Arial" w:hAnsi="Arial"/>
          <w:sz w:val="22"/>
          <w:szCs w:val="22"/>
        </w:rPr>
        <w:t>La Direction a rappelé que les NAO s’ouvraient dans un contexte général marqué par une année 2021 de nouveau compliquée du fait de la crise sanitaire qui perdure et de problèmes récurrents d’approvisionnement de matières premières et de châssis destinés à la production des camping-cars. Le marché du véhicule de loisir bénéficie d’une bonne dynamique pour le moment cependant la modération et la prudence doivent rester de mise compte tenu d’une activité inférieure de 7% à celle de l’année dernière. Par ailleurs la crise du Covid pourrait avoir des retombées économiques plus sensibles que prévu.</w:t>
      </w:r>
    </w:p>
    <w:p>
      <w:pPr>
        <w:pStyle w:val="Normal"/>
        <w:jc w:val="both"/>
        <w:rPr>
          <w:rFonts w:ascii="Arial" w:hAnsi="Arial" w:cs="Arial"/>
          <w:dstrike/>
          <w:sz w:val="22"/>
          <w:szCs w:val="22"/>
        </w:rPr>
      </w:pPr>
      <w:r>
        <w:rPr>
          <w:rFonts w:cs="Arial" w:ascii="Arial" w:hAnsi="Arial"/>
          <w:dstrike/>
          <w:sz w:val="22"/>
          <w:szCs w:val="22"/>
        </w:rPr>
      </w:r>
    </w:p>
    <w:p>
      <w:pPr>
        <w:pStyle w:val="Normal"/>
        <w:jc w:val="both"/>
        <w:rPr>
          <w:rFonts w:ascii="Arial" w:hAnsi="Arial" w:cs="Arial"/>
          <w:sz w:val="22"/>
          <w:szCs w:val="22"/>
        </w:rPr>
      </w:pPr>
      <w:r>
        <w:rPr>
          <w:rFonts w:cs="Arial" w:ascii="Arial" w:hAnsi="Arial"/>
          <w:sz w:val="22"/>
          <w:szCs w:val="22"/>
        </w:rPr>
        <w:t xml:space="preserve">Les organisations syndicales, quant à elles, ont rappelé que beaucoup d’efforts avaient été faits par les salariés depuis plusieurs années, qu’elles étaient en attente d’une reconnaissance des efforts fournis. Ils ajoutent que dans un contexte de bonne santé financière de l’entreprise, de forte inflation et d’augmentation du SMIC, il est important de fidéliser les salariés avec une rémunération réévaluée en conséquence. </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Dans un contexte d'inflation voisine de </w:t>
      </w:r>
      <w:r>
        <w:rPr>
          <w:rFonts w:cs="Arial" w:ascii="Arial" w:hAnsi="Arial"/>
          <w:b/>
          <w:sz w:val="22"/>
          <w:szCs w:val="22"/>
        </w:rPr>
        <w:t>2.8</w:t>
      </w:r>
      <w:r>
        <w:rPr>
          <w:rFonts w:cs="Arial" w:ascii="Arial" w:hAnsi="Arial"/>
          <w:sz w:val="22"/>
          <w:szCs w:val="22"/>
        </w:rPr>
        <w:t>%, il a été décidé, à l’issue des réunions de négociations, les dispositions suivantes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b/>
          <w:b/>
          <w:sz w:val="22"/>
          <w:szCs w:val="22"/>
          <w:u w:val="single"/>
        </w:rPr>
      </w:pPr>
      <w:r>
        <w:rPr>
          <w:rFonts w:cs="Arial" w:ascii="Arial" w:hAnsi="Arial"/>
          <w:b/>
          <w:sz w:val="22"/>
          <w:szCs w:val="22"/>
          <w:u w:val="single"/>
        </w:rPr>
        <w:t>Article I. Evolution des rémunérations pour l'année 2022</w:t>
      </w:r>
    </w:p>
    <w:p>
      <w:pPr>
        <w:pStyle w:val="Normal"/>
        <w:rPr>
          <w:rFonts w:ascii="Arial" w:hAnsi="Arial" w:cs="Arial"/>
          <w:b/>
          <w:b/>
          <w:sz w:val="22"/>
          <w:szCs w:val="22"/>
          <w:u w:val="single"/>
        </w:rPr>
      </w:pPr>
      <w:r>
        <w:rPr>
          <w:rFonts w:cs="Arial" w:ascii="Arial" w:hAnsi="Arial"/>
          <w:b/>
          <w:sz w:val="22"/>
          <w:szCs w:val="22"/>
          <w:u w:val="single"/>
        </w:rPr>
      </w:r>
    </w:p>
    <w:p>
      <w:pPr>
        <w:pStyle w:val="Normal"/>
        <w:rPr>
          <w:rFonts w:ascii="Arial" w:hAnsi="Arial" w:cs="Arial"/>
          <w:sz w:val="22"/>
          <w:szCs w:val="22"/>
        </w:rPr>
      </w:pPr>
      <w:r>
        <w:rPr>
          <w:rFonts w:cs="Arial" w:ascii="Arial" w:hAnsi="Arial"/>
          <w:sz w:val="22"/>
          <w:szCs w:val="22"/>
        </w:rPr>
      </w:r>
    </w:p>
    <w:p>
      <w:pPr>
        <w:pStyle w:val="Normal"/>
        <w:ind w:left="426" w:hanging="0"/>
        <w:jc w:val="both"/>
        <w:rPr/>
      </w:pPr>
      <w:r>
        <w:rPr>
          <w:rFonts w:cs="Arial" w:ascii="Arial" w:hAnsi="Arial"/>
          <w:b/>
          <w:i/>
          <w:sz w:val="22"/>
          <w:szCs w:val="22"/>
          <w:u w:val="single"/>
        </w:rPr>
        <w:t>Pour le personnel du 1</w:t>
      </w:r>
      <w:r>
        <w:rPr>
          <w:rFonts w:cs="Arial" w:ascii="Arial" w:hAnsi="Arial"/>
          <w:b/>
          <w:i/>
          <w:sz w:val="22"/>
          <w:szCs w:val="22"/>
          <w:u w:val="single"/>
          <w:vertAlign w:val="superscript"/>
        </w:rPr>
        <w:t>er</w:t>
      </w:r>
      <w:r>
        <w:rPr>
          <w:rFonts w:cs="Arial" w:ascii="Arial" w:hAnsi="Arial"/>
          <w:b/>
          <w:i/>
          <w:sz w:val="22"/>
          <w:szCs w:val="22"/>
          <w:u w:val="single"/>
        </w:rPr>
        <w:t xml:space="preserve"> collège :</w:t>
      </w:r>
    </w:p>
    <w:p>
      <w:pPr>
        <w:pStyle w:val="Normal"/>
        <w:ind w:left="426" w:hanging="0"/>
        <w:jc w:val="both"/>
        <w:rPr>
          <w:rFonts w:ascii="Arial" w:hAnsi="Arial" w:cs="Arial"/>
          <w:b/>
          <w:b/>
          <w:i/>
          <w:i/>
          <w:sz w:val="22"/>
          <w:szCs w:val="22"/>
          <w:u w:val="single"/>
        </w:rPr>
      </w:pPr>
      <w:r>
        <w:rPr>
          <w:rFonts w:cs="Arial" w:ascii="Arial" w:hAnsi="Arial"/>
          <w:b/>
          <w:i/>
          <w:sz w:val="22"/>
          <w:szCs w:val="22"/>
          <w:u w:val="single"/>
        </w:rPr>
      </w:r>
    </w:p>
    <w:p>
      <w:pPr>
        <w:pStyle w:val="Normal"/>
        <w:numPr>
          <w:ilvl w:val="0"/>
          <w:numId w:val="1"/>
        </w:numPr>
        <w:spacing w:before="120" w:after="120"/>
        <w:ind w:left="425" w:hanging="68"/>
        <w:jc w:val="both"/>
        <w:rPr>
          <w:rFonts w:ascii="Arial" w:hAnsi="Arial" w:cs="Arial"/>
          <w:color w:val="000000"/>
          <w:sz w:val="22"/>
          <w:szCs w:val="22"/>
          <w:highlight w:val="white"/>
        </w:rPr>
      </w:pPr>
      <w:r>
        <w:rPr>
          <w:rFonts w:cs="Arial" w:ascii="Arial" w:hAnsi="Arial"/>
          <w:sz w:val="22"/>
          <w:szCs w:val="22"/>
        </w:rPr>
        <w:t>Une</w:t>
      </w:r>
      <w:r>
        <w:rPr>
          <w:rFonts w:cs="Arial" w:ascii="Arial" w:hAnsi="Arial"/>
          <w:color w:val="000000"/>
          <w:sz w:val="22"/>
          <w:szCs w:val="22"/>
          <w:shd w:fill="FFFFFF" w:val="clear"/>
        </w:rPr>
        <w:t xml:space="preserve"> enveloppe budgétaire de </w:t>
      </w:r>
      <w:r>
        <w:rPr>
          <w:rFonts w:cs="Arial" w:ascii="Arial" w:hAnsi="Arial"/>
          <w:b/>
          <w:color w:val="000000"/>
          <w:sz w:val="22"/>
          <w:szCs w:val="22"/>
          <w:shd w:fill="FFFFFF" w:val="clear"/>
        </w:rPr>
        <w:t>3.3%</w:t>
      </w:r>
      <w:r>
        <w:rPr>
          <w:rFonts w:cs="Arial" w:ascii="Arial" w:hAnsi="Arial"/>
          <w:color w:val="000000"/>
          <w:sz w:val="22"/>
          <w:szCs w:val="22"/>
          <w:shd w:fill="FFFFFF" w:val="clear"/>
        </w:rPr>
        <w:t xml:space="preserve"> de la masse salariale attribuée sous forme</w:t>
      </w:r>
      <w:r>
        <w:rPr>
          <w:rFonts w:cs="Arial" w:ascii="Arial" w:hAnsi="Arial"/>
          <w:b/>
          <w:color w:val="000000"/>
          <w:sz w:val="22"/>
          <w:szCs w:val="22"/>
          <w:shd w:fill="FFFFFF" w:val="clear"/>
        </w:rPr>
        <w:t xml:space="preserve"> d'augmentation générale</w:t>
      </w:r>
      <w:r>
        <w:rPr>
          <w:rFonts w:cs="Arial" w:ascii="Arial" w:hAnsi="Arial"/>
          <w:color w:val="000000"/>
          <w:sz w:val="22"/>
          <w:szCs w:val="22"/>
          <w:shd w:fill="FFFFFF" w:val="clear"/>
        </w:rPr>
        <w:t>. Un minimum d’augmentation de 65€ est garanti entre le salaire du 30 septembre 2021 et celui du 1</w:t>
      </w:r>
      <w:r>
        <w:rPr>
          <w:rFonts w:cs="Arial" w:ascii="Arial" w:hAnsi="Arial"/>
          <w:color w:val="000000"/>
          <w:sz w:val="22"/>
          <w:szCs w:val="22"/>
          <w:shd w:fill="FFFFFF" w:val="clear"/>
          <w:vertAlign w:val="superscript"/>
        </w:rPr>
        <w:t>er</w:t>
      </w:r>
      <w:r>
        <w:rPr>
          <w:rFonts w:cs="Arial" w:ascii="Arial" w:hAnsi="Arial"/>
          <w:color w:val="000000"/>
          <w:sz w:val="22"/>
          <w:szCs w:val="22"/>
          <w:shd w:fill="FFFFFF" w:val="clear"/>
        </w:rPr>
        <w:t xml:space="preserve"> janvier 2022.</w:t>
      </w:r>
    </w:p>
    <w:p>
      <w:pPr>
        <w:pStyle w:val="Normal"/>
        <w:spacing w:before="120" w:after="120"/>
        <w:jc w:val="both"/>
        <w:rPr>
          <w:rFonts w:ascii="Arial" w:hAnsi="Arial" w:cs="Arial"/>
          <w:color w:val="000000"/>
          <w:sz w:val="22"/>
          <w:szCs w:val="22"/>
          <w:u w:val="single"/>
          <w:shd w:fill="FFFFFF" w:val="clear"/>
        </w:rPr>
      </w:pPr>
      <w:r>
        <w:rPr>
          <w:rFonts w:cs="Arial" w:ascii="Arial" w:hAnsi="Arial"/>
          <w:color w:val="000000"/>
          <w:sz w:val="22"/>
          <w:szCs w:val="22"/>
          <w:u w:val="single"/>
          <w:shd w:fill="FFFFFF" w:val="clear"/>
        </w:rPr>
      </w:r>
    </w:p>
    <w:p>
      <w:pPr>
        <w:pStyle w:val="Normal"/>
        <w:spacing w:before="120" w:after="120"/>
        <w:jc w:val="both"/>
        <w:rPr/>
      </w:pPr>
      <w:r>
        <w:rPr>
          <w:rFonts w:cs="Arial" w:ascii="Arial" w:hAnsi="Arial"/>
          <w:color w:val="000000"/>
          <w:sz w:val="22"/>
          <w:szCs w:val="22"/>
          <w:u w:val="single"/>
          <w:shd w:fill="FFFFFF" w:val="clear"/>
        </w:rPr>
        <w:t>Exemples chiffrés</w:t>
      </w:r>
      <w:r>
        <w:rPr>
          <w:rFonts w:cs="Arial" w:ascii="Arial" w:hAnsi="Arial"/>
          <w:color w:val="000000"/>
          <w:sz w:val="22"/>
          <w:szCs w:val="22"/>
          <w:shd w:fill="FFFFFF" w:val="clear"/>
        </w:rPr>
        <w:t> :</w:t>
      </w:r>
    </w:p>
    <w:p>
      <w:pPr>
        <w:pStyle w:val="Normal"/>
        <w:spacing w:before="120" w:after="120"/>
        <w:jc w:val="both"/>
        <w:rPr>
          <w:rFonts w:ascii="Arial" w:hAnsi="Arial" w:cs="Arial"/>
          <w:color w:val="000000"/>
          <w:sz w:val="22"/>
          <w:szCs w:val="22"/>
          <w:shd w:fill="FFFFFF" w:val="clear"/>
        </w:rPr>
      </w:pPr>
      <w:r>
        <w:rPr>
          <w:rFonts w:cs="Arial" w:ascii="Arial" w:hAnsi="Arial"/>
          <w:color w:val="000000"/>
          <w:sz w:val="22"/>
          <w:szCs w:val="22"/>
          <w:shd w:fill="FFFFFF" w:val="clear"/>
        </w:rPr>
      </w:r>
    </w:p>
    <w:tbl>
      <w:tblPr>
        <w:tblW w:w="955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220"/>
        <w:gridCol w:w="1104"/>
        <w:gridCol w:w="1376"/>
        <w:gridCol w:w="1676"/>
        <w:gridCol w:w="804"/>
        <w:gridCol w:w="1255"/>
        <w:gridCol w:w="1115"/>
      </w:tblGrid>
      <w:tr>
        <w:trPr>
          <w:trHeight w:val="288" w:hRule="atLeast"/>
        </w:trPr>
        <w:tc>
          <w:tcPr>
            <w:tcW w:w="2220" w:type="dxa"/>
            <w:tcBorders>
              <w:top w:val="single" w:sz="4" w:space="0" w:color="000000"/>
              <w:left w:val="single" w:sz="4" w:space="0" w:color="000000"/>
              <w:bottom w:val="single" w:sz="4" w:space="0" w:color="000000"/>
              <w:insideH w:val="single" w:sz="4" w:space="0" w:color="000000"/>
            </w:tcBorders>
            <w:shd w:fill="FFFF00" w:val="clear"/>
            <w:tcMar>
              <w:left w:w="65" w:type="dxa"/>
            </w:tcMar>
            <w:vAlign w:val="bottom"/>
          </w:tcPr>
          <w:p>
            <w:pPr>
              <w:pStyle w:val="Normal"/>
              <w:rPr>
                <w:rFonts w:ascii="Calibri" w:hAnsi="Calibri" w:cs="Calibri"/>
                <w:b/>
                <w:b/>
                <w:bCs/>
                <w:color w:val="000000"/>
                <w:sz w:val="22"/>
                <w:szCs w:val="22"/>
              </w:rPr>
            </w:pPr>
            <w:r>
              <w:rPr>
                <w:rFonts w:cs="Calibri" w:ascii="Calibri" w:hAnsi="Calibri"/>
                <w:b/>
                <w:bCs/>
                <w:color w:val="000000"/>
                <w:sz w:val="22"/>
                <w:szCs w:val="22"/>
              </w:rPr>
              <w:t>Salaire au 30 septembre</w:t>
            </w:r>
          </w:p>
        </w:tc>
        <w:tc>
          <w:tcPr>
            <w:tcW w:w="2480" w:type="dxa"/>
            <w:gridSpan w:val="2"/>
            <w:tcBorders>
              <w:top w:val="single" w:sz="4" w:space="0" w:color="000000"/>
              <w:left w:val="single" w:sz="4" w:space="0" w:color="000000"/>
              <w:bottom w:val="single" w:sz="4" w:space="0" w:color="000000"/>
              <w:insideH w:val="single" w:sz="4" w:space="0" w:color="000000"/>
            </w:tcBorders>
            <w:shd w:fill="92D050" w:val="clear"/>
            <w:tcMar>
              <w:left w:w="65" w:type="dxa"/>
            </w:tcMar>
            <w:vAlign w:val="bottom"/>
          </w:tcPr>
          <w:p>
            <w:pPr>
              <w:pStyle w:val="Normal"/>
              <w:jc w:val="center"/>
              <w:rPr>
                <w:rFonts w:ascii="Calibri" w:hAnsi="Calibri" w:cs="Calibri"/>
                <w:b/>
                <w:b/>
                <w:bCs/>
                <w:i/>
                <w:i/>
                <w:iCs/>
                <w:color w:val="000000"/>
                <w:sz w:val="22"/>
                <w:szCs w:val="22"/>
              </w:rPr>
            </w:pPr>
            <w:r>
              <w:rPr>
                <w:rFonts w:cs="Calibri" w:ascii="Calibri" w:hAnsi="Calibri"/>
                <w:b/>
                <w:bCs/>
                <w:i/>
                <w:iCs/>
                <w:color w:val="000000"/>
                <w:sz w:val="22"/>
                <w:szCs w:val="22"/>
              </w:rPr>
              <w:t>Augmentation 1er octobre</w:t>
            </w:r>
          </w:p>
        </w:tc>
        <w:tc>
          <w:tcPr>
            <w:tcW w:w="2480" w:type="dxa"/>
            <w:gridSpan w:val="2"/>
            <w:tcBorders>
              <w:top w:val="single" w:sz="4" w:space="0" w:color="000000"/>
              <w:left w:val="single" w:sz="4" w:space="0" w:color="000000"/>
              <w:bottom w:val="single" w:sz="4" w:space="0" w:color="000000"/>
              <w:insideH w:val="single" w:sz="4" w:space="0" w:color="000000"/>
            </w:tcBorders>
            <w:shd w:fill="FFFF00" w:val="clear"/>
            <w:tcMar>
              <w:left w:w="65" w:type="dxa"/>
            </w:tcMar>
            <w:vAlign w:val="bottom"/>
          </w:tcPr>
          <w:p>
            <w:pPr>
              <w:pStyle w:val="Normal"/>
              <w:jc w:val="center"/>
              <w:rPr>
                <w:rFonts w:ascii="Calibri" w:hAnsi="Calibri" w:cs="Calibri"/>
                <w:b/>
                <w:b/>
                <w:bCs/>
                <w:i/>
                <w:i/>
                <w:iCs/>
                <w:color w:val="000000"/>
                <w:sz w:val="22"/>
                <w:szCs w:val="22"/>
              </w:rPr>
            </w:pPr>
            <w:r>
              <w:rPr>
                <w:rFonts w:cs="Calibri" w:ascii="Calibri" w:hAnsi="Calibri"/>
                <w:b/>
                <w:bCs/>
                <w:i/>
                <w:iCs/>
                <w:color w:val="000000"/>
                <w:sz w:val="22"/>
                <w:szCs w:val="22"/>
              </w:rPr>
              <w:t>Augmentation 1er janvier</w:t>
            </w:r>
          </w:p>
        </w:tc>
        <w:tc>
          <w:tcPr>
            <w:tcW w:w="23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2D050" w:val="clear"/>
            <w:tcMar>
              <w:left w:w="65" w:type="dxa"/>
            </w:tcMar>
            <w:vAlign w:val="bottom"/>
          </w:tcPr>
          <w:p>
            <w:pPr>
              <w:pStyle w:val="Normal"/>
              <w:jc w:val="center"/>
              <w:rPr>
                <w:rFonts w:ascii="Calibri" w:hAnsi="Calibri" w:cs="Calibri"/>
                <w:b/>
                <w:b/>
                <w:bCs/>
                <w:i/>
                <w:i/>
                <w:iCs/>
                <w:color w:val="000000"/>
                <w:sz w:val="22"/>
                <w:szCs w:val="22"/>
              </w:rPr>
            </w:pPr>
            <w:r>
              <w:rPr>
                <w:rFonts w:cs="Calibri" w:ascii="Calibri" w:hAnsi="Calibri"/>
                <w:b/>
                <w:bCs/>
                <w:i/>
                <w:iCs/>
                <w:color w:val="000000"/>
                <w:sz w:val="22"/>
                <w:szCs w:val="22"/>
              </w:rPr>
              <w:t>AUGMENTATION TOTALE</w:t>
            </w:r>
          </w:p>
        </w:tc>
      </w:tr>
      <w:tr>
        <w:trPr>
          <w:trHeight w:val="288" w:hRule="atLeast"/>
        </w:trPr>
        <w:tc>
          <w:tcPr>
            <w:tcW w:w="222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Calibri" w:hAnsi="Calibri" w:cs="Calibri"/>
                <w:color w:val="000000"/>
                <w:sz w:val="22"/>
                <w:szCs w:val="22"/>
              </w:rPr>
            </w:pPr>
            <w:r>
              <w:rPr>
                <w:rFonts w:cs="Calibri" w:ascii="Calibri" w:hAnsi="Calibri"/>
                <w:color w:val="000000"/>
                <w:sz w:val="22"/>
                <w:szCs w:val="22"/>
              </w:rPr>
              <w:t>1 580 €</w:t>
            </w:r>
          </w:p>
        </w:tc>
        <w:tc>
          <w:tcPr>
            <w:tcW w:w="11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2,2%</w:t>
            </w:r>
          </w:p>
        </w:tc>
        <w:tc>
          <w:tcPr>
            <w:tcW w:w="13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34,8 €</w:t>
            </w:r>
          </w:p>
        </w:tc>
        <w:tc>
          <w:tcPr>
            <w:tcW w:w="16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talon 65€</w:t>
            </w:r>
          </w:p>
        </w:tc>
        <w:tc>
          <w:tcPr>
            <w:tcW w:w="8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30,2</w:t>
            </w:r>
          </w:p>
        </w:tc>
        <w:tc>
          <w:tcPr>
            <w:tcW w:w="1255"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4,1%</w:t>
            </w:r>
          </w:p>
        </w:tc>
        <w:tc>
          <w:tcPr>
            <w:tcW w:w="1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65 €</w:t>
            </w:r>
          </w:p>
        </w:tc>
      </w:tr>
      <w:tr>
        <w:trPr>
          <w:trHeight w:val="288" w:hRule="atLeast"/>
        </w:trPr>
        <w:tc>
          <w:tcPr>
            <w:tcW w:w="222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Calibri" w:hAnsi="Calibri" w:cs="Calibri"/>
                <w:color w:val="000000"/>
                <w:sz w:val="22"/>
                <w:szCs w:val="22"/>
              </w:rPr>
            </w:pPr>
            <w:r>
              <w:rPr>
                <w:rFonts w:cs="Calibri" w:ascii="Calibri" w:hAnsi="Calibri"/>
                <w:color w:val="000000"/>
                <w:sz w:val="22"/>
                <w:szCs w:val="22"/>
              </w:rPr>
              <w:t>1 701 €</w:t>
            </w:r>
          </w:p>
        </w:tc>
        <w:tc>
          <w:tcPr>
            <w:tcW w:w="11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pPr>
            <w:r>
              <w:rPr>
                <w:rFonts w:cs="Calibri" w:ascii="Calibri" w:hAnsi="Calibri"/>
                <w:color w:val="000000"/>
                <w:sz w:val="22"/>
                <w:szCs w:val="22"/>
              </w:rPr>
              <w:t>1,8%</w:t>
            </w:r>
          </w:p>
        </w:tc>
        <w:tc>
          <w:tcPr>
            <w:tcW w:w="13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30,6 €</w:t>
            </w:r>
          </w:p>
        </w:tc>
        <w:tc>
          <w:tcPr>
            <w:tcW w:w="16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talon 65€</w:t>
            </w:r>
          </w:p>
        </w:tc>
        <w:tc>
          <w:tcPr>
            <w:tcW w:w="8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34,4</w:t>
            </w:r>
          </w:p>
        </w:tc>
        <w:tc>
          <w:tcPr>
            <w:tcW w:w="1255"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3,8%</w:t>
            </w:r>
          </w:p>
        </w:tc>
        <w:tc>
          <w:tcPr>
            <w:tcW w:w="1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65 €</w:t>
            </w:r>
          </w:p>
        </w:tc>
      </w:tr>
      <w:tr>
        <w:trPr>
          <w:trHeight w:val="288" w:hRule="atLeast"/>
        </w:trPr>
        <w:tc>
          <w:tcPr>
            <w:tcW w:w="222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Calibri" w:hAnsi="Calibri" w:cs="Calibri"/>
                <w:color w:val="000000"/>
                <w:sz w:val="22"/>
                <w:szCs w:val="22"/>
              </w:rPr>
            </w:pPr>
            <w:r>
              <w:rPr>
                <w:rFonts w:cs="Calibri" w:ascii="Calibri" w:hAnsi="Calibri"/>
                <w:color w:val="000000"/>
                <w:sz w:val="22"/>
                <w:szCs w:val="22"/>
              </w:rPr>
              <w:t>1 801 €</w:t>
            </w:r>
          </w:p>
        </w:tc>
        <w:tc>
          <w:tcPr>
            <w:tcW w:w="11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1,4%</w:t>
            </w:r>
          </w:p>
        </w:tc>
        <w:tc>
          <w:tcPr>
            <w:tcW w:w="13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25,2 €</w:t>
            </w:r>
          </w:p>
        </w:tc>
        <w:tc>
          <w:tcPr>
            <w:tcW w:w="16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talon 65€</w:t>
            </w:r>
          </w:p>
        </w:tc>
        <w:tc>
          <w:tcPr>
            <w:tcW w:w="8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39,8</w:t>
            </w:r>
          </w:p>
        </w:tc>
        <w:tc>
          <w:tcPr>
            <w:tcW w:w="1255"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3,6%</w:t>
            </w:r>
          </w:p>
        </w:tc>
        <w:tc>
          <w:tcPr>
            <w:tcW w:w="1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65 €</w:t>
            </w:r>
          </w:p>
        </w:tc>
      </w:tr>
      <w:tr>
        <w:trPr>
          <w:trHeight w:val="288" w:hRule="atLeast"/>
        </w:trPr>
        <w:tc>
          <w:tcPr>
            <w:tcW w:w="2220" w:type="dxa"/>
            <w:tcBorders>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Calibri" w:hAnsi="Calibri" w:cs="Calibri"/>
                <w:color w:val="000000"/>
                <w:sz w:val="22"/>
                <w:szCs w:val="22"/>
              </w:rPr>
            </w:pPr>
            <w:r>
              <w:rPr>
                <w:rFonts w:cs="Calibri" w:ascii="Calibri" w:hAnsi="Calibri"/>
                <w:color w:val="000000"/>
                <w:sz w:val="22"/>
                <w:szCs w:val="22"/>
              </w:rPr>
              <w:t>2 001 €</w:t>
            </w:r>
          </w:p>
        </w:tc>
        <w:tc>
          <w:tcPr>
            <w:tcW w:w="11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1,0%</w:t>
            </w:r>
          </w:p>
        </w:tc>
        <w:tc>
          <w:tcPr>
            <w:tcW w:w="13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20,0 €</w:t>
            </w:r>
          </w:p>
        </w:tc>
        <w:tc>
          <w:tcPr>
            <w:tcW w:w="1676"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2,3%</w:t>
            </w:r>
          </w:p>
        </w:tc>
        <w:tc>
          <w:tcPr>
            <w:tcW w:w="804"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color w:val="000000"/>
                <w:sz w:val="22"/>
                <w:szCs w:val="22"/>
              </w:rPr>
            </w:pPr>
            <w:r>
              <w:rPr>
                <w:rFonts w:cs="Calibri" w:ascii="Calibri" w:hAnsi="Calibri"/>
                <w:color w:val="000000"/>
                <w:sz w:val="22"/>
                <w:szCs w:val="22"/>
              </w:rPr>
              <w:t>46,0</w:t>
            </w:r>
          </w:p>
        </w:tc>
        <w:tc>
          <w:tcPr>
            <w:tcW w:w="1255" w:type="dxa"/>
            <w:tcBorders>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3,3%</w:t>
            </w:r>
          </w:p>
        </w:tc>
        <w:tc>
          <w:tcPr>
            <w:tcW w:w="111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66 €</w:t>
            </w:r>
          </w:p>
        </w:tc>
      </w:tr>
    </w:tbl>
    <w:p>
      <w:pPr>
        <w:pStyle w:val="Normal"/>
        <w:spacing w:before="120" w:after="120"/>
        <w:jc w:val="both"/>
        <w:rPr>
          <w:rFonts w:ascii="Arial" w:hAnsi="Arial" w:cs="Arial"/>
          <w:color w:val="000000"/>
          <w:sz w:val="22"/>
          <w:szCs w:val="22"/>
          <w:shd w:fill="FFFFFF" w:val="clear"/>
        </w:rPr>
      </w:pPr>
      <w:r>
        <w:rPr>
          <w:rFonts w:cs="Arial" w:ascii="Arial" w:hAnsi="Arial"/>
          <w:color w:val="000000"/>
          <w:sz w:val="22"/>
          <w:szCs w:val="22"/>
          <w:shd w:fill="FFFFFF" w:val="clear"/>
        </w:rPr>
      </w:r>
    </w:p>
    <w:p>
      <w:pPr>
        <w:pStyle w:val="Normal"/>
        <w:numPr>
          <w:ilvl w:val="0"/>
          <w:numId w:val="1"/>
        </w:numPr>
        <w:spacing w:before="120" w:after="120"/>
        <w:ind w:left="425" w:hanging="68"/>
        <w:jc w:val="both"/>
        <w:rPr>
          <w:rFonts w:ascii="Arial" w:hAnsi="Arial" w:cs="Arial"/>
          <w:color w:val="000000"/>
          <w:sz w:val="22"/>
          <w:szCs w:val="22"/>
          <w:shd w:fill="FFFFFF" w:val="clear"/>
        </w:rPr>
      </w:pPr>
      <w:r>
        <w:rPr>
          <w:rFonts w:cs="Arial" w:ascii="Arial" w:hAnsi="Arial"/>
          <w:sz w:val="22"/>
          <w:szCs w:val="22"/>
        </w:rPr>
        <w:t xml:space="preserve">Une enveloppe de </w:t>
      </w:r>
      <w:r>
        <w:rPr>
          <w:rFonts w:cs="Arial" w:ascii="Arial" w:hAnsi="Arial"/>
          <w:b/>
          <w:sz w:val="22"/>
          <w:szCs w:val="22"/>
        </w:rPr>
        <w:t>0.3</w:t>
      </w:r>
      <w:r>
        <w:rPr>
          <w:rFonts w:cs="Arial" w:ascii="Arial" w:hAnsi="Arial"/>
          <w:sz w:val="22"/>
          <w:szCs w:val="22"/>
        </w:rPr>
        <w:t>% au titre des augmentations individuelles.</w:t>
      </w:r>
    </w:p>
    <w:p>
      <w:pPr>
        <w:pStyle w:val="Normal"/>
        <w:spacing w:before="120" w:after="120"/>
        <w:ind w:left="425" w:hanging="0"/>
        <w:jc w:val="both"/>
        <w:rPr>
          <w:rFonts w:ascii="Arial" w:hAnsi="Arial" w:cs="Arial"/>
          <w:color w:val="000000"/>
          <w:sz w:val="14"/>
          <w:szCs w:val="14"/>
          <w:shd w:fill="FFFFFF" w:val="clear"/>
        </w:rPr>
      </w:pPr>
      <w:r>
        <w:rPr>
          <w:rFonts w:cs="Arial" w:ascii="Arial" w:hAnsi="Arial"/>
          <w:color w:val="000000"/>
          <w:sz w:val="14"/>
          <w:szCs w:val="14"/>
          <w:shd w:fill="FFFFFF" w:val="clear"/>
        </w:rPr>
      </w:r>
    </w:p>
    <w:p>
      <w:pPr>
        <w:pStyle w:val="Normal"/>
        <w:spacing w:before="120" w:after="120"/>
        <w:ind w:left="425" w:hanging="0"/>
        <w:jc w:val="both"/>
        <w:rPr>
          <w:rFonts w:ascii="Arial" w:hAnsi="Arial" w:cs="Arial"/>
          <w:color w:val="000000"/>
          <w:sz w:val="14"/>
          <w:szCs w:val="14"/>
          <w:shd w:fill="FFFFFF" w:val="clear"/>
        </w:rPr>
      </w:pPr>
      <w:r>
        <w:rPr>
          <w:rFonts w:cs="Arial" w:ascii="Arial" w:hAnsi="Arial"/>
          <w:color w:val="000000"/>
          <w:sz w:val="14"/>
          <w:szCs w:val="14"/>
          <w:shd w:fill="FFFFFF" w:val="clear"/>
        </w:rPr>
      </w:r>
    </w:p>
    <w:p>
      <w:pPr>
        <w:pStyle w:val="Normal"/>
        <w:spacing w:before="120" w:after="120"/>
        <w:ind w:left="426" w:hanging="0"/>
        <w:jc w:val="both"/>
        <w:rPr/>
      </w:pPr>
      <w:r>
        <w:rPr>
          <w:rFonts w:cs="Arial" w:ascii="Arial" w:hAnsi="Arial"/>
          <w:b/>
          <w:i/>
          <w:color w:val="000000"/>
          <w:sz w:val="22"/>
          <w:szCs w:val="22"/>
          <w:u w:val="single"/>
          <w:shd w:fill="FFFFFF" w:val="clear"/>
        </w:rPr>
        <w:t>Pour le personnel du 2</w:t>
      </w:r>
      <w:r>
        <w:rPr>
          <w:rFonts w:cs="Arial" w:ascii="Arial" w:hAnsi="Arial"/>
          <w:b/>
          <w:i/>
          <w:color w:val="000000"/>
          <w:sz w:val="22"/>
          <w:szCs w:val="22"/>
          <w:u w:val="single"/>
          <w:shd w:fill="FFFFFF" w:val="clear"/>
          <w:vertAlign w:val="superscript"/>
        </w:rPr>
        <w:t>ème</w:t>
      </w:r>
      <w:r>
        <w:rPr>
          <w:rFonts w:cs="Arial" w:ascii="Arial" w:hAnsi="Arial"/>
          <w:b/>
          <w:i/>
          <w:color w:val="000000"/>
          <w:sz w:val="22"/>
          <w:szCs w:val="22"/>
          <w:u w:val="single"/>
          <w:shd w:fill="FFFFFF" w:val="clear"/>
        </w:rPr>
        <w:t xml:space="preserve"> et 3</w:t>
      </w:r>
      <w:r>
        <w:rPr>
          <w:rFonts w:cs="Arial" w:ascii="Arial" w:hAnsi="Arial"/>
          <w:b/>
          <w:i/>
          <w:color w:val="000000"/>
          <w:sz w:val="22"/>
          <w:szCs w:val="22"/>
          <w:u w:val="single"/>
          <w:shd w:fill="FFFFFF" w:val="clear"/>
          <w:vertAlign w:val="superscript"/>
        </w:rPr>
        <w:t>ème</w:t>
      </w:r>
      <w:r>
        <w:rPr>
          <w:rFonts w:cs="Arial" w:ascii="Arial" w:hAnsi="Arial"/>
          <w:b/>
          <w:i/>
          <w:color w:val="000000"/>
          <w:sz w:val="22"/>
          <w:szCs w:val="22"/>
          <w:u w:val="single"/>
          <w:shd w:fill="FFFFFF" w:val="clear"/>
        </w:rPr>
        <w:t xml:space="preserve"> collège :</w:t>
      </w:r>
      <w:r>
        <w:rPr>
          <w:rFonts w:cs="Arial" w:ascii="Arial" w:hAnsi="Arial"/>
          <w:i/>
          <w:color w:val="000000"/>
          <w:sz w:val="22"/>
          <w:szCs w:val="22"/>
          <w:shd w:fill="FFFFFF" w:val="clear"/>
        </w:rPr>
        <w:t xml:space="preserve"> </w:t>
      </w:r>
    </w:p>
    <w:p>
      <w:pPr>
        <w:pStyle w:val="Normal"/>
        <w:numPr>
          <w:ilvl w:val="0"/>
          <w:numId w:val="1"/>
        </w:numPr>
        <w:spacing w:before="120" w:after="120"/>
        <w:ind w:left="425" w:hanging="68"/>
        <w:jc w:val="both"/>
        <w:rPr>
          <w:rFonts w:ascii="Arial" w:hAnsi="Arial" w:cs="Arial"/>
          <w:color w:val="000000"/>
          <w:sz w:val="22"/>
          <w:szCs w:val="22"/>
          <w:highlight w:val="white"/>
        </w:rPr>
      </w:pPr>
      <w:r>
        <w:rPr>
          <w:rFonts w:cs="Arial" w:ascii="Arial" w:hAnsi="Arial"/>
          <w:b/>
          <w:color w:val="000000"/>
          <w:sz w:val="22"/>
          <w:szCs w:val="22"/>
          <w:shd w:fill="FFFFFF" w:val="clear"/>
        </w:rPr>
        <w:t xml:space="preserve">3% </w:t>
      </w:r>
      <w:r>
        <w:rPr>
          <w:rFonts w:cs="Arial" w:ascii="Arial" w:hAnsi="Arial"/>
          <w:color w:val="000000"/>
          <w:sz w:val="22"/>
          <w:szCs w:val="22"/>
          <w:shd w:fill="FFFFFF" w:val="clear"/>
        </w:rPr>
        <w:t xml:space="preserve">d’augmentation générale </w:t>
      </w:r>
    </w:p>
    <w:p>
      <w:pPr>
        <w:pStyle w:val="Normal"/>
        <w:numPr>
          <w:ilvl w:val="0"/>
          <w:numId w:val="1"/>
        </w:numPr>
        <w:spacing w:before="120" w:after="120"/>
        <w:ind w:left="425" w:hanging="68"/>
        <w:jc w:val="both"/>
        <w:rPr>
          <w:rFonts w:ascii="Arial" w:hAnsi="Arial" w:cs="Arial"/>
          <w:b/>
          <w:b/>
          <w:color w:val="000000"/>
          <w:sz w:val="22"/>
          <w:szCs w:val="22"/>
          <w:highlight w:val="white"/>
        </w:rPr>
      </w:pPr>
      <w:r>
        <w:rPr>
          <w:rFonts w:cs="Arial" w:ascii="Arial" w:hAnsi="Arial"/>
          <w:color w:val="000000"/>
          <w:sz w:val="22"/>
          <w:szCs w:val="22"/>
          <w:shd w:fill="FFFFFF" w:val="clear"/>
        </w:rPr>
        <w:t xml:space="preserve">la direction conserve le principe des augmentations individuelles pour cette catégorie avec une enveloppe de </w:t>
      </w:r>
      <w:r>
        <w:rPr>
          <w:rFonts w:cs="Arial" w:ascii="Arial" w:hAnsi="Arial"/>
          <w:b/>
          <w:color w:val="000000"/>
          <w:sz w:val="22"/>
          <w:szCs w:val="22"/>
          <w:shd w:fill="FFFFFF" w:val="clear"/>
        </w:rPr>
        <w:t xml:space="preserve">0.6%. </w:t>
      </w:r>
    </w:p>
    <w:p>
      <w:pPr>
        <w:pStyle w:val="Normal"/>
        <w:spacing w:before="120" w:after="120"/>
        <w:ind w:left="425" w:hanging="0"/>
        <w:jc w:val="both"/>
        <w:rPr>
          <w:rFonts w:ascii="Arial" w:hAnsi="Arial" w:cs="Arial"/>
          <w:b/>
          <w:b/>
          <w:color w:val="000000"/>
          <w:sz w:val="22"/>
          <w:szCs w:val="22"/>
          <w:u w:val="single"/>
          <w:shd w:fill="FFFFFF" w:val="clear"/>
        </w:rPr>
      </w:pPr>
      <w:r>
        <w:rPr>
          <w:rFonts w:cs="Arial" w:ascii="Arial" w:hAnsi="Arial"/>
          <w:b/>
          <w:color w:val="000000"/>
          <w:sz w:val="22"/>
          <w:szCs w:val="22"/>
          <w:u w:val="single"/>
          <w:shd w:fill="FFFFFF" w:val="clear"/>
        </w:rPr>
      </w:r>
    </w:p>
    <w:p>
      <w:pPr>
        <w:pStyle w:val="Normal"/>
        <w:spacing w:before="120" w:after="120"/>
        <w:ind w:left="425" w:hanging="0"/>
        <w:jc w:val="both"/>
        <w:rPr/>
      </w:pPr>
      <w:r>
        <w:rPr>
          <w:rFonts w:cs="Arial" w:ascii="Arial" w:hAnsi="Arial"/>
          <w:b/>
          <w:i/>
          <w:sz w:val="22"/>
          <w:szCs w:val="22"/>
          <w:u w:val="single"/>
        </w:rPr>
        <w:t>Pour tous : p</w:t>
      </w:r>
      <w:r>
        <w:rPr>
          <w:rFonts w:cs="Arial" w:ascii="Arial" w:hAnsi="Arial"/>
          <w:b/>
          <w:i/>
          <w:color w:val="000000"/>
          <w:sz w:val="22"/>
          <w:szCs w:val="22"/>
          <w:u w:val="single"/>
          <w:shd w:fill="FFFFFF" w:val="clear"/>
        </w:rPr>
        <w:t>rimes d’équipes, de panier et d’astreinte</w:t>
      </w:r>
    </w:p>
    <w:p>
      <w:pPr>
        <w:pStyle w:val="Normal"/>
        <w:spacing w:before="120" w:after="120"/>
        <w:ind w:left="426" w:hanging="0"/>
        <w:jc w:val="both"/>
        <w:rPr>
          <w:rFonts w:ascii="Arial" w:hAnsi="Arial" w:cs="Arial"/>
          <w:sz w:val="22"/>
          <w:szCs w:val="22"/>
        </w:rPr>
      </w:pPr>
      <w:r>
        <w:rPr>
          <w:rFonts w:cs="Arial" w:ascii="Arial" w:hAnsi="Arial"/>
          <w:sz w:val="22"/>
          <w:szCs w:val="22"/>
        </w:rPr>
        <w:t>Revalorisation des primes de panier, de transport et d’équipes de jour et de nuit à hauteur de 3.3</w:t>
      </w:r>
      <w:r>
        <w:rPr>
          <w:rFonts w:cs="Arial" w:ascii="Arial" w:hAnsi="Arial"/>
          <w:b/>
          <w:sz w:val="22"/>
          <w:szCs w:val="22"/>
        </w:rPr>
        <w:t>%</w:t>
      </w:r>
      <w:r>
        <w:rPr>
          <w:rFonts w:cs="Arial" w:ascii="Arial" w:hAnsi="Arial"/>
          <w:sz w:val="22"/>
          <w:szCs w:val="22"/>
        </w:rPr>
        <w:t xml:space="preserve">. </w:t>
      </w:r>
    </w:p>
    <w:p>
      <w:pPr>
        <w:pStyle w:val="Normal"/>
        <w:spacing w:before="120" w:after="120"/>
        <w:ind w:left="426" w:hanging="0"/>
        <w:jc w:val="both"/>
        <w:rPr>
          <w:rFonts w:ascii="Arial" w:hAnsi="Arial" w:cs="Arial"/>
          <w:sz w:val="22"/>
          <w:szCs w:val="22"/>
        </w:rPr>
      </w:pPr>
      <w:r>
        <w:rPr>
          <w:rFonts w:cs="Arial" w:ascii="Arial" w:hAnsi="Arial"/>
          <w:sz w:val="22"/>
          <w:szCs w:val="22"/>
        </w:rPr>
        <w:t>Revalorisation de la prime d’astreinte à hauteur de 3.3%.</w:t>
      </w:r>
    </w:p>
    <w:p>
      <w:pPr>
        <w:pStyle w:val="Normal"/>
        <w:spacing w:before="120" w:after="120"/>
        <w:ind w:left="426" w:hanging="0"/>
        <w:jc w:val="both"/>
        <w:rPr>
          <w:rFonts w:ascii="Arial" w:hAnsi="Arial" w:cs="Arial"/>
          <w:sz w:val="22"/>
          <w:szCs w:val="22"/>
        </w:rPr>
      </w:pPr>
      <w:r>
        <w:rPr>
          <w:rFonts w:cs="Arial" w:ascii="Arial" w:hAnsi="Arial"/>
          <w:sz w:val="22"/>
          <w:szCs w:val="22"/>
        </w:rPr>
        <w:t>Une prime de panier sera versée à tous les salariés travaillant les jours où le restaurant d’entreprise est fermé.</w:t>
      </w:r>
    </w:p>
    <w:p>
      <w:pPr>
        <w:pStyle w:val="Normal"/>
        <w:spacing w:before="120" w:after="120"/>
        <w:jc w:val="both"/>
        <w:rPr>
          <w:rFonts w:ascii="Arial" w:hAnsi="Arial" w:cs="Arial"/>
          <w:b/>
          <w:b/>
          <w:color w:val="000000"/>
          <w:sz w:val="22"/>
          <w:szCs w:val="22"/>
          <w:shd w:fill="FFFFFF" w:val="clear"/>
        </w:rPr>
      </w:pPr>
      <w:r>
        <w:rPr>
          <w:rFonts w:cs="Arial" w:ascii="Arial" w:hAnsi="Arial"/>
          <w:b/>
          <w:color w:val="000000"/>
          <w:sz w:val="22"/>
          <w:szCs w:val="22"/>
          <w:shd w:fill="FFFFFF" w:val="clear"/>
        </w:rPr>
      </w:r>
    </w:p>
    <w:p>
      <w:pPr>
        <w:pStyle w:val="Normal"/>
        <w:jc w:val="both"/>
        <w:rPr>
          <w:rFonts w:ascii="Arial" w:hAnsi="Arial" w:cs="Arial"/>
          <w:b/>
          <w:b/>
          <w:color w:val="000000"/>
          <w:sz w:val="22"/>
          <w:szCs w:val="22"/>
          <w:shd w:fill="FFFFFF" w:val="clear"/>
        </w:rPr>
      </w:pPr>
      <w:r>
        <w:rPr>
          <w:rFonts w:cs="Arial" w:ascii="Arial" w:hAnsi="Arial"/>
          <w:b/>
          <w:color w:val="000000"/>
          <w:sz w:val="22"/>
          <w:szCs w:val="22"/>
          <w:shd w:fill="FFFFFF" w:val="clear"/>
        </w:rPr>
      </w:r>
    </w:p>
    <w:p>
      <w:pPr>
        <w:pStyle w:val="Normal"/>
        <w:spacing w:before="120" w:after="120"/>
        <w:jc w:val="both"/>
        <w:rPr/>
      </w:pPr>
      <w:r>
        <w:rPr>
          <w:rFonts w:cs="Arial" w:ascii="Arial" w:hAnsi="Arial"/>
          <w:b/>
          <w:sz w:val="22"/>
          <w:szCs w:val="22"/>
          <w:u w:val="single"/>
        </w:rPr>
        <w:t>Article II. Modalités d’application</w:t>
      </w:r>
    </w:p>
    <w:p>
      <w:pPr>
        <w:pStyle w:val="Normal"/>
        <w:jc w:val="both"/>
        <w:rPr>
          <w:rFonts w:ascii="Arial" w:hAnsi="Arial" w:cs="Arial"/>
          <w:sz w:val="22"/>
          <w:szCs w:val="22"/>
        </w:rPr>
      </w:pPr>
      <w:r>
        <w:rPr>
          <w:rFonts w:cs="Arial" w:ascii="Arial" w:hAnsi="Arial"/>
          <w:sz w:val="22"/>
          <w:szCs w:val="22"/>
        </w:rPr>
        <w:t xml:space="preserve">Les augmentations de salaire auront pour assiette les salaires de base au 30 septembre 2021. </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Il est en outre précisé que ces mesures prendront effet au </w:t>
      </w:r>
      <w:r>
        <w:rPr>
          <w:rFonts w:cs="Arial" w:ascii="Arial" w:hAnsi="Arial"/>
          <w:b/>
          <w:sz w:val="22"/>
          <w:szCs w:val="22"/>
        </w:rPr>
        <w:t>1</w:t>
      </w:r>
      <w:r>
        <w:rPr>
          <w:rFonts w:cs="Arial" w:ascii="Arial" w:hAnsi="Arial"/>
          <w:b/>
          <w:sz w:val="22"/>
          <w:szCs w:val="22"/>
          <w:vertAlign w:val="superscript"/>
        </w:rPr>
        <w:t>er</w:t>
      </w:r>
      <w:r>
        <w:rPr>
          <w:rFonts w:cs="Arial" w:ascii="Arial" w:hAnsi="Arial"/>
          <w:sz w:val="22"/>
          <w:szCs w:val="22"/>
        </w:rPr>
        <w:t xml:space="preserve"> </w:t>
      </w:r>
      <w:r>
        <w:rPr>
          <w:rFonts w:cs="Arial" w:ascii="Arial" w:hAnsi="Arial"/>
          <w:b/>
          <w:sz w:val="22"/>
          <w:szCs w:val="22"/>
        </w:rPr>
        <w:t>janvier 2022</w:t>
      </w:r>
      <w:r>
        <w:rPr>
          <w:rFonts w:cs="Arial" w:ascii="Arial" w:hAnsi="Arial"/>
          <w:sz w:val="22"/>
          <w:szCs w:val="22"/>
        </w:rPr>
        <w:t>.</w:t>
      </w:r>
      <w:r>
        <w:rPr>
          <w:rFonts w:cs="Arial" w:ascii="Arial" w:hAnsi="Arial"/>
          <w:color w:val="FF0000"/>
          <w:sz w:val="22"/>
          <w:szCs w:val="22"/>
        </w:rPr>
        <w:t xml:space="preserve"> </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sz w:val="22"/>
          <w:szCs w:val="22"/>
        </w:rPr>
      </w:pPr>
      <w:r>
        <w:rPr>
          <w:rFonts w:cs="Arial" w:ascii="Arial" w:hAnsi="Arial"/>
          <w:sz w:val="22"/>
          <w:szCs w:val="22"/>
          <w:highlight w:val="yellow"/>
        </w:rPr>
        <w:t>La Direction et les organisations syndicales conviennent qu’un point spécifique sur le sujet des rémunérations serait fait lors de la deuxième quinzaine de juillet si jamais l’augmentation l’inflation sur 12 mois glissants dépassait les 3.6% (indice INSEE IPC).</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color w:val="FF0000"/>
          <w:sz w:val="22"/>
          <w:szCs w:val="22"/>
        </w:rPr>
      </w:pPr>
      <w:r>
        <w:rPr>
          <w:rFonts w:cs="Arial" w:ascii="Arial" w:hAnsi="Arial"/>
          <w:color w:val="FF0000"/>
          <w:sz w:val="22"/>
          <w:szCs w:val="22"/>
        </w:rPr>
      </w:r>
    </w:p>
    <w:p>
      <w:pPr>
        <w:pStyle w:val="Normal"/>
        <w:rPr/>
      </w:pPr>
      <w:r>
        <w:rPr>
          <w:rFonts w:cs="Arial" w:ascii="Arial" w:hAnsi="Arial"/>
          <w:b/>
          <w:sz w:val="22"/>
          <w:szCs w:val="22"/>
          <w:u w:val="single"/>
        </w:rPr>
        <w:t>Article III.  Organisation du temps de travail</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L’organisation du temps de travail 2022 a été définie lors de réunions avec les représentants du personnel et a abouti à la publication des calendriers industriels 2022.</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highlight w:val="yellow"/>
        </w:rPr>
        <w:t>A compter du 1</w:t>
      </w:r>
      <w:r>
        <w:rPr>
          <w:rFonts w:cs="Arial" w:ascii="Arial" w:hAnsi="Arial"/>
          <w:sz w:val="22"/>
          <w:szCs w:val="22"/>
          <w:highlight w:val="yellow"/>
          <w:vertAlign w:val="superscript"/>
        </w:rPr>
        <w:t>er</w:t>
      </w:r>
      <w:r>
        <w:rPr>
          <w:rFonts w:cs="Arial" w:ascii="Arial" w:hAnsi="Arial"/>
          <w:sz w:val="22"/>
          <w:szCs w:val="22"/>
          <w:highlight w:val="yellow"/>
        </w:rPr>
        <w:t xml:space="preserve"> janvier 2022, il sera possible d’utiliser les heures du CET par demi journée.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rPr/>
      </w:pPr>
      <w:r>
        <w:rPr>
          <w:rFonts w:cs="Arial" w:ascii="Arial" w:hAnsi="Arial"/>
          <w:b/>
          <w:sz w:val="22"/>
          <w:szCs w:val="22"/>
          <w:u w:val="single"/>
        </w:rPr>
        <w:t>Article IV.  Egalité Hommes-femmes au sein de l'entreprise</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La Direction a réaffirmé sa volonté de continuer à travailler à l’ouverture des postes aux femmes tant sur les recrutements internes qu’externes. L’effectif féminin est actuellement de 17%. L’entreprise se donne l’objectif de porter ce chiffre à 20% en 2022.</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Une attention particulière sera portée dans l’attribution des augmentations individuelles aux femmes afin de continuer à atteindre une homogénéité entre le salaire des hommes et des femmes.</w:t>
      </w:r>
    </w:p>
    <w:p>
      <w:pPr>
        <w:pStyle w:val="Normal"/>
        <w:jc w:val="both"/>
        <w:rPr/>
      </w:pPr>
      <w:r>
        <w:rPr>
          <w:rFonts w:cs="Arial" w:ascii="Arial" w:hAnsi="Arial"/>
          <w:sz w:val="22"/>
          <w:szCs w:val="22"/>
        </w:rPr>
        <w:t>De la même façon, le plan de formation 2022 sera déployé de telle façon que l’on puisse faciliter l’accession des femmes à de la polyvalence et à des promotions en interne.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u w:val="single"/>
        </w:rPr>
      </w:pPr>
      <w:r>
        <w:rPr>
          <w:rFonts w:cs="Arial" w:ascii="Arial" w:hAnsi="Arial"/>
          <w:b/>
          <w:sz w:val="22"/>
          <w:szCs w:val="22"/>
          <w:u w:val="single"/>
        </w:rPr>
        <w:t>Article V.  Travail des seniors</w:t>
      </w:r>
    </w:p>
    <w:p>
      <w:pPr>
        <w:pStyle w:val="Normal"/>
        <w:jc w:val="both"/>
        <w:rPr>
          <w:rFonts w:ascii="Arial" w:hAnsi="Arial" w:cs="Arial"/>
          <w:sz w:val="22"/>
          <w:szCs w:val="22"/>
          <w:u w:val="single"/>
        </w:rPr>
      </w:pPr>
      <w:r>
        <w:rPr>
          <w:rFonts w:cs="Arial" w:ascii="Arial" w:hAnsi="Arial"/>
          <w:sz w:val="22"/>
          <w:szCs w:val="22"/>
          <w:u w:val="single"/>
        </w:rPr>
      </w:r>
    </w:p>
    <w:p>
      <w:pPr>
        <w:pStyle w:val="Normal"/>
        <w:jc w:val="both"/>
        <w:rPr>
          <w:rFonts w:ascii="Arial" w:hAnsi="Arial" w:cs="Arial"/>
          <w:sz w:val="22"/>
          <w:szCs w:val="22"/>
        </w:rPr>
      </w:pPr>
      <w:r>
        <w:rPr>
          <w:rFonts w:cs="Arial" w:ascii="Arial" w:hAnsi="Arial"/>
          <w:sz w:val="22"/>
          <w:szCs w:val="22"/>
        </w:rPr>
        <w:t xml:space="preserve">Une cartographie des postes moins sollicitants physiquement sera effectuée. Ces postes, lorsqu’ils seront vacants, seront proposés en priorité aux salariés de plus de 55 ans le souhaitant. </w:t>
      </w:r>
    </w:p>
    <w:p>
      <w:pPr>
        <w:pStyle w:val="Normal"/>
        <w:jc w:val="both"/>
        <w:rPr>
          <w:rFonts w:ascii="Arial" w:hAnsi="Arial" w:cs="Arial"/>
          <w:sz w:val="22"/>
          <w:szCs w:val="22"/>
        </w:rPr>
      </w:pPr>
      <w:r>
        <w:rPr>
          <w:rFonts w:cs="Arial" w:ascii="Arial" w:hAnsi="Arial"/>
          <w:sz w:val="22"/>
          <w:szCs w:val="22"/>
        </w:rPr>
        <w:t>Afin d’identifier plus facilement ces personnes, le support d’entretien professionnel sera modifié en ce sens.</w:t>
      </w:r>
    </w:p>
    <w:p>
      <w:pPr>
        <w:pStyle w:val="Normal"/>
        <w:jc w:val="both"/>
        <w:rPr>
          <w:rFonts w:ascii="Arial" w:hAnsi="Arial" w:cs="Arial"/>
          <w:sz w:val="22"/>
          <w:szCs w:val="22"/>
        </w:rPr>
      </w:pPr>
      <w:r>
        <w:rPr>
          <w:rFonts w:cs="Arial" w:ascii="Arial" w:hAnsi="Arial"/>
          <w:sz w:val="22"/>
          <w:szCs w:val="22"/>
        </w:rPr>
        <w:t>Toutes les personnes de 55 ans et plus présentes au 1</w:t>
      </w:r>
      <w:r>
        <w:rPr>
          <w:rFonts w:cs="Arial" w:ascii="Arial" w:hAnsi="Arial"/>
          <w:sz w:val="22"/>
          <w:szCs w:val="22"/>
          <w:vertAlign w:val="superscript"/>
        </w:rPr>
        <w:t>er</w:t>
      </w:r>
      <w:r>
        <w:rPr>
          <w:rFonts w:cs="Arial" w:ascii="Arial" w:hAnsi="Arial"/>
          <w:sz w:val="22"/>
          <w:szCs w:val="22"/>
        </w:rPr>
        <w:t xml:space="preserve"> janvier 2022 dans l’entreprise seront reçues par leur manager </w:t>
      </w:r>
      <w:r>
        <w:rPr>
          <w:rFonts w:cs="Arial" w:ascii="Arial" w:hAnsi="Arial"/>
          <w:sz w:val="22"/>
          <w:szCs w:val="22"/>
          <w:highlight w:val="yellow"/>
        </w:rPr>
        <w:t>au plus tard</w:t>
      </w:r>
      <w:r>
        <w:rPr>
          <w:rFonts w:cs="Arial" w:ascii="Arial" w:hAnsi="Arial"/>
          <w:sz w:val="22"/>
          <w:szCs w:val="22"/>
        </w:rPr>
        <w:t xml:space="preserve"> avant le 31 décembre 2022 pour faire un bilan sur ce sujet.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u w:val="single"/>
        </w:rPr>
      </w:pPr>
      <w:r>
        <w:rPr>
          <w:rFonts w:cs="Arial" w:ascii="Arial" w:hAnsi="Arial"/>
          <w:b/>
          <w:sz w:val="22"/>
          <w:szCs w:val="22"/>
          <w:u w:val="single"/>
        </w:rPr>
        <w:t>Article VI.  Champ d'application</w:t>
      </w:r>
    </w:p>
    <w:p>
      <w:pPr>
        <w:pStyle w:val="Normal"/>
        <w:jc w:val="both"/>
        <w:rPr>
          <w:rFonts w:ascii="Arial" w:hAnsi="Arial" w:cs="Arial"/>
          <w:sz w:val="22"/>
          <w:szCs w:val="22"/>
          <w:u w:val="single"/>
        </w:rPr>
      </w:pPr>
      <w:r>
        <w:rPr>
          <w:rFonts w:cs="Arial" w:ascii="Arial" w:hAnsi="Arial"/>
          <w:sz w:val="22"/>
          <w:szCs w:val="22"/>
          <w:u w:val="single"/>
        </w:rPr>
      </w:r>
    </w:p>
    <w:p>
      <w:pPr>
        <w:pStyle w:val="Normal"/>
        <w:jc w:val="both"/>
        <w:rPr>
          <w:rFonts w:ascii="Arial" w:hAnsi="Arial" w:cs="Arial"/>
          <w:sz w:val="22"/>
          <w:szCs w:val="22"/>
        </w:rPr>
      </w:pPr>
      <w:r>
        <w:rPr>
          <w:rFonts w:cs="Arial" w:ascii="Arial" w:hAnsi="Arial"/>
          <w:sz w:val="22"/>
          <w:szCs w:val="22"/>
        </w:rPr>
        <w:t>Le présent accord s'applique pour l'ensemble des salariés titulaires d’un contrat de travail TRIGANO VDL.</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u w:val="single"/>
        </w:rPr>
      </w:pPr>
      <w:r>
        <w:rPr>
          <w:rFonts w:cs="Arial" w:ascii="Arial" w:hAnsi="Arial"/>
          <w:b/>
          <w:sz w:val="22"/>
          <w:szCs w:val="22"/>
          <w:u w:val="single"/>
        </w:rPr>
        <w:t>Article VII. Publicité et dépôt</w:t>
      </w:r>
    </w:p>
    <w:p>
      <w:pPr>
        <w:pStyle w:val="Normal"/>
        <w:autoSpaceDE w:val="false"/>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sz w:val="22"/>
          <w:szCs w:val="22"/>
        </w:rPr>
        <w:t>Conformément à l'article L.2231-6 du Code du Travail, le présent accord qui constitue la clôture des négociations annuelles obligatoires pour l'année 2022 sera déposé par TRIGANO VDL en deux exemplaires sur le site teleaccords. travail-emploi.gouv dont une version anonymisée afin de répondre à l’obligation de publicité, et un exemplaire original auprès du secrétariat greffe du conseil des prud'hommes d'Annonay</w:t>
      </w:r>
      <w:r>
        <w:rPr>
          <w:rFonts w:cs="Arial" w:ascii="Arial" w:hAnsi="Arial"/>
          <w:color w:val="FF0000"/>
          <w:sz w:val="22"/>
          <w:szCs w:val="22"/>
        </w:rPr>
        <w:t>.</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sz w:val="22"/>
          <w:szCs w:val="22"/>
        </w:rPr>
      </w:pPr>
      <w:r>
        <w:rPr>
          <w:rFonts w:cs="Arial" w:ascii="Arial" w:hAnsi="Arial"/>
          <w:sz w:val="22"/>
          <w:szCs w:val="22"/>
        </w:rPr>
        <w:t>Il en est remis en outre un exemplaire original à chaque partie signataire.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Le présent accord sera porté à la connaissance du personnel par voie d'affichage.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Fait à TOURNON,  le 1er février 2022</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Pour la Société</w:t>
        <w:tab/>
        <w:tab/>
        <w:tab/>
        <w:tab/>
        <w:tab/>
        <w:tab/>
        <w:t>Pour les organisations syndicales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M.</w:t>
        <w:tab/>
        <w:tab/>
        <w:tab/>
        <w:tab/>
        <w:tab/>
      </w:r>
    </w:p>
    <w:p>
      <w:pPr>
        <w:pStyle w:val="Normal"/>
        <w:jc w:val="both"/>
        <w:rPr>
          <w:rFonts w:ascii="Arial" w:hAnsi="Arial" w:cs="Arial"/>
          <w:sz w:val="22"/>
          <w:szCs w:val="22"/>
        </w:rPr>
      </w:pPr>
      <w:r>
        <w:rPr>
          <w:rFonts w:cs="Arial" w:ascii="Arial" w:hAnsi="Arial"/>
          <w:sz w:val="22"/>
          <w:szCs w:val="22"/>
        </w:rPr>
        <w:t>Directeur Général</w:t>
        <w:tab/>
        <w:tab/>
        <w:tab/>
        <w:tab/>
        <w:tab/>
        <w:tab/>
        <w:t>Délégué syndical CFDT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ab/>
        <w:tab/>
        <w:tab/>
        <w:tab/>
        <w:tab/>
        <w:tab/>
        <w:tab/>
      </w:r>
    </w:p>
    <w:p>
      <w:pPr>
        <w:pStyle w:val="Normal"/>
        <w:ind w:left="5040" w:firstLine="720"/>
        <w:jc w:val="both"/>
        <w:rPr>
          <w:rFonts w:ascii="Arial" w:hAnsi="Arial" w:cs="Arial"/>
          <w:sz w:val="22"/>
          <w:szCs w:val="22"/>
        </w:rPr>
      </w:pPr>
      <w:r>
        <w:rPr>
          <w:rFonts w:cs="Arial" w:ascii="Arial" w:hAnsi="Arial"/>
          <w:sz w:val="22"/>
          <w:szCs w:val="22"/>
        </w:rPr>
        <w:t>Délégué Syndical CFDT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ab/>
        <w:tab/>
        <w:tab/>
        <w:tab/>
        <w:tab/>
        <w:tab/>
        <w:tab/>
        <w:tab/>
      </w:r>
    </w:p>
    <w:p>
      <w:pPr>
        <w:pStyle w:val="Normal"/>
        <w:jc w:val="both"/>
        <w:rPr>
          <w:rFonts w:ascii="Arial" w:hAnsi="Arial" w:cs="Arial"/>
          <w:sz w:val="22"/>
          <w:szCs w:val="22"/>
        </w:rPr>
      </w:pPr>
      <w:r>
        <w:rPr>
          <w:rFonts w:cs="Arial" w:ascii="Arial" w:hAnsi="Arial"/>
          <w:sz w:val="22"/>
          <w:szCs w:val="22"/>
        </w:rPr>
        <w:tab/>
        <w:tab/>
        <w:tab/>
        <w:tab/>
        <w:tab/>
        <w:tab/>
        <w:tab/>
        <w:tab/>
        <w:t>Délégué Syndical CFE-CGC</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ab/>
        <w:tab/>
        <w:tab/>
        <w:tab/>
        <w:tab/>
        <w:tab/>
        <w:tab/>
        <w:tab/>
      </w:r>
    </w:p>
    <w:p>
      <w:pPr>
        <w:pStyle w:val="Normal"/>
        <w:jc w:val="both"/>
        <w:rPr>
          <w:rFonts w:ascii="Arial" w:hAnsi="Arial" w:cs="Arial"/>
          <w:sz w:val="22"/>
          <w:szCs w:val="22"/>
        </w:rPr>
      </w:pPr>
      <w:r>
        <w:rPr>
          <w:rFonts w:cs="Arial" w:ascii="Arial" w:hAnsi="Arial"/>
          <w:sz w:val="22"/>
          <w:szCs w:val="22"/>
        </w:rPr>
        <w:tab/>
        <w:tab/>
        <w:tab/>
        <w:tab/>
        <w:tab/>
        <w:tab/>
        <w:tab/>
        <w:tab/>
        <w:t>Délégué Syndical CGT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ab/>
        <w:tab/>
        <w:tab/>
        <w:tab/>
        <w:tab/>
        <w:tab/>
        <w:tab/>
        <w:tab/>
      </w:r>
    </w:p>
    <w:p>
      <w:pPr>
        <w:pStyle w:val="Normal"/>
        <w:jc w:val="both"/>
        <w:rPr>
          <w:rFonts w:ascii="Arial" w:hAnsi="Arial" w:cs="Arial"/>
          <w:sz w:val="22"/>
          <w:szCs w:val="22"/>
        </w:rPr>
      </w:pPr>
      <w:r>
        <w:rPr>
          <w:rFonts w:cs="Arial" w:ascii="Arial" w:hAnsi="Arial"/>
          <w:sz w:val="22"/>
          <w:szCs w:val="22"/>
        </w:rPr>
        <w:tab/>
        <w:tab/>
        <w:tab/>
        <w:tab/>
        <w:tab/>
        <w:tab/>
        <w:tab/>
        <w:tab/>
        <w:t>Délégué Syndical F.O</w:t>
      </w:r>
    </w:p>
    <w:sectPr>
      <w:footerReference w:type="default" r:id="rId2"/>
      <w:type w:val="nextPage"/>
      <w:pgSz w:w="11906" w:h="16838"/>
      <w:pgMar w:left="1417" w:right="1417" w:header="0" w:top="1276" w:footer="708"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Akzidenz Grotesk BE Bold">
    <w:charset w:val="00"/>
    <w:family w:val="swiss"/>
    <w:pitch w:val="default"/>
  </w:font>
  <w:font w:name="Helvetica">
    <w:altName w:val="Arial"/>
    <w:charset w:val="00"/>
    <w:family w:val="swiss"/>
    <w:pitch w:val="variable"/>
  </w:font>
  <w:font w:name="Akzidenz Grotesk BE">
    <w:charset w:val="00"/>
    <w:family w:val="swiss"/>
    <w:pitch w:val="default"/>
  </w:font>
  <w:font w:name="Tahoma">
    <w:charset w:val="00"/>
    <w:family w:val="swiss"/>
    <w:pitch w:val="variable"/>
  </w:font>
  <w:font w:name="Calibri">
    <w:charset w:val="00"/>
    <w:family w:val="swiss"/>
    <w:pitch w:val="variable"/>
  </w:font>
  <w:font w:name="Arial Narro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Narrow" w:ascii="Arial Narrow" w:hAnsi="Arial Narrow"/>
        <w:color w:val="808080"/>
        <w:sz w:val="16"/>
        <w:szCs w:val="16"/>
      </w:rPr>
      <w:tab/>
      <w:tab/>
      <w:t xml:space="preserve">Page </w:t>
    </w:r>
    <w:r>
      <w:rPr>
        <w:rFonts w:cs="Arial Narrow" w:ascii="Arial Narrow" w:hAnsi="Arial Narrow"/>
        <w:color w:val="808080"/>
        <w:sz w:val="16"/>
        <w:szCs w:val="16"/>
      </w:rPr>
      <w:fldChar w:fldCharType="begin"/>
    </w:r>
    <w:r>
      <w:instrText> PAGE </w:instrText>
    </w:r>
    <w:r>
      <w:fldChar w:fldCharType="separate"/>
    </w:r>
    <w:r>
      <w:t>4</w:t>
    </w:r>
    <w:r>
      <w:fldChar w:fldCharType="end"/>
    </w:r>
    <w:r>
      <w:rPr>
        <w:rFonts w:cs="Arial Narrow" w:ascii="Arial Narrow" w:hAnsi="Arial Narrow"/>
        <w:color w:val="808080"/>
        <w:sz w:val="16"/>
        <w:szCs w:val="16"/>
      </w:rPr>
      <w:t xml:space="preserve"> sur </w:t>
    </w:r>
    <w:r>
      <w:rPr>
        <w:rFonts w:cs="Arial Narrow" w:ascii="Arial Narrow" w:hAnsi="Arial Narrow"/>
        <w:color w:val="808080"/>
        <w:sz w:val="16"/>
        <w:szCs w:val="16"/>
      </w:rPr>
      <w:fldChar w:fldCharType="begin"/>
    </w:r>
    <w:r>
      <w:instrText> NUMPAGES \* ARABIC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37"/>
        </w:tabs>
        <w:ind w:left="426" w:hanging="66"/>
      </w:pPr>
      <w:rPr>
        <w:rFonts w:ascii="Wingdings" w:hAnsi="Wingdings" w:cs="Wingdings" w:hint="default"/>
        <w:rFonts w:cs="Wingdings"/>
      </w:rPr>
    </w:lvl>
  </w:abstractNum>
  <w:abstractNum w:abstractNumId="2">
    <w:lvl w:ilvl="0">
      <w:start w:val="1"/>
      <w:numFmt w:val="bullet"/>
      <w:lvlText w:val=""/>
      <w:lvlJc w:val="left"/>
      <w:pPr>
        <w:tabs>
          <w:tab w:val="num" w:pos="774"/>
        </w:tabs>
        <w:ind w:left="774" w:hanging="360"/>
      </w:pPr>
      <w:rPr>
        <w:rFonts w:ascii="Wingdings" w:hAnsi="Wingdings" w:cs="Wingdings" w:hint="default"/>
        <w:sz w:val="22"/>
        <w:szCs w:val="22"/>
        <w:rFonts w:cs="Wingdings"/>
      </w:rPr>
    </w:lvl>
  </w:abstractNum>
  <w:abstractNum w:abstractNumId="3">
    <w:lvl w:ilvl="0">
      <w:start w:val="1"/>
      <w:numFmt w:val="bullet"/>
      <w:lvlText w:val=""/>
      <w:lvlJc w:val="left"/>
      <w:pPr>
        <w:tabs>
          <w:tab w:val="num" w:pos="737"/>
        </w:tabs>
        <w:ind w:left="530" w:hanging="17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character" w:styleId="WW8Num1z0">
    <w:name w:val="WW8Num1z0"/>
    <w:qFormat/>
    <w:rPr/>
  </w:style>
  <w:style w:type="character" w:styleId="WW8Num1z1">
    <w:name w:val="WW8Num1z1"/>
    <w:qFormat/>
    <w:rPr>
      <w:rFonts w:ascii="Wingdings" w:hAnsi="Wingdings" w:cs="Wingdings"/>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Wingdings" w:hAnsi="Wingdings" w:eastAsia="Balloon" w:cs="Arial"/>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Wingdings" w:hAnsi="Wingdings" w:eastAsia="Balloon" w:cs="Arial"/>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Wingdings" w:hAnsi="Wingdings" w:eastAsia="Balloon" w:cs="Arial"/>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Wingdings" w:hAnsi="Wingdings" w:eastAsia="Balloon" w:cs="Arial"/>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rPr>
  </w:style>
  <w:style w:type="character" w:styleId="WW8Num10z1">
    <w:name w:val="WW8Num10z1"/>
    <w:qFormat/>
    <w:rPr>
      <w:rFonts w:ascii="Wingdings" w:hAnsi="Wingdings" w:eastAsia="Balloon" w:cs="Arial"/>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Arial" w:hAnsi="Arial" w:eastAsia="Times New Roman" w:cs="Arial"/>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WW8Num14z0">
    <w:name w:val="WW8Num14z0"/>
    <w:qFormat/>
    <w:rPr>
      <w:rFonts w:ascii="Wingdings" w:hAnsi="Wingdings" w:cs="Wingdings"/>
    </w:rPr>
  </w:style>
  <w:style w:type="character" w:styleId="WW8Num14z1">
    <w:name w:val="WW8Num14z1"/>
    <w:qFormat/>
    <w:rPr>
      <w:rFonts w:ascii="Wingdings" w:hAnsi="Wingdings" w:eastAsia="Balloon" w:cs="Arial"/>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style>
  <w:style w:type="character" w:styleId="WW8Num15z1">
    <w:name w:val="WW8Num15z1"/>
    <w:qFormat/>
    <w:rPr>
      <w:rFonts w:ascii="Wingdings" w:hAnsi="Wingdings" w:cs="Wingdings"/>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sz w:val="22"/>
      <w:szCs w:val="22"/>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Wingdings" w:hAnsi="Wingdings" w:eastAsia="Balloon" w:cs="Arial"/>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Arial" w:hAnsi="Arial" w:eastAsia="Times New Roman"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Wingdings" w:hAnsi="Wingdings" w:eastAsia="Balloon" w:cs="Arial"/>
    </w:rPr>
  </w:style>
  <w:style w:type="character" w:styleId="WW8Num21z3">
    <w:name w:val="WW8Num21z3"/>
    <w:qFormat/>
    <w:rPr>
      <w:rFonts w:ascii="Symbol" w:hAnsi="Symbol" w:cs="Symbol"/>
    </w:rPr>
  </w:style>
  <w:style w:type="character" w:styleId="WW8Num21z4">
    <w:name w:val="WW8Num21z4"/>
    <w:qFormat/>
    <w:rPr>
      <w:rFonts w:ascii="Courier New" w:hAnsi="Courier New" w:cs="Courier New"/>
    </w:rPr>
  </w:style>
  <w:style w:type="character" w:styleId="WW8Num22z0">
    <w:name w:val="WW8Num22z0"/>
    <w:qFormat/>
    <w:rPr>
      <w:rFonts w:ascii="Wingdings" w:hAnsi="Wingdings" w:cs="Wingdings"/>
    </w:rPr>
  </w:style>
  <w:style w:type="character" w:styleId="WW8Num22z1">
    <w:name w:val="WW8Num22z1"/>
    <w:qFormat/>
    <w:rPr>
      <w:rFonts w:ascii="Wingdings" w:hAnsi="Wingdings" w:eastAsia="Balloon" w:cs="Arial"/>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Wingdings" w:hAnsi="Wingdings" w:eastAsia="Balloon" w:cs="Arial"/>
    </w:rPr>
  </w:style>
  <w:style w:type="character" w:styleId="WW8Num26z3">
    <w:name w:val="WW8Num26z3"/>
    <w:qFormat/>
    <w:rPr>
      <w:rFonts w:ascii="Symbol" w:hAnsi="Symbol" w:cs="Symbol"/>
    </w:rPr>
  </w:style>
  <w:style w:type="character" w:styleId="WW8Num26z4">
    <w:name w:val="WW8Num26z4"/>
    <w:qFormat/>
    <w:rPr>
      <w:rFonts w:ascii="Courier New" w:hAnsi="Courier New" w:cs="Courier New"/>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Wingdings" w:hAnsi="Wingdings" w:eastAsia="Balloon" w:cs="Arial"/>
    </w:rPr>
  </w:style>
  <w:style w:type="character" w:styleId="WW8Num28z3">
    <w:name w:val="WW8Num28z3"/>
    <w:qFormat/>
    <w:rPr>
      <w:rFonts w:ascii="Symbol" w:hAnsi="Symbol" w:cs="Symbol"/>
    </w:rPr>
  </w:style>
  <w:style w:type="character" w:styleId="WW8Num28z4">
    <w:name w:val="WW8Num28z4"/>
    <w:qFormat/>
    <w:rPr>
      <w:rFonts w:ascii="Courier New" w:hAnsi="Courier New" w:cs="Courier New"/>
    </w:rPr>
  </w:style>
  <w:style w:type="character" w:styleId="WW8Num29z0">
    <w:name w:val="WW8Num29z0"/>
    <w:qFormat/>
    <w:rPr>
      <w:rFonts w:ascii="Wingdings" w:hAnsi="Wingdings" w:cs="Wingdings"/>
    </w:rPr>
  </w:style>
  <w:style w:type="character" w:styleId="WW8Num29z1">
    <w:name w:val="WW8Num29z1"/>
    <w:qFormat/>
    <w:rPr>
      <w:rFonts w:ascii="Wingdings" w:hAnsi="Wingdings" w:eastAsia="Balloon" w:cs="Arial"/>
    </w:rPr>
  </w:style>
  <w:style w:type="character" w:styleId="WW8Num29z3">
    <w:name w:val="WW8Num29z3"/>
    <w:qFormat/>
    <w:rPr>
      <w:rFonts w:ascii="Symbol" w:hAnsi="Symbol" w:cs="Symbol"/>
    </w:rPr>
  </w:style>
  <w:style w:type="character" w:styleId="WW8Num29z4">
    <w:name w:val="WW8Num29z4"/>
    <w:qFormat/>
    <w:rPr>
      <w:rFonts w:ascii="Courier New" w:hAnsi="Courier New" w:cs="Courier New"/>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Wingdings" w:hAnsi="Wingdings" w:eastAsia="Balloon" w:cs="Arial"/>
    </w:rPr>
  </w:style>
  <w:style w:type="character" w:styleId="WW8Num31z3">
    <w:name w:val="WW8Num31z3"/>
    <w:qFormat/>
    <w:rPr>
      <w:rFonts w:ascii="Symbol" w:hAnsi="Symbol" w:cs="Symbol"/>
    </w:rPr>
  </w:style>
  <w:style w:type="character" w:styleId="WW8Num31z4">
    <w:name w:val="WW8Num31z4"/>
    <w:qFormat/>
    <w:rPr>
      <w:rFonts w:ascii="Courier New" w:hAnsi="Courier New" w:cs="Courier New"/>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Policepardfaut">
    <w:name w:val="Police par défaut"/>
    <w:qFormat/>
    <w:rPr/>
  </w:style>
  <w:style w:type="character" w:styleId="A4">
    <w:name w:val="A4"/>
    <w:qFormat/>
    <w:rPr>
      <w:rFonts w:ascii="Akzidenz Grotesk BE Bold;Akzidenz Grotesk BE Bold" w:hAnsi="Akzidenz Grotesk BE Bold;Akzidenz Grotesk BE Bold" w:cs="Akzidenz Grotesk BE Bold;Akzidenz Grotesk BE Bold"/>
      <w:b/>
      <w:bCs/>
      <w:color w:val="000000"/>
    </w:rPr>
  </w:style>
  <w:style w:type="character" w:styleId="TexteCar">
    <w:name w:val="Texte Car"/>
    <w:qFormat/>
    <w:rPr>
      <w:rFonts w:ascii="Helvetica" w:hAnsi="Helvetica" w:cs="Helvetica"/>
      <w:color w:val="000000"/>
      <w:sz w:val="22"/>
      <w:szCs w:val="22"/>
      <w:lang w:bidi="ar-SA"/>
    </w:rPr>
  </w:style>
  <w:style w:type="paragraph" w:styleId="Heading">
    <w:name w:val="Heading"/>
    <w:basedOn w:val="Normal"/>
    <w:next w:val="TextBody"/>
    <w:qFormat/>
    <w:pPr>
      <w:pBdr>
        <w:top w:val="single" w:sz="4" w:space="1" w:color="000000" w:shadow="1"/>
        <w:left w:val="single" w:sz="4" w:space="4" w:color="000000" w:shadow="1"/>
        <w:bottom w:val="single" w:sz="4" w:space="1" w:color="000000" w:shadow="1"/>
        <w:right w:val="single" w:sz="4" w:space="4" w:color="000000" w:shadow="1"/>
      </w:pBdr>
      <w:shd w:fill="FFFF99" w:val="clear"/>
      <w:jc w:val="center"/>
    </w:pPr>
    <w:rPr>
      <w:rFonts w:ascii="Arial" w:hAnsi="Arial" w:cs="Arial"/>
      <w:b/>
      <w:bCs/>
      <w:sz w:val="24"/>
      <w:szCs w:val="24"/>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0" w:after="75"/>
      <w:jc w:val="both"/>
    </w:pPr>
    <w:rPr>
      <w:sz w:val="24"/>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Retraitcorpsdetexte2">
    <w:name w:val="Retrait corps de texte 2"/>
    <w:basedOn w:val="Normal"/>
    <w:qFormat/>
    <w:pPr>
      <w:overflowPunct w:val="false"/>
      <w:autoSpaceDE w:val="false"/>
      <w:ind w:left="1020" w:hanging="311"/>
      <w:jc w:val="both"/>
      <w:textAlignment w:val="baseline"/>
    </w:pPr>
    <w:rPr>
      <w:rFonts w:ascii="Arial" w:hAnsi="Arial" w:cs="Arial"/>
      <w:sz w:val="22"/>
    </w:rPr>
  </w:style>
  <w:style w:type="paragraph" w:styleId="Retraitcorpsdetexte3">
    <w:name w:val="Retrait corps de texte 3"/>
    <w:basedOn w:val="Normal"/>
    <w:qFormat/>
    <w:pPr>
      <w:overflowPunct w:val="false"/>
      <w:autoSpaceDE w:val="false"/>
      <w:ind w:left="708" w:hanging="0"/>
      <w:jc w:val="both"/>
      <w:textAlignment w:val="baseline"/>
    </w:pPr>
    <w:rPr>
      <w:rFonts w:ascii="Arial" w:hAnsi="Arial" w:cs="Arial"/>
      <w:b/>
      <w:bCs/>
      <w:sz w:val="22"/>
      <w:u w:val="single"/>
    </w:rPr>
  </w:style>
  <w:style w:type="paragraph" w:styleId="Default">
    <w:name w:val="Default"/>
    <w:qFormat/>
    <w:pPr>
      <w:widowControl/>
      <w:autoSpaceDE w:val="false"/>
    </w:pPr>
    <w:rPr>
      <w:rFonts w:ascii="Akzidenz Grotesk BE;Akzidenz Grotesk BE" w:hAnsi="Akzidenz Grotesk BE;Akzidenz Grotesk BE" w:eastAsia="Times New Roman" w:cs="Akzidenz Grotesk BE;Akzidenz Grotesk BE"/>
      <w:color w:val="000000"/>
      <w:sz w:val="24"/>
      <w:szCs w:val="24"/>
      <w:lang w:val="fr-FR" w:bidi="ar-SA" w:eastAsia="zh-CN"/>
    </w:rPr>
  </w:style>
  <w:style w:type="paragraph" w:styleId="Pa3">
    <w:name w:val="Pa3"/>
    <w:basedOn w:val="Default"/>
    <w:next w:val="Default"/>
    <w:qFormat/>
    <w:pPr>
      <w:spacing w:lineRule="atLeast" w:line="381"/>
    </w:pPr>
    <w:rPr>
      <w:rFonts w:cs="Times New Roman"/>
      <w:color w:val="000000"/>
    </w:rPr>
  </w:style>
  <w:style w:type="paragraph" w:styleId="Pa4">
    <w:name w:val="Pa4"/>
    <w:basedOn w:val="Default"/>
    <w:next w:val="Default"/>
    <w:qFormat/>
    <w:pPr>
      <w:spacing w:lineRule="atLeast" w:line="201"/>
    </w:pPr>
    <w:rPr>
      <w:rFonts w:cs="Times New Roman"/>
      <w:color w:val="000000"/>
    </w:rPr>
  </w:style>
  <w:style w:type="paragraph" w:styleId="Pa5">
    <w:name w:val="Pa5"/>
    <w:basedOn w:val="Default"/>
    <w:next w:val="Default"/>
    <w:qFormat/>
    <w:pPr>
      <w:spacing w:lineRule="atLeast" w:line="241"/>
    </w:pPr>
    <w:rPr>
      <w:rFonts w:cs="Times New Roman"/>
      <w:color w:val="000000"/>
    </w:rPr>
  </w:style>
  <w:style w:type="paragraph" w:styleId="Pa6">
    <w:name w:val="Pa6"/>
    <w:basedOn w:val="Default"/>
    <w:next w:val="Default"/>
    <w:qFormat/>
    <w:pPr>
      <w:spacing w:lineRule="atLeast" w:line="201"/>
    </w:pPr>
    <w:rPr>
      <w:rFonts w:cs="Times New Roman"/>
      <w:color w:val="000000"/>
    </w:rPr>
  </w:style>
  <w:style w:type="paragraph" w:styleId="TextBodyIndent">
    <w:name w:val="Body Text Indent"/>
    <w:basedOn w:val="Normal"/>
    <w:pPr>
      <w:spacing w:before="0" w:after="120"/>
      <w:ind w:left="283" w:hanging="0"/>
    </w:pPr>
    <w:rPr/>
  </w:style>
  <w:style w:type="paragraph" w:styleId="Textedebulles">
    <w:name w:val="Texte de bulles"/>
    <w:basedOn w:val="Normal"/>
    <w:qFormat/>
    <w:pPr/>
    <w:rPr>
      <w:rFonts w:ascii="Tahoma" w:hAnsi="Tahoma" w:cs="Tahoma"/>
      <w:sz w:val="16"/>
      <w:szCs w:val="16"/>
    </w:rPr>
  </w:style>
  <w:style w:type="paragraph" w:styleId="Texte">
    <w:name w:val="Texte"/>
    <w:qFormat/>
    <w:pPr>
      <w:widowControl/>
      <w:ind w:left="567" w:hanging="0"/>
      <w:jc w:val="both"/>
    </w:pPr>
    <w:rPr>
      <w:rFonts w:ascii="Helvetica" w:hAnsi="Helvetica" w:eastAsia="Times New Roman" w:cs="Helvetica"/>
      <w:color w:val="000000"/>
      <w:sz w:val="22"/>
      <w:szCs w:val="22"/>
      <w:lang w:val="fr-FR" w:bidi="ar-SA" w:eastAsia="zh-CN"/>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2022-02-09T10:03:00Z</dcterms:created>
  <dc:creator/>
  <dc:description/>
  <dc:language>en-GB</dc:language>
  <cp:lastModifiedBy/>
  <cp:lastPrinted>2022-01-24T08:42:00Z</cp:lastPrinted>
  <dcterms:modified xsi:type="dcterms:W3CDTF">2022-02-09T10:03:00Z</dcterms:modified>
  <cp:revision>2</cp:revision>
  <dc:subject/>
  <dc:title/>
</cp:coreProperties>
</file>