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ahoma" w:hAnsi="Tahoma" w:cs="Tahoma"/>
        </w:rPr>
      </w:pPr>
      <w:r>
        <w:rPr>
          <w:rFonts w:cs="Tahoma" w:ascii="Tahoma" w:hAnsi="Tahoma"/>
        </w:rPr>
      </w:r>
    </w:p>
    <w:p>
      <w:pPr>
        <w:pStyle w:val="Normal"/>
        <w:jc w:val="both"/>
        <w:rPr>
          <w:rFonts w:ascii="Tahoma" w:hAnsi="Tahoma" w:cs="Tahoma"/>
        </w:rPr>
      </w:pPr>
      <w:r>
        <w:rPr>
          <w:rFonts w:cs="Tahoma" w:ascii="Tahoma" w:hAnsi="Tahoma"/>
        </w:rPr>
      </w:r>
    </w:p>
    <w:tbl>
      <w:tblPr>
        <w:tblW w:w="9222" w:type="dxa"/>
        <w:jc w:val="left"/>
        <w:tblInd w:w="-5"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CellMar>
          <w:top w:w="0" w:type="dxa"/>
          <w:left w:w="93" w:type="dxa"/>
          <w:bottom w:w="0" w:type="dxa"/>
          <w:right w:w="108" w:type="dxa"/>
        </w:tblCellMar>
      </w:tblPr>
      <w:tblGrid>
        <w:gridCol w:w="9222"/>
      </w:tblGrid>
      <w:tr>
        <w:trPr/>
        <w:tc>
          <w:tcPr>
            <w:tcW w:w="9222"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Mar>
              <w:left w:w="93" w:type="dxa"/>
            </w:tcMar>
          </w:tcPr>
          <w:p>
            <w:pPr>
              <w:pStyle w:val="Heading5"/>
              <w:numPr>
                <w:ilvl w:val="4"/>
                <w:numId w:val="1"/>
              </w:numPr>
              <w:pBdr/>
              <w:snapToGrid w:val="false"/>
              <w:spacing w:lineRule="atLeast" w:line="260"/>
              <w:rPr>
                <w:szCs w:val="32"/>
              </w:rPr>
            </w:pPr>
            <w:r>
              <w:rPr>
                <w:szCs w:val="32"/>
              </w:rPr>
            </w:r>
          </w:p>
          <w:p>
            <w:pPr>
              <w:pStyle w:val="Heading5"/>
              <w:numPr>
                <w:ilvl w:val="4"/>
                <w:numId w:val="1"/>
              </w:numPr>
              <w:pBdr/>
              <w:spacing w:lineRule="atLeast" w:line="260"/>
              <w:rPr>
                <w:szCs w:val="32"/>
              </w:rPr>
            </w:pPr>
            <w:r>
              <w:rPr>
                <w:szCs w:val="32"/>
              </w:rPr>
              <w:t xml:space="preserve">Accord sur des mesures d’Anticipation </w:t>
            </w:r>
          </w:p>
          <w:p>
            <w:pPr>
              <w:pStyle w:val="Normal"/>
              <w:rPr>
                <w:szCs w:val="32"/>
              </w:rPr>
            </w:pPr>
            <w:r>
              <w:rPr>
                <w:szCs w:val="32"/>
              </w:rPr>
            </w:r>
          </w:p>
          <w:p>
            <w:pPr>
              <w:pStyle w:val="Heading5"/>
              <w:numPr>
                <w:ilvl w:val="4"/>
                <w:numId w:val="1"/>
              </w:numPr>
              <w:pBdr/>
              <w:spacing w:lineRule="atLeast" w:line="260"/>
              <w:rPr>
                <w:i/>
                <w:i/>
                <w:iCs/>
                <w:szCs w:val="32"/>
              </w:rPr>
            </w:pPr>
            <w:r>
              <w:rPr>
                <w:szCs w:val="32"/>
              </w:rPr>
              <w:t xml:space="preserve">sur la Négociation Annuelle Obligatoire à venir en </w:t>
            </w:r>
            <w:r>
              <w:rPr>
                <w:i/>
                <w:iCs/>
                <w:szCs w:val="32"/>
              </w:rPr>
              <w:t>2023,</w:t>
            </w:r>
          </w:p>
          <w:p>
            <w:pPr>
              <w:pStyle w:val="Heading6"/>
              <w:numPr>
                <w:ilvl w:val="5"/>
                <w:numId w:val="1"/>
              </w:numPr>
              <w:pBdr/>
              <w:spacing w:lineRule="atLeast" w:line="260"/>
              <w:rPr/>
            </w:pPr>
            <w:r>
              <w:rPr>
                <w:i/>
                <w:iCs/>
                <w:szCs w:val="32"/>
              </w:rPr>
              <w:t xml:space="preserve">sur la rémunération, le temps de travail et le partage de la valeur ajoutée dans l’entreprise </w:t>
            </w:r>
          </w:p>
          <w:p>
            <w:pPr>
              <w:pStyle w:val="Normal"/>
              <w:jc w:val="center"/>
              <w:rPr>
                <w:rFonts w:ascii="Tahoma" w:hAnsi="Tahoma" w:cs="Tahoma"/>
                <w:i/>
                <w:i/>
                <w:iCs/>
                <w:sz w:val="22"/>
                <w:szCs w:val="20"/>
              </w:rPr>
            </w:pPr>
            <w:r>
              <w:rPr>
                <w:rFonts w:cs="Tahoma" w:ascii="Tahoma" w:hAnsi="Tahoma"/>
                <w:i/>
                <w:iCs/>
                <w:sz w:val="22"/>
                <w:szCs w:val="20"/>
              </w:rPr>
            </w:r>
          </w:p>
        </w:tc>
      </w:tr>
    </w:tbl>
    <w:p>
      <w:pPr>
        <w:pStyle w:val="Texte"/>
        <w:spacing w:lineRule="atLeast" w:line="260"/>
        <w:rPr>
          <w:rFonts w:ascii="Tahoma" w:hAnsi="Tahoma" w:cs="Tahoma"/>
          <w:sz w:val="20"/>
          <w:szCs w:val="20"/>
        </w:rPr>
      </w:pPr>
      <w:r>
        <w:rPr>
          <w:rFonts w:cs="Tahoma" w:ascii="Tahoma" w:hAnsi="Tahoma"/>
          <w:sz w:val="20"/>
          <w:szCs w:val="20"/>
        </w:rPr>
      </w:r>
    </w:p>
    <w:p>
      <w:pPr>
        <w:pStyle w:val="Texte"/>
        <w:spacing w:lineRule="atLeast" w:line="260"/>
        <w:rPr>
          <w:rFonts w:ascii="Tahoma" w:hAnsi="Tahoma" w:cs="Tahoma"/>
          <w:sz w:val="18"/>
          <w:szCs w:val="18"/>
        </w:rPr>
      </w:pPr>
      <w:r>
        <w:rPr>
          <w:rFonts w:cs="Tahoma" w:ascii="Tahoma" w:hAnsi="Tahoma"/>
          <w:sz w:val="18"/>
          <w:szCs w:val="18"/>
        </w:rPr>
      </w:r>
    </w:p>
    <w:p>
      <w:pPr>
        <w:pStyle w:val="Texte"/>
        <w:spacing w:lineRule="atLeast" w:line="260"/>
        <w:rPr>
          <w:rFonts w:ascii="Tahoma" w:hAnsi="Tahoma" w:cs="Tahoma"/>
          <w:b/>
          <w:b/>
          <w:smallCaps/>
          <w:sz w:val="20"/>
          <w:szCs w:val="20"/>
        </w:rPr>
      </w:pPr>
      <w:r>
        <w:rPr>
          <w:rFonts w:cs="Tahoma" w:ascii="Tahoma" w:hAnsi="Tahoma"/>
          <w:b/>
          <w:smallCaps/>
          <w:sz w:val="20"/>
          <w:szCs w:val="20"/>
          <w:u w:val="single"/>
        </w:rPr>
        <w:t>Entre</w:t>
      </w:r>
      <w:r>
        <w:rPr>
          <w:rFonts w:cs="Tahoma" w:ascii="Tahoma" w:hAnsi="Tahoma"/>
          <w:b/>
          <w:smallCaps/>
          <w:sz w:val="20"/>
          <w:szCs w:val="20"/>
        </w:rPr>
        <w:t xml:space="preserve"> : </w:t>
      </w:r>
    </w:p>
    <w:p>
      <w:pPr>
        <w:pStyle w:val="Texte"/>
        <w:spacing w:lineRule="atLeast" w:line="260"/>
        <w:rPr>
          <w:rFonts w:ascii="Tahoma" w:hAnsi="Tahoma" w:cs="Tahoma"/>
          <w:b/>
          <w:b/>
          <w:smallCaps/>
          <w:sz w:val="18"/>
          <w:szCs w:val="18"/>
        </w:rPr>
      </w:pPr>
      <w:r>
        <w:rPr>
          <w:rFonts w:cs="Tahoma" w:ascii="Tahoma" w:hAnsi="Tahoma"/>
          <w:b/>
          <w:smallCaps/>
          <w:sz w:val="18"/>
          <w:szCs w:val="18"/>
        </w:rPr>
      </w:r>
    </w:p>
    <w:p>
      <w:pPr>
        <w:pStyle w:val="Texte"/>
        <w:spacing w:lineRule="atLeast" w:line="260"/>
        <w:rPr>
          <w:rFonts w:ascii="Calibri" w:hAnsi="Calibri" w:cs="Calibri"/>
          <w:sz w:val="22"/>
          <w:szCs w:val="22"/>
        </w:rPr>
      </w:pPr>
      <w:r>
        <w:rPr>
          <w:rFonts w:cs="Calibri" w:ascii="Calibri" w:hAnsi="Calibri"/>
          <w:sz w:val="22"/>
          <w:szCs w:val="22"/>
        </w:rPr>
      </w:r>
    </w:p>
    <w:p>
      <w:pPr>
        <w:pStyle w:val="Texte"/>
        <w:spacing w:lineRule="atLeast" w:line="260"/>
        <w:rPr>
          <w:rFonts w:ascii="Calibri" w:hAnsi="Calibri" w:cs="Calibri"/>
          <w:sz w:val="22"/>
          <w:szCs w:val="22"/>
        </w:rPr>
      </w:pPr>
      <w:r>
        <w:rPr>
          <w:rFonts w:cs="Calibri" w:ascii="Calibri" w:hAnsi="Calibri"/>
          <w:sz w:val="22"/>
          <w:szCs w:val="22"/>
        </w:rPr>
      </w:r>
    </w:p>
    <w:p>
      <w:pPr>
        <w:pStyle w:val="Texte"/>
        <w:spacing w:lineRule="atLeast" w:line="260"/>
        <w:rPr>
          <w:rFonts w:ascii="Calibri" w:hAnsi="Calibri" w:cs="Calibri"/>
          <w:sz w:val="22"/>
          <w:szCs w:val="22"/>
        </w:rPr>
      </w:pPr>
      <w:r>
        <w:rPr>
          <w:rFonts w:cs="Calibri" w:ascii="Calibri" w:hAnsi="Calibri"/>
          <w:sz w:val="22"/>
          <w:szCs w:val="22"/>
        </w:rPr>
        <w:t xml:space="preserve">Ci-après désignée par « L’entreprise » </w:t>
      </w:r>
    </w:p>
    <w:p>
      <w:pPr>
        <w:pStyle w:val="Texte"/>
        <w:spacing w:lineRule="atLeast" w:line="260"/>
        <w:jc w:val="right"/>
        <w:rPr>
          <w:rFonts w:ascii="Calibri" w:hAnsi="Calibri" w:cs="Calibri"/>
          <w:sz w:val="22"/>
          <w:szCs w:val="22"/>
        </w:rPr>
      </w:pPr>
      <w:r>
        <w:rPr>
          <w:rFonts w:cs="Calibri" w:ascii="Calibri" w:hAnsi="Calibri"/>
          <w:sz w:val="22"/>
          <w:szCs w:val="22"/>
        </w:rPr>
        <w:t>d'une part,</w:t>
      </w:r>
    </w:p>
    <w:p>
      <w:pPr>
        <w:pStyle w:val="Texte"/>
        <w:spacing w:lineRule="atLeast" w:line="260"/>
        <w:rPr>
          <w:rFonts w:ascii="Calibri" w:hAnsi="Calibri" w:cs="Calibri"/>
          <w:sz w:val="22"/>
          <w:szCs w:val="22"/>
        </w:rPr>
      </w:pPr>
      <w:r>
        <w:rPr>
          <w:rFonts w:cs="Calibri" w:ascii="Calibri" w:hAnsi="Calibri"/>
          <w:sz w:val="22"/>
          <w:szCs w:val="22"/>
        </w:rPr>
      </w:r>
    </w:p>
    <w:p>
      <w:pPr>
        <w:pStyle w:val="Texte"/>
        <w:spacing w:lineRule="atLeast" w:line="260"/>
        <w:rPr>
          <w:rFonts w:ascii="Calibri" w:hAnsi="Calibri" w:cs="Calibri"/>
          <w:sz w:val="22"/>
          <w:szCs w:val="22"/>
        </w:rPr>
      </w:pPr>
      <w:r>
        <w:rPr>
          <w:rFonts w:cs="Calibri" w:ascii="Calibri" w:hAnsi="Calibri"/>
          <w:sz w:val="22"/>
          <w:szCs w:val="22"/>
        </w:rPr>
        <w:t>ET</w:t>
      </w:r>
    </w:p>
    <w:p>
      <w:pPr>
        <w:pStyle w:val="Texte"/>
        <w:spacing w:lineRule="atLeast" w:line="260"/>
        <w:rPr>
          <w:rFonts w:ascii="Calibri" w:hAnsi="Calibri" w:cs="Calibri"/>
          <w:sz w:val="22"/>
          <w:szCs w:val="22"/>
        </w:rPr>
      </w:pPr>
      <w:r>
        <w:rPr>
          <w:rFonts w:cs="Calibri" w:ascii="Calibri" w:hAnsi="Calibri"/>
          <w:sz w:val="22"/>
          <w:szCs w:val="22"/>
        </w:rPr>
      </w:r>
    </w:p>
    <w:p>
      <w:pPr>
        <w:pStyle w:val="Normal"/>
        <w:spacing w:lineRule="atLeast" w:line="260"/>
        <w:jc w:val="both"/>
        <w:rPr>
          <w:rFonts w:ascii="Calibri" w:hAnsi="Calibri" w:cs="Calibri"/>
          <w:sz w:val="22"/>
          <w:szCs w:val="22"/>
        </w:rPr>
      </w:pPr>
      <w:r>
        <w:rPr>
          <w:rFonts w:cs="Calibri" w:ascii="Calibri" w:hAnsi="Calibri"/>
          <w:sz w:val="22"/>
          <w:szCs w:val="22"/>
        </w:rPr>
      </w:r>
    </w:p>
    <w:p>
      <w:pPr>
        <w:pStyle w:val="Texte"/>
        <w:spacing w:lineRule="atLeast" w:line="260"/>
        <w:rPr>
          <w:rFonts w:ascii="Tahoma" w:hAnsi="Tahoma" w:cs="Tahoma"/>
          <w:b/>
          <w:b/>
          <w:bCs/>
          <w:i/>
          <w:i/>
          <w:iCs/>
          <w:sz w:val="18"/>
          <w:szCs w:val="18"/>
        </w:rPr>
      </w:pPr>
      <w:r>
        <w:rPr>
          <w:rFonts w:cs="Tahoma" w:ascii="Tahoma" w:hAnsi="Tahoma"/>
          <w:b/>
          <w:bCs/>
          <w:i/>
          <w:iCs/>
          <w:sz w:val="18"/>
          <w:szCs w:val="18"/>
        </w:rPr>
      </w:r>
    </w:p>
    <w:p>
      <w:pPr>
        <w:pStyle w:val="Texte"/>
        <w:spacing w:lineRule="atLeast" w:line="260"/>
        <w:rPr>
          <w:rFonts w:ascii="Tahoma" w:hAnsi="Tahoma" w:cs="Tahoma"/>
          <w:b/>
          <w:b/>
          <w:bCs/>
          <w:i/>
          <w:i/>
          <w:iCs/>
          <w:sz w:val="18"/>
          <w:szCs w:val="18"/>
        </w:rPr>
      </w:pPr>
      <w:r>
        <w:rPr>
          <w:rFonts w:cs="Tahoma" w:ascii="Tahoma" w:hAnsi="Tahoma"/>
          <w:b/>
          <w:bCs/>
          <w:i/>
          <w:iCs/>
          <w:sz w:val="18"/>
          <w:szCs w:val="18"/>
        </w:rPr>
      </w:r>
    </w:p>
    <w:p>
      <w:pPr>
        <w:pStyle w:val="Texte"/>
        <w:spacing w:lineRule="atLeast" w:line="260"/>
        <w:jc w:val="right"/>
        <w:rPr>
          <w:rFonts w:ascii="Tahoma" w:hAnsi="Tahoma" w:cs="Tahoma"/>
          <w:sz w:val="18"/>
          <w:szCs w:val="18"/>
        </w:rPr>
      </w:pPr>
      <w:r>
        <w:rPr>
          <w:rFonts w:cs="Tahoma" w:ascii="Tahoma" w:hAnsi="Tahoma"/>
          <w:sz w:val="18"/>
          <w:szCs w:val="18"/>
        </w:rPr>
        <w:t>d'autre part,</w:t>
      </w:r>
    </w:p>
    <w:p>
      <w:pPr>
        <w:pStyle w:val="Texte"/>
        <w:tabs>
          <w:tab w:val="left" w:pos="2220" w:leader="none"/>
        </w:tabs>
        <w:spacing w:lineRule="atLeast" w:line="260"/>
        <w:rPr>
          <w:rFonts w:ascii="Tahoma" w:hAnsi="Tahoma" w:cs="Tahoma"/>
          <w:sz w:val="18"/>
          <w:szCs w:val="18"/>
        </w:rPr>
      </w:pPr>
      <w:r>
        <w:rPr>
          <w:rFonts w:cs="Tahoma" w:ascii="Tahoma" w:hAnsi="Tahoma"/>
          <w:sz w:val="18"/>
          <w:szCs w:val="18"/>
        </w:rPr>
        <w:tab/>
      </w:r>
    </w:p>
    <w:p>
      <w:pPr>
        <w:pStyle w:val="Texte"/>
        <w:spacing w:lineRule="atLeast" w:line="260"/>
        <w:rPr>
          <w:rFonts w:ascii="Tahoma" w:hAnsi="Tahoma" w:cs="Tahoma"/>
          <w:b/>
          <w:b/>
          <w:bCs/>
          <w:smallCaps/>
          <w:sz w:val="20"/>
          <w:szCs w:val="20"/>
          <w:u w:val="single"/>
        </w:rPr>
      </w:pPr>
      <w:r>
        <w:rPr>
          <w:rFonts w:cs="Tahoma" w:ascii="Tahoma" w:hAnsi="Tahoma"/>
          <w:b/>
          <w:bCs/>
          <w:smallCaps/>
          <w:sz w:val="20"/>
          <w:szCs w:val="20"/>
          <w:u w:val="single"/>
        </w:rPr>
        <w:t>Préambule</w:t>
      </w:r>
    </w:p>
    <w:p>
      <w:pPr>
        <w:pStyle w:val="Normal"/>
        <w:jc w:val="both"/>
        <w:rPr>
          <w:rFonts w:ascii="Tahoma" w:hAnsi="Tahoma" w:cs="Tahoma"/>
          <w:b/>
          <w:b/>
          <w:bCs/>
          <w:smallCaps/>
          <w:sz w:val="18"/>
          <w:szCs w:val="18"/>
          <w:u w:val="single"/>
        </w:rPr>
      </w:pPr>
      <w:r>
        <w:rPr>
          <w:rFonts w:cs="Tahoma" w:ascii="Tahoma" w:hAnsi="Tahoma"/>
          <w:b/>
          <w:bCs/>
          <w:smallCaps/>
          <w:sz w:val="18"/>
          <w:szCs w:val="18"/>
          <w:u w:val="single"/>
        </w:rPr>
      </w:r>
    </w:p>
    <w:p>
      <w:pPr>
        <w:pStyle w:val="Normal"/>
        <w:jc w:val="both"/>
        <w:rPr>
          <w:rFonts w:ascii="Tahoma" w:hAnsi="Tahoma" w:cs="Tahoma"/>
          <w:sz w:val="18"/>
          <w:szCs w:val="18"/>
        </w:rPr>
      </w:pPr>
      <w:r>
        <w:rPr>
          <w:rFonts w:cs="Tahoma" w:ascii="Tahoma" w:hAnsi="Tahoma"/>
          <w:sz w:val="18"/>
          <w:szCs w:val="18"/>
        </w:rPr>
      </w:r>
    </w:p>
    <w:p>
      <w:pPr>
        <w:pStyle w:val="Normal"/>
        <w:jc w:val="both"/>
        <w:rPr>
          <w:rFonts w:ascii="Calibri" w:hAnsi="Calibri" w:cs="Calibri"/>
          <w:sz w:val="22"/>
          <w:szCs w:val="22"/>
        </w:rPr>
      </w:pPr>
      <w:r>
        <w:rPr>
          <w:rFonts w:cs="Calibri" w:ascii="Calibri" w:hAnsi="Calibri"/>
          <w:sz w:val="22"/>
          <w:szCs w:val="22"/>
        </w:rPr>
        <w:t>En prévision d’un niveau d’inflation croissant et de l’augmentation du SMIC, la Direction de l’entreprise, s’était engagée, à titre exceptionnel, dès le mois de mai 2022 à revenir vers les organisations syndicales au mois de septembre 2022,</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t xml:space="preserve">A fin août 2022 le taux d’inflation (hors tabac) contasté est de 5.80 %, </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t>Le SMIC horaire a été augmenté au 1</w:t>
      </w:r>
      <w:r>
        <w:rPr>
          <w:rFonts w:cs="Calibri" w:ascii="Calibri" w:hAnsi="Calibri"/>
          <w:sz w:val="22"/>
          <w:szCs w:val="22"/>
          <w:vertAlign w:val="superscript"/>
        </w:rPr>
        <w:t>er</w:t>
      </w:r>
      <w:r>
        <w:rPr>
          <w:rFonts w:cs="Calibri" w:ascii="Calibri" w:hAnsi="Calibri"/>
          <w:sz w:val="22"/>
          <w:szCs w:val="22"/>
        </w:rPr>
        <w:t xml:space="preserve"> mai et au 1er aout 2022 entrainant un tassement de la grille de salaire applicable à l’entreprise, </w:t>
      </w:r>
    </w:p>
    <w:p>
      <w:pPr>
        <w:pStyle w:val="Normal"/>
        <w:jc w:val="both"/>
        <w:rPr>
          <w:rFonts w:ascii="Calibri" w:hAnsi="Calibri" w:cs="Calibri"/>
          <w:sz w:val="22"/>
          <w:szCs w:val="22"/>
        </w:rPr>
      </w:pPr>
      <w:r>
        <w:rPr>
          <w:rFonts w:cs="Calibri" w:ascii="Calibri" w:hAnsi="Calibri"/>
          <w:sz w:val="22"/>
          <w:szCs w:val="22"/>
        </w:rPr>
      </w:r>
    </w:p>
    <w:p>
      <w:pPr>
        <w:pStyle w:val="Normal"/>
        <w:jc w:val="both"/>
        <w:rPr/>
      </w:pPr>
      <w:r>
        <w:rPr>
          <w:rFonts w:cs="Calibri" w:ascii="Calibri" w:hAnsi="Calibri"/>
          <w:sz w:val="22"/>
          <w:szCs w:val="22"/>
        </w:rPr>
        <w:t xml:space="preserve">Face à cette situation, la Direction a confirmé sa volonté d’accompagner les salariés par la prise de mesures salariales en anticipation sur la négociation sur la rémunération, le temps de travail et le partage de la valeur ajoutée prévue  au premier trimestre 2023, </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t xml:space="preserve">Ainsi, la Direction a convoqué les organisations syndicales en vue d’une négociation pour définir ensemble la mesure d’anticipation sur les salaires pouvant être prise. </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t xml:space="preserve">Eu égard à cette situation exceptionnelle ne modifiant pas le calendrier habituel de négociation, la présente négociation a porté uniquement sur des mesures d’anticipation sur la négociation sur les salaires, à venir en 2023. </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t>La Direction, a échangé avec les organisations syndicales et répondu aux différentes questions et demandes, à l’occasion  de réunions de négociation qui se sont  tenues les 21 Septembre et 26 Septembre 2022.</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b/>
          <w:b/>
          <w:smallCaps/>
          <w:sz w:val="22"/>
          <w:szCs w:val="22"/>
          <w:u w:val="single"/>
        </w:rPr>
      </w:pPr>
      <w:r>
        <w:rPr>
          <w:rFonts w:cs="Calibri" w:ascii="Calibri" w:hAnsi="Calibri"/>
          <w:b/>
          <w:smallCaps/>
          <w:sz w:val="22"/>
          <w:szCs w:val="22"/>
          <w:u w:val="single"/>
        </w:rPr>
        <w:t xml:space="preserve">Ceci expose il a été convenu ce qui suit </w:t>
      </w:r>
    </w:p>
    <w:p>
      <w:pPr>
        <w:pStyle w:val="Normal"/>
        <w:jc w:val="both"/>
        <w:rPr>
          <w:rFonts w:ascii="Calibri" w:hAnsi="Calibri" w:cs="Calibri"/>
          <w:b/>
          <w:b/>
          <w:smallCaps/>
          <w:sz w:val="22"/>
          <w:szCs w:val="22"/>
          <w:u w:val="single"/>
        </w:rPr>
      </w:pPr>
      <w:r>
        <w:rPr>
          <w:rFonts w:cs="Calibri" w:ascii="Calibri" w:hAnsi="Calibri"/>
          <w:b/>
          <w:smallCaps/>
          <w:sz w:val="22"/>
          <w:szCs w:val="22"/>
          <w:u w:val="single"/>
        </w:rPr>
      </w:r>
    </w:p>
    <w:p>
      <w:pPr>
        <w:pStyle w:val="Normal"/>
        <w:jc w:val="both"/>
        <w:rPr>
          <w:rFonts w:ascii="Calibri" w:hAnsi="Calibri" w:cs="Calibri"/>
          <w:sz w:val="22"/>
          <w:szCs w:val="22"/>
        </w:rPr>
      </w:pPr>
      <w:r>
        <w:rPr>
          <w:rFonts w:cs="Calibri" w:ascii="Calibri" w:hAnsi="Calibri"/>
          <w:sz w:val="22"/>
          <w:szCs w:val="22"/>
        </w:rPr>
      </w:r>
    </w:p>
    <w:p>
      <w:pPr>
        <w:pStyle w:val="Normal"/>
        <w:shd w:fill="F2F2F2" w:val="clear"/>
        <w:jc w:val="both"/>
        <w:rPr>
          <w:rFonts w:ascii="Calibri" w:hAnsi="Calibri" w:cs="Calibri"/>
          <w:b/>
          <w:b/>
          <w:sz w:val="22"/>
          <w:szCs w:val="22"/>
        </w:rPr>
      </w:pPr>
      <w:r>
        <w:rPr>
          <w:rFonts w:cs="Calibri" w:ascii="Calibri" w:hAnsi="Calibri"/>
          <w:b/>
          <w:sz w:val="22"/>
          <w:szCs w:val="22"/>
          <w:u w:val="single"/>
        </w:rPr>
        <w:t>ARTICLE I</w:t>
      </w:r>
      <w:r>
        <w:rPr>
          <w:rFonts w:cs="Calibri" w:ascii="Calibri" w:hAnsi="Calibri"/>
          <w:b/>
          <w:sz w:val="22"/>
          <w:szCs w:val="22"/>
        </w:rPr>
        <w:t xml:space="preserve"> – SALAIRES EFFECTIFS </w:t>
      </w:r>
    </w:p>
    <w:p>
      <w:pPr>
        <w:pStyle w:val="Normal"/>
        <w:jc w:val="both"/>
        <w:rPr>
          <w:rFonts w:ascii="Calibri" w:hAnsi="Calibri" w:cs="Calibri"/>
          <w:b/>
          <w:b/>
          <w:sz w:val="22"/>
          <w:szCs w:val="22"/>
        </w:rPr>
      </w:pPr>
      <w:r>
        <w:rPr>
          <w:rFonts w:cs="Calibri" w:ascii="Calibri" w:hAnsi="Calibri"/>
          <w:b/>
          <w:sz w:val="22"/>
          <w:szCs w:val="22"/>
        </w:rPr>
      </w:r>
    </w:p>
    <w:p>
      <w:pPr>
        <w:pStyle w:val="Normal"/>
        <w:jc w:val="both"/>
        <w:rPr>
          <w:rFonts w:ascii="Calibri" w:hAnsi="Calibri" w:cs="Calibri"/>
          <w:b/>
          <w:b/>
          <w:sz w:val="22"/>
          <w:szCs w:val="22"/>
        </w:rPr>
      </w:pPr>
      <w:r>
        <w:rPr>
          <w:rFonts w:cs="Calibri" w:ascii="Calibri" w:hAnsi="Calibri"/>
          <w:b/>
          <w:sz w:val="22"/>
          <w:szCs w:val="22"/>
        </w:rPr>
      </w:r>
    </w:p>
    <w:p>
      <w:pPr>
        <w:pStyle w:val="Normal"/>
        <w:jc w:val="both"/>
        <w:rPr/>
      </w:pPr>
      <w:r>
        <w:rPr>
          <w:rFonts w:cs="Calibri" w:ascii="Calibri" w:hAnsi="Calibri"/>
          <w:sz w:val="22"/>
          <w:szCs w:val="22"/>
        </w:rPr>
        <w:t>Les parties conviennent que la négociation annuelle sur les salaires effectifs ainsi que sur l’ensemble des thèmes prévus à l’article L 2342-15 du code du travail, débutera à compter du mois de mars  2023 sur la base de la grille de salaire appliquée au 1</w:t>
      </w:r>
      <w:r>
        <w:rPr>
          <w:rFonts w:cs="Calibri" w:ascii="Calibri" w:hAnsi="Calibri"/>
          <w:sz w:val="22"/>
          <w:szCs w:val="22"/>
          <w:vertAlign w:val="superscript"/>
        </w:rPr>
        <w:t>er</w:t>
      </w:r>
      <w:r>
        <w:rPr>
          <w:rFonts w:cs="Calibri" w:ascii="Calibri" w:hAnsi="Calibri"/>
          <w:sz w:val="22"/>
          <w:szCs w:val="22"/>
        </w:rPr>
        <w:t xml:space="preserve"> mars 2022, </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t>Toutefois, à compter du 1</w:t>
      </w:r>
      <w:r>
        <w:rPr>
          <w:rFonts w:cs="Calibri" w:ascii="Calibri" w:hAnsi="Calibri"/>
          <w:sz w:val="22"/>
          <w:szCs w:val="22"/>
          <w:vertAlign w:val="superscript"/>
        </w:rPr>
        <w:t>er</w:t>
      </w:r>
      <w:r>
        <w:rPr>
          <w:rFonts w:cs="Calibri" w:ascii="Calibri" w:hAnsi="Calibri"/>
          <w:sz w:val="22"/>
          <w:szCs w:val="22"/>
        </w:rPr>
        <w:t xml:space="preserve"> septembre 2022, il a été convenu d’appliquer par anticipation les dispositions ci-après :  </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b/>
          <w:b/>
          <w:bCs/>
          <w:sz w:val="22"/>
          <w:szCs w:val="22"/>
        </w:rPr>
      </w:pPr>
      <w:r>
        <w:rPr>
          <w:rFonts w:cs="Calibri" w:ascii="Calibri" w:hAnsi="Calibri"/>
          <w:b/>
          <w:bCs/>
          <w:sz w:val="22"/>
          <w:szCs w:val="22"/>
          <w:u w:val="single"/>
        </w:rPr>
        <w:t>Pour les catégories Ouvriers et employés</w:t>
      </w:r>
      <w:r>
        <w:rPr>
          <w:rFonts w:cs="Calibri" w:ascii="Calibri" w:hAnsi="Calibri"/>
          <w:b/>
          <w:bCs/>
          <w:sz w:val="22"/>
          <w:szCs w:val="22"/>
        </w:rPr>
        <w:t xml:space="preserve"> : </w:t>
      </w:r>
    </w:p>
    <w:p>
      <w:pPr>
        <w:pStyle w:val="Normal"/>
        <w:ind w:left="708" w:hanging="0"/>
        <w:jc w:val="both"/>
        <w:rPr>
          <w:rFonts w:ascii="Calibri" w:hAnsi="Calibri" w:cs="Calibri"/>
          <w:b/>
          <w:b/>
          <w:bCs/>
          <w:sz w:val="22"/>
          <w:szCs w:val="22"/>
        </w:rPr>
      </w:pPr>
      <w:r>
        <w:rPr>
          <w:rFonts w:cs="Calibri" w:ascii="Calibri" w:hAnsi="Calibri"/>
          <w:b/>
          <w:bCs/>
          <w:sz w:val="22"/>
          <w:szCs w:val="22"/>
        </w:rPr>
      </w:r>
    </w:p>
    <w:p>
      <w:pPr>
        <w:pStyle w:val="Normal"/>
        <w:ind w:left="708" w:hanging="0"/>
        <w:jc w:val="both"/>
        <w:rPr>
          <w:rFonts w:ascii="Calibri" w:hAnsi="Calibri" w:cs="Calibri"/>
          <w:sz w:val="22"/>
          <w:szCs w:val="22"/>
        </w:rPr>
      </w:pPr>
      <w:r>
        <w:rPr>
          <w:rFonts w:cs="Calibri" w:ascii="Calibri" w:hAnsi="Calibri"/>
          <w:sz w:val="22"/>
          <w:szCs w:val="22"/>
        </w:rPr>
        <w:t xml:space="preserve">Considérant le taux d’inflation et les augmentations du SMIC au mois de mai et aout 2022. </w:t>
      </w:r>
    </w:p>
    <w:p>
      <w:pPr>
        <w:pStyle w:val="Normal"/>
        <w:ind w:left="708" w:hanging="0"/>
        <w:jc w:val="both"/>
        <w:rPr>
          <w:rFonts w:ascii="Calibri" w:hAnsi="Calibri" w:cs="Calibri"/>
          <w:sz w:val="22"/>
          <w:szCs w:val="22"/>
        </w:rPr>
      </w:pPr>
      <w:r>
        <w:rPr>
          <w:rFonts w:cs="Calibri" w:ascii="Calibri" w:hAnsi="Calibri"/>
          <w:sz w:val="22"/>
          <w:szCs w:val="22"/>
        </w:rPr>
      </w:r>
    </w:p>
    <w:p>
      <w:pPr>
        <w:pStyle w:val="Normal"/>
        <w:ind w:left="708" w:hanging="0"/>
        <w:jc w:val="both"/>
        <w:rPr/>
      </w:pPr>
      <w:r>
        <w:rPr>
          <w:rFonts w:cs="Calibri" w:ascii="Calibri" w:hAnsi="Calibri"/>
          <w:sz w:val="22"/>
          <w:szCs w:val="22"/>
        </w:rPr>
        <w:t xml:space="preserve">Il a été convenu ce qui suit : </w:t>
      </w:r>
    </w:p>
    <w:p>
      <w:pPr>
        <w:pStyle w:val="Normal"/>
        <w:ind w:left="708" w:hanging="0"/>
        <w:jc w:val="both"/>
        <w:rPr>
          <w:rFonts w:ascii="Calibri" w:hAnsi="Calibri" w:cs="Calibri"/>
          <w:sz w:val="22"/>
          <w:szCs w:val="22"/>
        </w:rPr>
      </w:pPr>
      <w:r>
        <w:rPr>
          <w:rFonts w:cs="Calibri" w:ascii="Calibri" w:hAnsi="Calibri"/>
          <w:sz w:val="22"/>
          <w:szCs w:val="22"/>
        </w:rPr>
      </w:r>
    </w:p>
    <w:p>
      <w:pPr>
        <w:pStyle w:val="Normal"/>
        <w:numPr>
          <w:ilvl w:val="0"/>
          <w:numId w:val="2"/>
        </w:numPr>
        <w:ind w:left="1428" w:hanging="360"/>
        <w:jc w:val="both"/>
        <w:rPr>
          <w:rFonts w:ascii="Calibri" w:hAnsi="Calibri" w:cs="Calibri"/>
          <w:sz w:val="22"/>
          <w:szCs w:val="22"/>
        </w:rPr>
      </w:pPr>
      <w:r>
        <w:rPr>
          <w:rFonts w:cs="Calibri" w:ascii="Calibri" w:hAnsi="Calibri"/>
          <w:sz w:val="22"/>
          <w:szCs w:val="22"/>
        </w:rPr>
        <w:t>Le salaire horaire du coefficient 120 ayant bénéficié des augmentations successives du SMIC est basé sur le SMIC Horaire ou minimum conventionnel si supérieur.</w:t>
      </w:r>
    </w:p>
    <w:p>
      <w:pPr>
        <w:pStyle w:val="Normal"/>
        <w:jc w:val="both"/>
        <w:rPr>
          <w:rFonts w:ascii="Calibri" w:hAnsi="Calibri" w:cs="Calibri"/>
          <w:sz w:val="22"/>
          <w:szCs w:val="22"/>
        </w:rPr>
      </w:pPr>
      <w:r>
        <w:rPr>
          <w:rFonts w:cs="Calibri" w:ascii="Calibri" w:hAnsi="Calibri"/>
          <w:sz w:val="22"/>
          <w:szCs w:val="22"/>
        </w:rPr>
      </w:r>
    </w:p>
    <w:p>
      <w:pPr>
        <w:pStyle w:val="Normal"/>
        <w:numPr>
          <w:ilvl w:val="0"/>
          <w:numId w:val="2"/>
        </w:numPr>
        <w:ind w:left="1428" w:hanging="360"/>
        <w:jc w:val="both"/>
        <w:rPr>
          <w:rFonts w:ascii="Calibri" w:hAnsi="Calibri" w:cs="Calibri"/>
          <w:sz w:val="22"/>
          <w:szCs w:val="22"/>
        </w:rPr>
      </w:pPr>
      <w:r>
        <w:rPr>
          <w:rFonts w:cs="Calibri" w:ascii="Calibri" w:hAnsi="Calibri"/>
          <w:sz w:val="22"/>
          <w:szCs w:val="22"/>
        </w:rPr>
        <w:t xml:space="preserve">Le salaire horaire des coefficients ci-après est fixé ainsi : </w:t>
      </w:r>
    </w:p>
    <w:p>
      <w:pPr>
        <w:pStyle w:val="Paragraphedeliste"/>
        <w:rPr>
          <w:rFonts w:ascii="Calibri" w:hAnsi="Calibri" w:cs="Calibri"/>
          <w:sz w:val="22"/>
          <w:szCs w:val="22"/>
        </w:rPr>
      </w:pPr>
      <w:r>
        <w:rPr>
          <w:rFonts w:cs="Calibri" w:ascii="Calibri" w:hAnsi="Calibri"/>
          <w:sz w:val="22"/>
          <w:szCs w:val="22"/>
        </w:rPr>
      </w:r>
    </w:p>
    <w:p>
      <w:pPr>
        <w:pStyle w:val="Normal"/>
        <w:ind w:left="1428" w:hanging="0"/>
        <w:jc w:val="both"/>
        <w:rPr>
          <w:rFonts w:ascii="Calibri" w:hAnsi="Calibri" w:cs="Calibri"/>
          <w:sz w:val="22"/>
          <w:szCs w:val="22"/>
        </w:rPr>
      </w:pPr>
      <w:r>
        <w:rPr>
          <w:rFonts w:cs="Calibri" w:ascii="Calibri" w:hAnsi="Calibri"/>
          <w:sz w:val="22"/>
          <w:szCs w:val="22"/>
        </w:rPr>
        <w:t>Coefficient 130 à 195 : une augmentation générale de 3.5% sur les salaires de base de la grille de rémunération applicable à l’entreprise en vigueur au 1</w:t>
      </w:r>
      <w:r>
        <w:rPr>
          <w:rFonts w:cs="Calibri" w:ascii="Calibri" w:hAnsi="Calibri"/>
          <w:sz w:val="22"/>
          <w:szCs w:val="22"/>
          <w:vertAlign w:val="superscript"/>
        </w:rPr>
        <w:t>er</w:t>
      </w:r>
      <w:r>
        <w:rPr>
          <w:rFonts w:cs="Calibri" w:ascii="Calibri" w:hAnsi="Calibri"/>
          <w:sz w:val="22"/>
          <w:szCs w:val="22"/>
        </w:rPr>
        <w:t xml:space="preserve"> Février 2022. </w:t>
      </w:r>
    </w:p>
    <w:p>
      <w:pPr>
        <w:pStyle w:val="Normal"/>
        <w:ind w:left="1428" w:hanging="0"/>
        <w:jc w:val="both"/>
        <w:rPr>
          <w:rFonts w:ascii="Calibri" w:hAnsi="Calibri" w:cs="Calibri"/>
          <w:sz w:val="22"/>
          <w:szCs w:val="22"/>
        </w:rPr>
      </w:pPr>
      <w:r>
        <w:rPr>
          <w:rFonts w:cs="Calibri" w:ascii="Calibri" w:hAnsi="Calibri"/>
          <w:sz w:val="22"/>
          <w:szCs w:val="22"/>
        </w:rPr>
        <w:t>Cette augmentation est à valoir sur les augmentations à intervenir en Mars 2023.</w:t>
      </w:r>
    </w:p>
    <w:p>
      <w:pPr>
        <w:pStyle w:val="Normal"/>
        <w:ind w:left="708" w:firstLine="60"/>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t>La grille des salaires de référence applicable à l’entreprise est en conséquence revalorisée.  La nouvelle grille de rémunération applicable au 1</w:t>
      </w:r>
      <w:r>
        <w:rPr>
          <w:rFonts w:cs="Calibri" w:ascii="Calibri" w:hAnsi="Calibri"/>
          <w:sz w:val="22"/>
          <w:szCs w:val="22"/>
          <w:vertAlign w:val="superscript"/>
        </w:rPr>
        <w:t>er</w:t>
      </w:r>
      <w:r>
        <w:rPr>
          <w:rFonts w:cs="Calibri" w:ascii="Calibri" w:hAnsi="Calibri"/>
          <w:sz w:val="22"/>
          <w:szCs w:val="22"/>
        </w:rPr>
        <w:t xml:space="preserve"> Septembre 2022 est jointe en annexe.</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b/>
          <w:b/>
          <w:bCs/>
          <w:sz w:val="22"/>
          <w:szCs w:val="22"/>
        </w:rPr>
      </w:pPr>
      <w:r>
        <w:rPr>
          <w:rFonts w:cs="Calibri" w:ascii="Calibri" w:hAnsi="Calibri"/>
          <w:b/>
          <w:bCs/>
          <w:sz w:val="22"/>
          <w:szCs w:val="22"/>
          <w:u w:val="single"/>
        </w:rPr>
        <w:t xml:space="preserve">Pour les catégories Agents de maîtrise et Cadres </w:t>
      </w:r>
      <w:r>
        <w:rPr>
          <w:rFonts w:cs="Calibri" w:ascii="Calibri" w:hAnsi="Calibri"/>
          <w:b/>
          <w:bCs/>
          <w:sz w:val="22"/>
          <w:szCs w:val="22"/>
        </w:rPr>
        <w:t xml:space="preserve"> : </w:t>
      </w:r>
    </w:p>
    <w:p>
      <w:pPr>
        <w:pStyle w:val="Normal"/>
        <w:jc w:val="both"/>
        <w:rPr>
          <w:rFonts w:ascii="Calibri" w:hAnsi="Calibri" w:cs="Calibri"/>
          <w:b/>
          <w:b/>
          <w:bCs/>
          <w:sz w:val="22"/>
          <w:szCs w:val="22"/>
        </w:rPr>
      </w:pPr>
      <w:r>
        <w:rPr>
          <w:rFonts w:cs="Calibri" w:ascii="Calibri" w:hAnsi="Calibri"/>
          <w:b/>
          <w:bCs/>
          <w:sz w:val="22"/>
          <w:szCs w:val="22"/>
        </w:rPr>
      </w:r>
    </w:p>
    <w:p>
      <w:pPr>
        <w:pStyle w:val="Normal"/>
        <w:ind w:left="708" w:hanging="0"/>
        <w:jc w:val="both"/>
        <w:rPr>
          <w:rFonts w:ascii="Calibri" w:hAnsi="Calibri" w:cs="Calibri"/>
          <w:sz w:val="22"/>
          <w:szCs w:val="22"/>
        </w:rPr>
      </w:pPr>
      <w:r>
        <w:rPr>
          <w:rFonts w:cs="Calibri" w:ascii="Calibri" w:hAnsi="Calibri"/>
          <w:sz w:val="22"/>
          <w:szCs w:val="22"/>
        </w:rPr>
        <w:t xml:space="preserve">Sans remettre en cause le principe d’une enveloppe globale destinée aux augmentations individuelles, conformément aux procédures applicables au sein de la société il est convenu, par anticipation sur ladite enveloppe, d’une augmentation pour l’ensemble des salariés desdites catégories, de 3.5 % à valoir sur les augmentations individuelles à intervenir en mars 2023.  </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r>
    </w:p>
    <w:p>
      <w:pPr>
        <w:pStyle w:val="Normal"/>
        <w:shd w:fill="F2F2F2" w:val="clear"/>
        <w:jc w:val="both"/>
        <w:rPr>
          <w:rFonts w:ascii="Calibri" w:hAnsi="Calibri" w:cs="Calibri"/>
          <w:b/>
          <w:b/>
          <w:sz w:val="22"/>
          <w:szCs w:val="22"/>
        </w:rPr>
      </w:pPr>
      <w:r>
        <w:rPr>
          <w:rFonts w:cs="Calibri" w:ascii="Calibri" w:hAnsi="Calibri"/>
          <w:b/>
          <w:sz w:val="22"/>
          <w:szCs w:val="22"/>
          <w:u w:val="single"/>
        </w:rPr>
        <w:t>ARTICLE II</w:t>
      </w:r>
      <w:r>
        <w:rPr>
          <w:rFonts w:cs="Calibri" w:ascii="Calibri" w:hAnsi="Calibri"/>
          <w:b/>
          <w:sz w:val="22"/>
          <w:szCs w:val="22"/>
        </w:rPr>
        <w:t xml:space="preserve"> – AUTRES POINTS DE LA NEGOCIATION </w:t>
      </w:r>
    </w:p>
    <w:p>
      <w:pPr>
        <w:pStyle w:val="Normal"/>
        <w:shd w:fill="F2F2F2" w:val="clear"/>
        <w:jc w:val="both"/>
        <w:rPr>
          <w:rFonts w:ascii="Calibri" w:hAnsi="Calibri" w:cs="Calibri"/>
          <w:b/>
          <w:b/>
          <w:sz w:val="22"/>
          <w:szCs w:val="22"/>
        </w:rPr>
      </w:pPr>
      <w:r>
        <w:rPr>
          <w:rFonts w:cs="Calibri" w:ascii="Calibri" w:hAnsi="Calibri"/>
          <w:b/>
          <w:sz w:val="22"/>
          <w:szCs w:val="22"/>
        </w:rPr>
      </w:r>
    </w:p>
    <w:p>
      <w:pPr>
        <w:pStyle w:val="Heading6"/>
        <w:numPr>
          <w:ilvl w:val="5"/>
          <w:numId w:val="1"/>
        </w:numPr>
        <w:pBdr/>
        <w:spacing w:lineRule="atLeast" w:line="260"/>
        <w:jc w:val="both"/>
        <w:rPr>
          <w:rFonts w:ascii="Calibri" w:hAnsi="Calibri" w:cs="Calibri"/>
          <w:b w:val="false"/>
          <w:b w:val="false"/>
          <w:sz w:val="22"/>
          <w:szCs w:val="22"/>
        </w:rPr>
      </w:pPr>
      <w:r>
        <w:rPr>
          <w:rFonts w:cs="Calibri" w:ascii="Calibri" w:hAnsi="Calibri"/>
          <w:b w:val="false"/>
          <w:sz w:val="22"/>
          <w:szCs w:val="22"/>
        </w:rPr>
        <w:t xml:space="preserve">L’ensemble des thèmes de la négociation annuelle obligatoire sur la rémunération, le temps de travail et le partage de la valeur ajoutée seront traités lors de ladite négociation en mars 2023. </w:t>
      </w:r>
    </w:p>
    <w:p>
      <w:pPr>
        <w:pStyle w:val="Normal"/>
        <w:rPr>
          <w:rFonts w:ascii="Calibri" w:hAnsi="Calibri" w:cs="Calibri"/>
          <w:b/>
          <w:b/>
          <w:sz w:val="22"/>
          <w:szCs w:val="22"/>
        </w:rPr>
      </w:pPr>
      <w:r>
        <w:rPr>
          <w:rFonts w:cs="Calibri" w:ascii="Calibri" w:hAnsi="Calibri"/>
          <w:b/>
          <w:sz w:val="22"/>
          <w:szCs w:val="22"/>
        </w:rPr>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r>
    </w:p>
    <w:p>
      <w:pPr>
        <w:pStyle w:val="Normal"/>
        <w:shd w:fill="F2F2F2" w:val="clear"/>
        <w:jc w:val="both"/>
        <w:rPr>
          <w:rFonts w:ascii="Calibri" w:hAnsi="Calibri" w:cs="Calibri"/>
          <w:sz w:val="22"/>
          <w:szCs w:val="22"/>
        </w:rPr>
      </w:pPr>
      <w:r>
        <w:rPr>
          <w:rFonts w:cs="Calibri" w:ascii="Calibri" w:hAnsi="Calibri"/>
          <w:b/>
          <w:bCs/>
          <w:sz w:val="22"/>
          <w:szCs w:val="22"/>
          <w:u w:val="single"/>
        </w:rPr>
        <w:t>ARTICLE III</w:t>
      </w:r>
      <w:r>
        <w:rPr>
          <w:rFonts w:cs="Calibri" w:ascii="Calibri" w:hAnsi="Calibri"/>
          <w:b/>
          <w:bCs/>
          <w:sz w:val="22"/>
          <w:szCs w:val="22"/>
        </w:rPr>
        <w:t xml:space="preserve"> – DUREE DE L’ACCORD </w:t>
      </w:r>
    </w:p>
    <w:p>
      <w:pPr>
        <w:pStyle w:val="Normal"/>
        <w:jc w:val="both"/>
        <w:rPr>
          <w:rFonts w:ascii="Calibri" w:hAnsi="Calibri" w:cs="Calibri"/>
          <w:sz w:val="22"/>
          <w:szCs w:val="22"/>
        </w:rPr>
      </w:pPr>
      <w:r>
        <w:rPr>
          <w:rFonts w:cs="Calibri" w:ascii="Calibri" w:hAnsi="Calibri"/>
          <w:sz w:val="22"/>
          <w:szCs w:val="22"/>
        </w:rPr>
      </w:r>
    </w:p>
    <w:p>
      <w:pPr>
        <w:pStyle w:val="Normal"/>
        <w:jc w:val="both"/>
        <w:rPr>
          <w:rStyle w:val="Txt1"/>
          <w:rFonts w:ascii="Calibri" w:hAnsi="Calibri" w:cs="Calibri"/>
          <w:sz w:val="22"/>
          <w:szCs w:val="22"/>
          <w:highlight w:val="yellow"/>
        </w:rPr>
      </w:pPr>
      <w:r>
        <w:rPr>
          <w:rStyle w:val="Txt1"/>
          <w:rFonts w:cs="Calibri" w:ascii="Calibri" w:hAnsi="Calibri"/>
          <w:sz w:val="22"/>
          <w:szCs w:val="22"/>
        </w:rPr>
        <w:t>Le présent accord est conclu dans le cadre de la négociation périodique obligatoire sur la rémunération, le temps de travail et le partage de la valeur ajoutée laquelle se tiendra au premier trimestre 2023.</w:t>
      </w:r>
    </w:p>
    <w:p>
      <w:pPr>
        <w:pStyle w:val="Normal"/>
        <w:jc w:val="both"/>
        <w:rPr>
          <w:rStyle w:val="Txt1"/>
          <w:rFonts w:ascii="Calibri" w:hAnsi="Calibri" w:cs="Calibri"/>
          <w:sz w:val="22"/>
          <w:szCs w:val="22"/>
          <w:highlight w:val="yellow"/>
        </w:rPr>
      </w:pPr>
      <w:r>
        <w:rPr>
          <w:highlight w:val="yellow"/>
        </w:rPr>
      </w:r>
    </w:p>
    <w:p>
      <w:pPr>
        <w:pStyle w:val="Normal"/>
        <w:jc w:val="both"/>
        <w:rPr>
          <w:rStyle w:val="Txt1"/>
          <w:rFonts w:ascii="Calibri" w:hAnsi="Calibri" w:cs="Calibri"/>
          <w:sz w:val="22"/>
          <w:szCs w:val="22"/>
        </w:rPr>
      </w:pPr>
      <w:r>
        <w:rPr>
          <w:rStyle w:val="Txt1"/>
          <w:rFonts w:cs="Calibri" w:ascii="Calibri" w:hAnsi="Calibri"/>
          <w:sz w:val="22"/>
          <w:szCs w:val="22"/>
        </w:rPr>
        <w:t>Il cessera donc de produire effet de plein droit en même temps que l’accord sur les négociations annuelles obligatoires devant intervenir au premier trimestre 2023. Il n’est pas tacitement reconductible.</w:t>
      </w:r>
    </w:p>
    <w:p>
      <w:pPr>
        <w:pStyle w:val="Normal"/>
        <w:jc w:val="both"/>
        <w:rPr>
          <w:rStyle w:val="Txt1"/>
          <w:rFonts w:ascii="Calibri" w:hAnsi="Calibri" w:eastAsia="Calibri" w:cs="Calibri"/>
          <w:sz w:val="22"/>
          <w:szCs w:val="22"/>
          <w:lang w:eastAsia="en-US"/>
        </w:rPr>
      </w:pPr>
      <w:r>
        <w:rPr/>
      </w:r>
    </w:p>
    <w:p>
      <w:pPr>
        <w:pStyle w:val="Normal"/>
        <w:shd w:fill="F2F2F2" w:val="clear"/>
        <w:jc w:val="both"/>
        <w:rPr>
          <w:rFonts w:ascii="Calibri" w:hAnsi="Calibri" w:eastAsia="Calibri" w:cs="Calibri"/>
          <w:b/>
          <w:b/>
          <w:sz w:val="22"/>
          <w:szCs w:val="22"/>
          <w:u w:val="single"/>
          <w:lang w:eastAsia="en-US"/>
        </w:rPr>
      </w:pPr>
      <w:r>
        <w:rPr>
          <w:rFonts w:eastAsia="Calibri" w:cs="Calibri" w:ascii="Calibri" w:hAnsi="Calibri"/>
          <w:b/>
          <w:sz w:val="22"/>
          <w:szCs w:val="22"/>
          <w:u w:val="single"/>
          <w:lang w:eastAsia="en-US"/>
        </w:rPr>
      </w:r>
    </w:p>
    <w:p>
      <w:pPr>
        <w:pStyle w:val="Normal"/>
        <w:shd w:fill="F2F2F2" w:val="clear"/>
        <w:jc w:val="both"/>
        <w:rPr>
          <w:rFonts w:ascii="Calibri" w:hAnsi="Calibri" w:eastAsia="Calibri" w:cs="Calibri"/>
          <w:b/>
          <w:b/>
          <w:sz w:val="22"/>
          <w:szCs w:val="22"/>
          <w:lang w:eastAsia="en-US"/>
        </w:rPr>
      </w:pPr>
      <w:r>
        <w:rPr>
          <w:rFonts w:eastAsia="Calibri" w:cs="Calibri" w:ascii="Calibri" w:hAnsi="Calibri"/>
          <w:b/>
          <w:sz w:val="22"/>
          <w:szCs w:val="22"/>
          <w:u w:val="single"/>
          <w:lang w:eastAsia="en-US"/>
        </w:rPr>
        <w:t>ARTICLE IV</w:t>
      </w:r>
      <w:r>
        <w:rPr>
          <w:rFonts w:eastAsia="Calibri" w:cs="Calibri" w:ascii="Calibri" w:hAnsi="Calibri"/>
          <w:b/>
          <w:sz w:val="22"/>
          <w:szCs w:val="22"/>
          <w:lang w:eastAsia="en-US"/>
        </w:rPr>
        <w:t xml:space="preserve"> – PUBLICITE ET DEPOT</w:t>
      </w:r>
    </w:p>
    <w:p>
      <w:pPr>
        <w:pStyle w:val="Normal"/>
        <w:jc w:val="both"/>
        <w:rPr>
          <w:rFonts w:ascii="Calibri" w:hAnsi="Calibri" w:eastAsia="Calibri" w:cs="Calibri"/>
          <w:b/>
          <w:b/>
          <w:sz w:val="22"/>
          <w:szCs w:val="22"/>
          <w:lang w:eastAsia="en-US"/>
        </w:rPr>
      </w:pPr>
      <w:r>
        <w:rPr>
          <w:rFonts w:eastAsia="Calibri" w:cs="Calibri" w:ascii="Calibri" w:hAnsi="Calibri"/>
          <w:b/>
          <w:sz w:val="22"/>
          <w:szCs w:val="22"/>
          <w:lang w:eastAsia="en-US"/>
        </w:rPr>
      </w:r>
    </w:p>
    <w:p>
      <w:pPr>
        <w:pStyle w:val="Normal"/>
        <w:jc w:val="both"/>
        <w:rPr/>
      </w:pPr>
      <w:r>
        <w:rPr>
          <w:rFonts w:eastAsia="Calibri" w:cs="Calibri" w:ascii="Calibri" w:hAnsi="Calibri"/>
          <w:sz w:val="22"/>
          <w:szCs w:val="22"/>
          <w:lang w:eastAsia="en-US"/>
        </w:rPr>
        <w:t>Le présent accord sera notifié</w:t>
      </w:r>
      <w:r>
        <w:rPr>
          <w:rFonts w:cs="Calibri" w:ascii="Calibri" w:hAnsi="Calibri"/>
          <w:sz w:val="22"/>
          <w:szCs w:val="22"/>
        </w:rPr>
        <w:t xml:space="preserve">, par lettre remise en main propre ou Lettre Recommandée avec A.R., </w:t>
      </w:r>
      <w:r>
        <w:rPr>
          <w:rFonts w:eastAsia="Calibri" w:cs="Calibri" w:ascii="Calibri" w:hAnsi="Calibri"/>
          <w:sz w:val="22"/>
          <w:szCs w:val="22"/>
          <w:lang w:eastAsia="en-US"/>
        </w:rPr>
        <w:t xml:space="preserve">à l'organisation syndicale représentative dans l'entreprise. </w:t>
      </w:r>
    </w:p>
    <w:p>
      <w:pPr>
        <w:pStyle w:val="Normal"/>
        <w:jc w:val="both"/>
        <w:rPr>
          <w:rFonts w:ascii="Calibri" w:hAnsi="Calibri" w:eastAsia="Calibri" w:cs="Calibri"/>
          <w:sz w:val="22"/>
          <w:szCs w:val="22"/>
          <w:lang w:eastAsia="en-US"/>
        </w:rPr>
      </w:pPr>
      <w:r>
        <w:rPr>
          <w:rFonts w:eastAsia="Calibri" w:cs="Calibri" w:ascii="Calibri" w:hAnsi="Calibri"/>
          <w:sz w:val="22"/>
          <w:szCs w:val="22"/>
          <w:lang w:eastAsia="en-US"/>
        </w:rPr>
      </w:r>
    </w:p>
    <w:p>
      <w:pPr>
        <w:pStyle w:val="Normal"/>
        <w:jc w:val="both"/>
        <w:rPr/>
      </w:pPr>
      <w:r>
        <w:rPr>
          <w:rFonts w:cs="Calibri" w:ascii="Calibri" w:hAnsi="Calibri"/>
          <w:sz w:val="22"/>
          <w:szCs w:val="22"/>
          <w:lang w:eastAsia="en-US"/>
        </w:rPr>
        <w:t xml:space="preserve">Le présent </w:t>
      </w:r>
      <w:r>
        <w:rPr>
          <w:rFonts w:eastAsia="Calibri" w:cs="Calibri" w:ascii="Calibri" w:hAnsi="Calibri"/>
          <w:sz w:val="22"/>
          <w:szCs w:val="22"/>
          <w:lang w:eastAsia="en-US"/>
        </w:rPr>
        <w:t xml:space="preserve">accord </w:t>
      </w:r>
      <w:r>
        <w:rPr>
          <w:rFonts w:cs="Calibri" w:ascii="Calibri" w:hAnsi="Calibri"/>
          <w:sz w:val="22"/>
          <w:szCs w:val="22"/>
          <w:lang w:eastAsia="en-US"/>
        </w:rPr>
        <w:t>sera porté à la connaissance du personnel par voie d’affichage.</w:t>
      </w:r>
    </w:p>
    <w:p>
      <w:pPr>
        <w:pStyle w:val="Normal"/>
        <w:jc w:val="both"/>
        <w:rPr>
          <w:rFonts w:ascii="Calibri" w:hAnsi="Calibri" w:cs="Calibri"/>
          <w:sz w:val="22"/>
          <w:szCs w:val="22"/>
          <w:lang w:eastAsia="en-US"/>
        </w:rPr>
      </w:pPr>
      <w:r>
        <w:rPr>
          <w:rFonts w:cs="Calibri" w:ascii="Calibri" w:hAnsi="Calibri"/>
          <w:sz w:val="22"/>
          <w:szCs w:val="22"/>
          <w:lang w:eastAsia="en-US"/>
        </w:rPr>
      </w:r>
    </w:p>
    <w:p>
      <w:pPr>
        <w:pStyle w:val="Normal"/>
        <w:jc w:val="both"/>
        <w:rPr>
          <w:rFonts w:ascii="Calibri" w:hAnsi="Calibri" w:cs="Calibri"/>
          <w:sz w:val="22"/>
          <w:szCs w:val="22"/>
          <w:lang w:eastAsia="en-US"/>
        </w:rPr>
      </w:pPr>
      <w:r>
        <w:rPr>
          <w:rFonts w:cs="Calibri" w:ascii="Calibri" w:hAnsi="Calibri"/>
          <w:sz w:val="22"/>
          <w:szCs w:val="22"/>
          <w:lang w:eastAsia="en-US"/>
        </w:rPr>
        <w:t>Conformément aux dispositions de l’article D. 2231-4 et D. 2231-7 du Code du travail, le présent accord sera déposé sur la plateforme nationale « TéléAccords » et en un exemplaire au secrétariat-greffe du Conseil de Prud'hommes d’XXXXX.</w:t>
      </w:r>
    </w:p>
    <w:p>
      <w:pPr>
        <w:pStyle w:val="Normal"/>
        <w:rPr>
          <w:rFonts w:ascii="Calibri" w:hAnsi="Calibri" w:cs="Calibri"/>
          <w:sz w:val="22"/>
          <w:szCs w:val="22"/>
          <w:lang w:eastAsia="en-US"/>
        </w:rPr>
      </w:pPr>
      <w:r>
        <w:rPr>
          <w:rFonts w:cs="Calibri" w:ascii="Calibri" w:hAnsi="Calibri"/>
          <w:sz w:val="22"/>
          <w:szCs w:val="22"/>
          <w:lang w:eastAsia="en-US"/>
        </w:rPr>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t>Fait à Félines,  le 26 Septembre 2022, en 4 exemplaires</w:t>
      </w:r>
    </w:p>
    <w:p>
      <w:pPr>
        <w:pStyle w:val="Normal"/>
        <w:jc w:val="both"/>
        <w:rPr>
          <w:rFonts w:ascii="Calibri" w:hAnsi="Calibri" w:cs="Calibri"/>
          <w:sz w:val="22"/>
          <w:szCs w:val="22"/>
        </w:rPr>
      </w:pPr>
      <w:r>
        <w:rPr>
          <w:rFonts w:cs="Calibri" w:ascii="Calibri" w:hAnsi="Calibri"/>
          <w:sz w:val="22"/>
          <w:szCs w:val="22"/>
        </w:rPr>
      </w:r>
    </w:p>
    <w:p>
      <w:pPr>
        <w:pStyle w:val="Normal"/>
        <w:jc w:val="both"/>
        <w:rPr/>
      </w:pPr>
      <w:r>
        <w:rPr>
          <w:rFonts w:cs="Calibri" w:ascii="Calibri" w:hAnsi="Calibri"/>
          <w:b/>
          <w:sz w:val="22"/>
          <w:szCs w:val="22"/>
        </w:rPr>
        <w:t>Pour le syndicat</w:t>
        <w:tab/>
        <w:tab/>
        <w:tab/>
        <w:tab/>
        <w:tab/>
        <w:tab/>
        <w:t>Pour la Direction</w:t>
      </w:r>
    </w:p>
    <w:p>
      <w:pPr>
        <w:pStyle w:val="Normal"/>
        <w:jc w:val="both"/>
        <w:rPr>
          <w:rFonts w:ascii="Calibri" w:hAnsi="Calibri" w:cs="Calibri"/>
          <w:b/>
          <w:b/>
          <w:sz w:val="22"/>
          <w:szCs w:val="22"/>
        </w:rPr>
      </w:pPr>
      <w:r>
        <w:rPr>
          <w:rFonts w:cs="Calibri" w:ascii="Calibri" w:hAnsi="Calibri"/>
          <w:b/>
          <w:sz w:val="22"/>
          <w:szCs w:val="22"/>
        </w:rPr>
        <w:tab/>
        <w:tab/>
        <w:tab/>
        <w:tab/>
        <w:tab/>
        <w:tab/>
        <w:tab/>
        <w:tab/>
        <w:t>Directeur de site</w:t>
      </w:r>
    </w:p>
    <w:p>
      <w:pPr>
        <w:pStyle w:val="Normal"/>
        <w:jc w:val="both"/>
        <w:rPr>
          <w:rFonts w:ascii="Tahoma" w:hAnsi="Tahoma" w:cs="Tahoma"/>
          <w:b/>
          <w:b/>
          <w:sz w:val="18"/>
          <w:szCs w:val="18"/>
        </w:rPr>
      </w:pPr>
      <w:r>
        <w:rPr>
          <w:rFonts w:cs="Tahoma" w:ascii="Tahoma" w:hAnsi="Tahoma"/>
          <w:b/>
          <w:sz w:val="18"/>
          <w:szCs w:val="18"/>
        </w:rPr>
      </w:r>
    </w:p>
    <w:sectPr>
      <w:footerReference w:type="default" r:id="rId2"/>
      <w:type w:val="nextPage"/>
      <w:pgSz w:w="11906" w:h="16838"/>
      <w:pgMar w:left="1417" w:right="1417" w:header="0" w:top="708"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Wingdings">
    <w:charset w:val="02"/>
    <w:family w:val="auto"/>
    <w:pitch w:val="variable"/>
  </w:font>
  <w:font w:name="Courier New">
    <w:charset w:val="00"/>
    <w:family w:val="modern"/>
    <w:pitch w:val="default"/>
  </w:font>
  <w:font w:name="Verdana">
    <w:charset w:val="00"/>
    <w:family w:val="swiss"/>
    <w:pitch w:val="variable"/>
  </w:font>
  <w:font w:name="Calibri Light">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12" w:space="1" w:color="000000"/>
      </w:pBdr>
      <w:tabs>
        <w:tab w:val="center" w:pos="4536" w:leader="none"/>
        <w:tab w:val="right" w:pos="9072" w:leader="none"/>
      </w:tabs>
      <w:overflowPunct w:val="false"/>
      <w:autoSpaceDE w:val="false"/>
      <w:jc w:val="center"/>
      <w:textAlignment w:val="baseline"/>
      <w:rPr/>
    </w:pPr>
    <w:r>
      <w:rPr/>
    </w:r>
    <w:r>
      <mc:AlternateContent>
        <mc:Choice Requires="wps">
          <w:drawing>
            <wp:anchor behindDoc="0" distT="0" distB="0" distL="0" distR="0" simplePos="0" locked="0" layoutInCell="1" allowOverlap="1" relativeHeight="4">
              <wp:simplePos x="0" y="0"/>
              <wp:positionH relativeFrom="margin">
                <wp:align>right</wp:align>
              </wp:positionH>
              <wp:positionV relativeFrom="paragraph">
                <wp:posOffset>635</wp:posOffset>
              </wp:positionV>
              <wp:extent cx="212725"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212725" cy="175260"/>
                      </a:xfrm>
                      <a:prstGeom prst="rect"/>
                      <a:solidFill>
                        <a:srgbClr val="FFFFFF">
                          <a:alpha val="0"/>
                        </a:srgbClr>
                      </a:solidFill>
                    </wps:spPr>
                    <wps:txbx>
                      <w:txbxContent>
                        <w:p>
                          <w:pPr>
                            <w:pStyle w:val="Footer"/>
                            <w:rPr>
                              <w:rStyle w:val="PageNumber"/>
                            </w:rPr>
                          </w:pPr>
                          <w:r>
                            <w:rPr>
                              <w:rStyle w:val="PageNumber"/>
                            </w:rPr>
                            <w:fldChar w:fldCharType="begin"/>
                          </w:r>
                          <w:r>
                            <w:instrText> PAGE </w:instrText>
                          </w:r>
                          <w:r>
                            <w:fldChar w:fldCharType="separate"/>
                          </w:r>
                          <w:r>
                            <w:t>3</w:t>
                          </w:r>
                          <w:r>
                            <w:fldChar w:fldCharType="end"/>
                          </w:r>
                          <w:r>
                            <w:rPr>
                              <w:rStyle w:val="PageNumber"/>
                            </w:rPr>
                            <w:t>/3</w:t>
                          </w:r>
                        </w:p>
                      </w:txbxContent>
                    </wps:txbx>
                    <wps:bodyPr anchor="t">
                      <a:noAutofit/>
                    </wps:bodyPr>
                  </wps:wsp>
                </a:graphicData>
              </a:graphic>
            </wp:anchor>
          </w:drawing>
        </mc:Choice>
        <mc:Fallback>
          <w:pict>
            <v:rect fillcolor="#FFFFFF" style="position:absolute;rotation:0;width:16.75pt;height:13.8pt;margin-top:0.05pt;mso-position-vertical-relative:text;margin-left:436.85pt;mso-position-horizontal:right;mso-position-horizontal-relative:margin">
              <v:fill opacity="0f"/>
              <v:textbox>
                <w:txbxContent>
                  <w:p>
                    <w:pPr>
                      <w:pStyle w:val="Footer"/>
                      <w:rPr>
                        <w:rStyle w:val="PageNumber"/>
                      </w:rPr>
                    </w:pPr>
                    <w:r>
                      <w:rPr>
                        <w:rStyle w:val="PageNumber"/>
                      </w:rPr>
                      <w:fldChar w:fldCharType="begin"/>
                    </w:r>
                    <w:r>
                      <w:instrText> PAGE </w:instrText>
                    </w:r>
                    <w:r>
                      <w:fldChar w:fldCharType="separate"/>
                    </w:r>
                    <w:r>
                      <w:t>3</w:t>
                    </w:r>
                    <w:r>
                      <w:fldChar w:fldCharType="end"/>
                    </w:r>
                    <w:r>
                      <w:rPr>
                        <w:rStyle w:val="PageNumber"/>
                      </w:rPr>
                      <w:t>/3</w:t>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Arial" w:hAnsi="Arial" w:eastAsia="Times New Roman" w:cs="Arial"/>
      <w:color w:val="auto"/>
      <w:sz w:val="24"/>
      <w:szCs w:val="24"/>
      <w:lang w:val="fr-FR" w:bidi="ar-SA" w:eastAsia="zh-CN"/>
    </w:rPr>
  </w:style>
  <w:style w:type="paragraph" w:styleId="Heading5">
    <w:name w:val="Heading 5"/>
    <w:basedOn w:val="Normal"/>
    <w:next w:val="Normal"/>
    <w:qFormat/>
    <w:pPr>
      <w:keepNext w:val="true"/>
      <w:numPr>
        <w:ilvl w:val="4"/>
        <w:numId w:val="1"/>
      </w:numPr>
      <w:pBdr>
        <w:top w:val="single" w:sz="12" w:space="0" w:color="000000"/>
        <w:left w:val="single" w:sz="12" w:space="0" w:color="000000"/>
        <w:bottom w:val="single" w:sz="12" w:space="0" w:color="000000"/>
        <w:right w:val="single" w:sz="12" w:space="0" w:color="000000"/>
      </w:pBdr>
      <w:suppressAutoHyphens w:val="true"/>
      <w:spacing w:lineRule="atLeast" w:line="335"/>
      <w:jc w:val="center"/>
      <w:outlineLvl w:val="4"/>
    </w:pPr>
    <w:rPr>
      <w:rFonts w:ascii="Tahoma" w:hAnsi="Tahoma" w:cs="Tahoma"/>
      <w:b/>
      <w:sz w:val="28"/>
    </w:rPr>
  </w:style>
  <w:style w:type="paragraph" w:styleId="Heading6">
    <w:name w:val="Heading 6"/>
    <w:basedOn w:val="Normal"/>
    <w:next w:val="Normal"/>
    <w:qFormat/>
    <w:pPr>
      <w:keepNext w:val="true"/>
      <w:numPr>
        <w:ilvl w:val="5"/>
        <w:numId w:val="1"/>
      </w:numPr>
      <w:pBdr>
        <w:top w:val="single" w:sz="12" w:space="0" w:color="000000"/>
        <w:left w:val="single" w:sz="12" w:space="0" w:color="000000"/>
        <w:bottom w:val="single" w:sz="12" w:space="0" w:color="000000"/>
        <w:right w:val="single" w:sz="12" w:space="0" w:color="000000"/>
      </w:pBdr>
      <w:suppressAutoHyphens w:val="true"/>
      <w:spacing w:lineRule="atLeast" w:line="335"/>
      <w:jc w:val="center"/>
      <w:outlineLvl w:val="5"/>
    </w:pPr>
    <w:rPr>
      <w:rFonts w:ascii="Tahoma" w:hAnsi="Tahoma" w:cs="Tahoma"/>
      <w:b/>
    </w:rPr>
  </w:style>
  <w:style w:type="character" w:styleId="WW8Num1z0">
    <w:name w:val="WW8Num1z0"/>
    <w:qFormat/>
    <w:rPr>
      <w:rFonts w:ascii="Wingdings" w:hAnsi="Wingdings" w:eastAsia="Times New Roman" w:cs="Aria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Wingdings" w:hAnsi="Wingdings" w:eastAsia="Times New Roman" w:cs="Arial"/>
      <w:u w:val="single"/>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eastAsia="Times New Roman" w:cs="Aria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Wingdings" w:hAnsi="Wingdings" w:eastAsia="Times New Roman" w:cs="Arial"/>
      <w:u w:val="single"/>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Wingdings" w:hAnsi="Wingdings" w:eastAsia="Times New Roman" w:cs="Arial"/>
      <w:u w:val="single"/>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Wingdings" w:hAnsi="Wingdings" w:eastAsia="Times New Roman" w:cs="Aria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Verdana" w:hAnsi="Verdana" w:eastAsia="Times New Roman" w:cs="Aria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Symbol" w:hAnsi="Symbol" w:cs="Symbol"/>
      <w:sz w:val="20"/>
    </w:rPr>
  </w:style>
  <w:style w:type="character" w:styleId="WW8Num23z1">
    <w:name w:val="WW8Num23z1"/>
    <w:qFormat/>
    <w:rPr>
      <w:rFonts w:ascii="Courier New" w:hAnsi="Courier New" w:cs="Courier New"/>
      <w:sz w:val="20"/>
    </w:rPr>
  </w:style>
  <w:style w:type="character" w:styleId="WW8Num23z2">
    <w:name w:val="WW8Num23z2"/>
    <w:qFormat/>
    <w:rPr>
      <w:rFonts w:ascii="Wingdings" w:hAnsi="Wingdings" w:cs="Wingdings"/>
      <w:sz w:val="20"/>
    </w:rPr>
  </w:style>
  <w:style w:type="character" w:styleId="Policepardfaut">
    <w:name w:val="Police par défaut"/>
    <w:qFormat/>
    <w:rPr/>
  </w:style>
  <w:style w:type="character" w:styleId="Titre5Car">
    <w:name w:val="Titre 5 Car"/>
    <w:qFormat/>
    <w:rPr>
      <w:rFonts w:ascii="Tahoma" w:hAnsi="Tahoma" w:cs="Tahoma"/>
      <w:b/>
      <w:sz w:val="28"/>
      <w:szCs w:val="24"/>
      <w:lang w:val="fr-FR" w:bidi="ar-SA"/>
    </w:rPr>
  </w:style>
  <w:style w:type="character" w:styleId="Titre6Car">
    <w:name w:val="Titre 6 Car"/>
    <w:qFormat/>
    <w:rPr>
      <w:rFonts w:ascii="Tahoma" w:hAnsi="Tahoma" w:cs="Tahoma"/>
      <w:b/>
      <w:sz w:val="24"/>
      <w:szCs w:val="24"/>
      <w:lang w:val="fr-FR" w:bidi="ar-SA"/>
    </w:rPr>
  </w:style>
  <w:style w:type="character" w:styleId="PageNumber">
    <w:name w:val="Page Number"/>
    <w:basedOn w:val="Policepardfaut"/>
    <w:rPr/>
  </w:style>
  <w:style w:type="character" w:styleId="TextedebullesCar">
    <w:name w:val="Texte de bulles Car"/>
    <w:qFormat/>
    <w:rPr>
      <w:rFonts w:ascii="Tahoma" w:hAnsi="Tahoma" w:cs="Tahoma"/>
      <w:sz w:val="16"/>
      <w:szCs w:val="16"/>
    </w:rPr>
  </w:style>
  <w:style w:type="character" w:styleId="Marquedecommentaire">
    <w:name w:val="Marque de commentaire"/>
    <w:qFormat/>
    <w:rPr>
      <w:sz w:val="16"/>
      <w:szCs w:val="16"/>
    </w:rPr>
  </w:style>
  <w:style w:type="character" w:styleId="CommentaireCar">
    <w:name w:val="Commentaire Car"/>
    <w:qFormat/>
    <w:rPr>
      <w:rFonts w:ascii="Arial" w:hAnsi="Arial" w:cs="Arial"/>
    </w:rPr>
  </w:style>
  <w:style w:type="character" w:styleId="ObjetducommentaireCar">
    <w:name w:val="Objet du commentaire Car"/>
    <w:qFormat/>
    <w:rPr>
      <w:rFonts w:ascii="Arial" w:hAnsi="Arial" w:cs="Arial"/>
      <w:b/>
      <w:bCs/>
    </w:rPr>
  </w:style>
  <w:style w:type="character" w:styleId="Txt1">
    <w:name w:val="txt1"/>
    <w:qFormat/>
    <w:rPr>
      <w:rFonts w:ascii="Arial" w:hAnsi="Arial" w:cs="Arial"/>
      <w:b w:val="false"/>
      <w:bCs w:val="false"/>
      <w:color w:val="000000"/>
      <w:spacing w:val="0"/>
      <w:sz w:val="18"/>
      <w:szCs w:val="18"/>
    </w:rPr>
  </w:style>
  <w:style w:type="character" w:styleId="InternetLink">
    <w:name w:val="Internet Link"/>
    <w:rPr>
      <w:color w:val="0000FF"/>
      <w:u w:val="single"/>
    </w:rPr>
  </w:style>
  <w:style w:type="character" w:styleId="TitreCar">
    <w:name w:val="Titre Car"/>
    <w:qFormat/>
    <w:rPr>
      <w:rFonts w:ascii="Calibri Light" w:hAnsi="Calibri Light" w:cs="Calibri Light"/>
      <w:b/>
      <w:bCs/>
      <w:sz w:val="32"/>
      <w:szCs w:val="32"/>
    </w:rPr>
  </w:style>
  <w:style w:type="paragraph" w:styleId="Heading">
    <w:name w:val="Heading"/>
    <w:basedOn w:val="Normal"/>
    <w:next w:val="Normal"/>
    <w:qFormat/>
    <w:pPr>
      <w:spacing w:before="240" w:after="60"/>
      <w:jc w:val="center"/>
      <w:outlineLvl w:val="0"/>
    </w:pPr>
    <w:rPr>
      <w:rFonts w:ascii="Calibri Light" w:hAnsi="Calibri Light" w:cs="Times New Roman"/>
      <w:b/>
      <w:bCs/>
      <w:sz w:val="32"/>
      <w:szCs w:val="32"/>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exte">
    <w:name w:val="texte"/>
    <w:basedOn w:val="Normal"/>
    <w:qFormat/>
    <w:pPr>
      <w:jc w:val="both"/>
    </w:pPr>
    <w:rPr/>
  </w:style>
  <w:style w:type="paragraph" w:styleId="Footer">
    <w:name w:val="Footer"/>
    <w:basedOn w:val="Normal"/>
    <w:pPr>
      <w:tabs>
        <w:tab w:val="center" w:pos="4536" w:leader="none"/>
        <w:tab w:val="right" w:pos="9072" w:leader="none"/>
      </w:tabs>
    </w:pPr>
    <w:rPr/>
  </w:style>
  <w:style w:type="paragraph" w:styleId="Textedebulles">
    <w:name w:val="Texte de bulles"/>
    <w:basedOn w:val="Normal"/>
    <w:qFormat/>
    <w:pPr/>
    <w:rPr>
      <w:rFonts w:ascii="Tahoma" w:hAnsi="Tahoma" w:cs="Tahoma"/>
      <w:sz w:val="16"/>
      <w:szCs w:val="16"/>
    </w:rPr>
  </w:style>
  <w:style w:type="paragraph" w:styleId="Commentaire">
    <w:name w:val="Commentaire"/>
    <w:basedOn w:val="Normal"/>
    <w:qFormat/>
    <w:pPr/>
    <w:rPr>
      <w:sz w:val="20"/>
      <w:szCs w:val="20"/>
    </w:rPr>
  </w:style>
  <w:style w:type="paragraph" w:styleId="Objetducommentaire">
    <w:name w:val="Objet du commentaire"/>
    <w:basedOn w:val="Commentaire"/>
    <w:next w:val="Commentaire"/>
    <w:qFormat/>
    <w:pPr/>
    <w:rPr>
      <w:b/>
      <w:bCs/>
    </w:rPr>
  </w:style>
  <w:style w:type="paragraph" w:styleId="Header">
    <w:name w:val="Header"/>
    <w:basedOn w:val="Normal"/>
    <w:pPr>
      <w:tabs>
        <w:tab w:val="center" w:pos="4536" w:leader="none"/>
        <w:tab w:val="right" w:pos="9072" w:leader="none"/>
      </w:tabs>
    </w:pPr>
    <w:rPr/>
  </w:style>
  <w:style w:type="paragraph" w:styleId="NormalWeb">
    <w:name w:val="Normal (Web)"/>
    <w:basedOn w:val="Normal"/>
    <w:qFormat/>
    <w:pPr>
      <w:spacing w:before="280" w:after="280"/>
    </w:pPr>
    <w:rPr>
      <w:rFonts w:ascii="Times New Roman" w:hAnsi="Times New Roman" w:cs="Times New Roman"/>
      <w:lang w:bidi="en-GB"/>
    </w:rPr>
  </w:style>
  <w:style w:type="paragraph" w:styleId="Rvision">
    <w:name w:val="Révision"/>
    <w:qFormat/>
    <w:pPr>
      <w:widowControl/>
    </w:pPr>
    <w:rPr>
      <w:rFonts w:ascii="Arial" w:hAnsi="Arial" w:eastAsia="Times New Roman" w:cs="Arial"/>
      <w:color w:val="auto"/>
      <w:sz w:val="24"/>
      <w:szCs w:val="24"/>
      <w:lang w:val="fr-FR" w:bidi="ar-SA" w:eastAsia="zh-CN"/>
    </w:rPr>
  </w:style>
  <w:style w:type="paragraph" w:styleId="Paragraphedeliste">
    <w:name w:val="Paragraphe de liste"/>
    <w:basedOn w:val="Normal"/>
    <w:qFormat/>
    <w:pPr>
      <w:ind w:left="708"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2022-09-27T14:46:00Z</dcterms:created>
  <dc:creator/>
  <dc:description/>
  <dc:language>en-GB</dc:language>
  <cp:lastModifiedBy/>
  <cp:lastPrinted>2022-09-23T10:21:00Z</cp:lastPrinted>
  <dcterms:modified xsi:type="dcterms:W3CDTF">2022-09-27T14:48:00Z</dcterms:modified>
  <cp:revision>4</cp:revision>
  <dc:subject/>
  <dc:title>Négociation annuelle obligatoire</dc:title>
</cp:coreProperties>
</file>