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284" w:right="565" w:hanging="0"/>
        <w:jc w:val="center"/>
        <w:outlineLvl w:val="2"/>
        <w:rPr>
          <w:rFonts w:ascii="Book Antiqua" w:hAnsi="Book Antiqua" w:cs="Arial"/>
          <w:b/>
          <w:b/>
          <w:bCs/>
        </w:rPr>
      </w:pPr>
      <w:r>
        <w:rPr>
          <w:rFonts w:cs="Arial" w:ascii="Book Antiqua" w:hAnsi="Book Antiqua"/>
          <w:b/>
          <w:bCs/>
        </w:rPr>
      </w:r>
    </w:p>
    <w:p>
      <w:pPr>
        <w:pStyle w:val="Normal"/>
        <w:numPr>
          <w:ilvl w:val="0"/>
          <w:numId w:val="0"/>
        </w:numPr>
        <w:pBdr>
          <w:top w:val="single" w:sz="4" w:space="1" w:color="000000"/>
          <w:bottom w:val="single" w:sz="4" w:space="1" w:color="000000"/>
        </w:pBdr>
        <w:spacing w:lineRule="auto" w:line="360"/>
        <w:ind w:left="284" w:right="565" w:hanging="0"/>
        <w:jc w:val="center"/>
        <w:outlineLvl w:val="2"/>
        <w:rPr>
          <w:rFonts w:ascii="Book Antiqua" w:hAnsi="Book Antiqua" w:cs="Arial"/>
          <w:b/>
          <w:b/>
          <w:bCs/>
          <w:i/>
          <w:i/>
        </w:rPr>
      </w:pPr>
      <w:r>
        <w:rPr>
          <w:rFonts w:cs="Arial" w:ascii="Book Antiqua" w:hAnsi="Book Antiqua"/>
          <w:b/>
          <w:bCs/>
          <w:i/>
        </w:rPr>
      </w:r>
    </w:p>
    <w:p>
      <w:pPr>
        <w:pStyle w:val="Heading1"/>
        <w:numPr>
          <w:ilvl w:val="0"/>
          <w:numId w:val="1"/>
        </w:numPr>
        <w:pBdr>
          <w:top w:val="single" w:sz="4" w:space="1" w:color="000000"/>
          <w:bottom w:val="single" w:sz="4" w:space="1" w:color="000000"/>
        </w:pBdr>
        <w:spacing w:lineRule="auto" w:line="360" w:before="0" w:after="0"/>
        <w:ind w:left="284" w:right="565" w:hanging="0"/>
        <w:rPr/>
      </w:pPr>
      <w:r>
        <w:rPr>
          <w:rFonts w:cs="Book Antiqua" w:ascii="Book Antiqua" w:hAnsi="Book Antiqua"/>
          <w:b w:val="false"/>
          <w:bCs w:val="false"/>
          <w:i/>
          <w:sz w:val="40"/>
          <w:szCs w:val="40"/>
        </w:rPr>
        <w:tab/>
      </w:r>
      <w:r>
        <w:rPr>
          <w:rFonts w:cs="Book Antiqua" w:ascii="Book Antiqua" w:hAnsi="Book Antiqua"/>
          <w:i/>
          <w:iCs/>
          <w:color w:val="000000"/>
          <w:sz w:val="40"/>
          <w:szCs w:val="40"/>
        </w:rPr>
        <w:t>CARROSSERIE JARJAT</w:t>
      </w:r>
    </w:p>
    <w:p>
      <w:pPr>
        <w:pStyle w:val="Normal"/>
        <w:numPr>
          <w:ilvl w:val="0"/>
          <w:numId w:val="0"/>
        </w:numPr>
        <w:pBdr>
          <w:top w:val="single" w:sz="4" w:space="1" w:color="000000"/>
          <w:bottom w:val="single" w:sz="4" w:space="1" w:color="000000"/>
        </w:pBdr>
        <w:spacing w:lineRule="auto" w:line="360"/>
        <w:ind w:left="284" w:right="565" w:hanging="0"/>
        <w:jc w:val="center"/>
        <w:outlineLvl w:val="2"/>
        <w:rPr>
          <w:rFonts w:ascii="Book Antiqua" w:hAnsi="Book Antiqua" w:cs="Arial"/>
          <w:b/>
          <w:b/>
          <w:bCs/>
          <w:i/>
          <w:i/>
        </w:rPr>
      </w:pPr>
      <w:r>
        <w:rPr>
          <w:rFonts w:cs="Arial" w:ascii="Book Antiqua" w:hAnsi="Book Antiqua"/>
          <w:b/>
          <w:bCs/>
          <w:i/>
        </w:rPr>
        <w:t>ACCORD D’ENTREPRISE AUGMENTATION GENERALE DE SALAIRE</w:t>
      </w:r>
    </w:p>
    <w:p>
      <w:pPr>
        <w:pStyle w:val="Normal"/>
        <w:ind w:right="565" w:hanging="0"/>
        <w:rPr>
          <w:rFonts w:ascii="Book Antiqua" w:hAnsi="Book Antiqua" w:cs="Book Antiqua"/>
          <w:b/>
          <w:b/>
          <w:bCs/>
          <w:i/>
          <w:i/>
        </w:rPr>
      </w:pPr>
      <w:r>
        <w:rPr>
          <w:rFonts w:cs="Book Antiqua" w:ascii="Book Antiqua" w:hAnsi="Book Antiqua"/>
          <w:b/>
          <w:bCs/>
          <w:i/>
        </w:rPr>
      </w:r>
    </w:p>
    <w:p>
      <w:pPr>
        <w:pStyle w:val="Normal"/>
        <w:ind w:left="284" w:right="565" w:hanging="0"/>
        <w:rPr>
          <w:rFonts w:ascii="Book Antiqua" w:hAnsi="Book Antiqua" w:cs="Book Antiqua"/>
          <w:b/>
          <w:b/>
        </w:rPr>
      </w:pPr>
      <w:r>
        <w:rPr>
          <w:rFonts w:cs="Book Antiqua" w:ascii="Book Antiqua" w:hAnsi="Book Antiqua"/>
          <w:b/>
        </w:rPr>
        <w:t>ENTRE :</w:t>
      </w:r>
    </w:p>
    <w:p>
      <w:pPr>
        <w:pStyle w:val="Normal"/>
        <w:ind w:left="284" w:right="565" w:hanging="0"/>
        <w:rPr>
          <w:rFonts w:ascii="Book Antiqua" w:hAnsi="Book Antiqua" w:cs="Book Antiqua"/>
          <w:b/>
          <w:b/>
        </w:rPr>
      </w:pPr>
      <w:r>
        <w:rPr>
          <w:rFonts w:cs="Book Antiqua" w:ascii="Book Antiqua" w:hAnsi="Book Antiqua"/>
          <w:b/>
        </w:rPr>
      </w:r>
    </w:p>
    <w:p>
      <w:pPr>
        <w:pStyle w:val="Normal"/>
        <w:ind w:left="284" w:right="565" w:hanging="0"/>
        <w:jc w:val="both"/>
        <w:rPr/>
      </w:pPr>
      <w:r>
        <w:rPr>
          <w:rFonts w:cs="Book Antiqua" w:ascii="Book Antiqua" w:hAnsi="Book Antiqua"/>
          <w:b/>
        </w:rPr>
        <w:t>La Société Carrosserie JARJAT</w:t>
      </w:r>
      <w:r>
        <w:rPr>
          <w:rFonts w:cs="Book Antiqua" w:ascii="Book Antiqua" w:hAnsi="Book Antiqua"/>
        </w:rPr>
        <w:t>, SAS au capital de 20 000 euros</w:t>
      </w:r>
    </w:p>
    <w:p>
      <w:pPr>
        <w:pStyle w:val="Normal"/>
        <w:ind w:left="284" w:right="565" w:hanging="0"/>
        <w:jc w:val="both"/>
        <w:rPr>
          <w:rFonts w:ascii="Book Antiqua" w:hAnsi="Book Antiqua" w:cs="Book Antiqua"/>
        </w:rPr>
      </w:pPr>
      <w:r>
        <w:rPr>
          <w:rFonts w:cs="Book Antiqua" w:ascii="Book Antiqua" w:hAnsi="Book Antiqua"/>
        </w:rPr>
        <w:t xml:space="preserve">Dont le siège est situé Impasse CHABERT 07240 VERNOUX, </w:t>
      </w:r>
    </w:p>
    <w:p>
      <w:pPr>
        <w:pStyle w:val="Normal"/>
        <w:ind w:left="284" w:right="565" w:hanging="0"/>
        <w:jc w:val="both"/>
        <w:rPr>
          <w:rFonts w:ascii="Book Antiqua" w:hAnsi="Book Antiqua" w:cs="Book Antiqua"/>
        </w:rPr>
      </w:pPr>
      <w:r>
        <w:rPr>
          <w:rFonts w:cs="Book Antiqua" w:ascii="Book Antiqua" w:hAnsi="Book Antiqua"/>
        </w:rPr>
        <w:t>RCS 491 965 638</w:t>
      </w:r>
    </w:p>
    <w:p>
      <w:pPr>
        <w:pStyle w:val="Normal"/>
        <w:ind w:left="284" w:right="565" w:hanging="0"/>
        <w:jc w:val="both"/>
        <w:rPr>
          <w:rFonts w:ascii="Book Antiqua" w:hAnsi="Book Antiqua" w:cs="Book Antiqua"/>
        </w:rPr>
      </w:pPr>
      <w:r>
        <w:rPr>
          <w:rFonts w:cs="Book Antiqua" w:ascii="Book Antiqua" w:hAnsi="Book Antiqua"/>
        </w:rPr>
        <w:t>SIRET 49196563800019</w:t>
      </w:r>
    </w:p>
    <w:p>
      <w:pPr>
        <w:pStyle w:val="Normal"/>
        <w:ind w:left="284" w:right="565" w:hanging="0"/>
        <w:jc w:val="both"/>
        <w:rPr>
          <w:rFonts w:ascii="Book Antiqua" w:hAnsi="Book Antiqua" w:cs="Book Antiqua"/>
        </w:rPr>
      </w:pPr>
      <w:r>
        <w:rPr>
          <w:rFonts w:cs="Book Antiqua" w:ascii="Book Antiqua" w:hAnsi="Book Antiqua"/>
        </w:rPr>
        <w:t>Représentée par M                        , agissant en qualité de DRH.</w:t>
      </w:r>
    </w:p>
    <w:p>
      <w:pPr>
        <w:pStyle w:val="Normal"/>
        <w:ind w:right="565" w:hanging="0"/>
        <w:rPr>
          <w:rFonts w:ascii="Book Antiqua" w:hAnsi="Book Antiqua" w:cs="Book Antiqua"/>
        </w:rPr>
      </w:pPr>
      <w:r>
        <w:rPr>
          <w:rFonts w:cs="Book Antiqua" w:ascii="Book Antiqua" w:hAnsi="Book Antiqua"/>
        </w:rPr>
      </w:r>
    </w:p>
    <w:p>
      <w:pPr>
        <w:pStyle w:val="Normal"/>
        <w:tabs>
          <w:tab w:val="left" w:pos="6336" w:leader="none"/>
        </w:tabs>
        <w:ind w:left="284" w:right="565" w:hanging="0"/>
        <w:jc w:val="right"/>
        <w:rPr>
          <w:rFonts w:ascii="Book Antiqua" w:hAnsi="Book Antiqua" w:cs="Book Antiqua"/>
        </w:rPr>
      </w:pPr>
      <w:r>
        <w:rPr>
          <w:rFonts w:cs="Book Antiqua" w:ascii="Book Antiqua" w:hAnsi="Book Antiqua"/>
        </w:rPr>
        <w:t xml:space="preserve">d’une part, </w:t>
      </w:r>
    </w:p>
    <w:p>
      <w:pPr>
        <w:pStyle w:val="Normal"/>
        <w:ind w:right="565" w:hanging="0"/>
        <w:rPr>
          <w:rFonts w:ascii="Book Antiqua" w:hAnsi="Book Antiqua" w:cs="Book Antiqua"/>
          <w:b/>
          <w:b/>
        </w:rPr>
      </w:pPr>
      <w:r>
        <w:rPr>
          <w:rFonts w:cs="Book Antiqua" w:ascii="Book Antiqua" w:hAnsi="Book Antiqua"/>
          <w:b/>
        </w:rPr>
      </w:r>
    </w:p>
    <w:p>
      <w:pPr>
        <w:pStyle w:val="Normal"/>
        <w:ind w:left="284" w:right="565" w:hanging="0"/>
        <w:rPr>
          <w:rFonts w:ascii="Book Antiqua" w:hAnsi="Book Antiqua" w:cs="Book Antiqua"/>
        </w:rPr>
      </w:pPr>
      <w:r>
        <w:rPr>
          <w:rFonts w:cs="Book Antiqua" w:ascii="Book Antiqua" w:hAnsi="Book Antiqua"/>
          <w:b/>
        </w:rPr>
        <w:t>ET </w:t>
      </w:r>
      <w:r>
        <w:rPr>
          <w:rFonts w:cs="Book Antiqua" w:ascii="Book Antiqua" w:hAnsi="Book Antiqua"/>
        </w:rPr>
        <w:t>:</w:t>
      </w:r>
    </w:p>
    <w:p>
      <w:pPr>
        <w:pStyle w:val="Normal"/>
        <w:ind w:left="284" w:right="565" w:hanging="0"/>
        <w:jc w:val="both"/>
        <w:rPr>
          <w:rFonts w:ascii="Book Antiqua" w:hAnsi="Book Antiqua" w:cs="Book Antiqua"/>
        </w:rPr>
      </w:pPr>
      <w:r>
        <w:rPr>
          <w:rFonts w:cs="Book Antiqua" w:ascii="Book Antiqua" w:hAnsi="Book Antiqua"/>
        </w:rPr>
      </w:r>
    </w:p>
    <w:p>
      <w:pPr>
        <w:pStyle w:val="Normal"/>
        <w:ind w:left="284" w:right="565" w:hanging="0"/>
        <w:jc w:val="both"/>
        <w:rPr>
          <w:rFonts w:ascii="Book Antiqua" w:hAnsi="Book Antiqua" w:cs="Book Antiqua"/>
        </w:rPr>
      </w:pPr>
      <w:r>
        <w:rPr>
          <w:rFonts w:cs="Book Antiqua" w:ascii="Book Antiqua" w:hAnsi="Book Antiqua"/>
        </w:rPr>
        <w:t>Monsieur                          agissant en qualité de délégué syndical d’entreprise, représentant l’organisation syndicale CFDT majoritaire dans l’entreprise.</w:t>
      </w:r>
    </w:p>
    <w:p>
      <w:pPr>
        <w:pStyle w:val="Normal"/>
        <w:ind w:right="565" w:hanging="0"/>
        <w:jc w:val="both"/>
        <w:rPr>
          <w:rFonts w:ascii="Book Antiqua" w:hAnsi="Book Antiqua" w:cs="Book Antiqua"/>
        </w:rPr>
      </w:pPr>
      <w:r>
        <w:rPr>
          <w:rFonts w:cs="Book Antiqua" w:ascii="Book Antiqua" w:hAnsi="Book Antiqua"/>
        </w:rPr>
      </w:r>
    </w:p>
    <w:p>
      <w:pPr>
        <w:pStyle w:val="Normal"/>
        <w:ind w:left="284" w:right="565" w:firstLine="426"/>
        <w:jc w:val="right"/>
        <w:rPr>
          <w:rFonts w:ascii="Book Antiqua" w:hAnsi="Book Antiqua" w:cs="Book Antiqua"/>
        </w:rPr>
      </w:pPr>
      <w:r>
        <w:rPr>
          <w:rFonts w:cs="Book Antiqua" w:ascii="Book Antiqua" w:hAnsi="Book Antiqua"/>
        </w:rPr>
        <w:t>d’autre part,</w:t>
      </w:r>
    </w:p>
    <w:p>
      <w:pPr>
        <w:pStyle w:val="Normal"/>
        <w:ind w:left="284" w:right="565" w:hanging="0"/>
        <w:rPr>
          <w:rFonts w:ascii="Book Antiqua" w:hAnsi="Book Antiqua" w:cs="Book Antiqua"/>
        </w:rPr>
      </w:pPr>
      <w:r>
        <w:rPr>
          <w:rFonts w:cs="Book Antiqua" w:ascii="Book Antiqua" w:hAnsi="Book Antiqua"/>
        </w:rPr>
      </w:r>
    </w:p>
    <w:p>
      <w:pPr>
        <w:pStyle w:val="Heading2"/>
        <w:numPr>
          <w:ilvl w:val="1"/>
          <w:numId w:val="1"/>
        </w:numPr>
        <w:spacing w:before="0" w:after="0"/>
        <w:ind w:left="284" w:right="565" w:hanging="0"/>
        <w:rPr>
          <w:rFonts w:ascii="Book Antiqua" w:hAnsi="Book Antiqua" w:cs="Book Antiqua"/>
          <w:sz w:val="24"/>
        </w:rPr>
      </w:pPr>
      <w:r>
        <w:rPr>
          <w:rFonts w:cs="Book Antiqua" w:ascii="Book Antiqua" w:hAnsi="Book Antiqua"/>
          <w:sz w:val="24"/>
        </w:rPr>
        <w:t>PREAMBULE</w:t>
      </w:r>
    </w:p>
    <w:p>
      <w:pPr>
        <w:pStyle w:val="Normal"/>
        <w:ind w:right="565" w:hanging="0"/>
        <w:jc w:val="both"/>
        <w:rPr>
          <w:rFonts w:ascii="Book Antiqua" w:hAnsi="Book Antiqua" w:cs="Book Antiqua"/>
          <w:sz w:val="24"/>
        </w:rPr>
      </w:pPr>
      <w:r>
        <w:rPr>
          <w:rFonts w:cs="Book Antiqua" w:ascii="Book Antiqua" w:hAnsi="Book Antiqua"/>
          <w:sz w:val="24"/>
        </w:rPr>
      </w:r>
    </w:p>
    <w:p>
      <w:pPr>
        <w:pStyle w:val="Normal"/>
        <w:ind w:left="284" w:right="565" w:hanging="0"/>
        <w:jc w:val="both"/>
        <w:rPr/>
      </w:pPr>
      <w:r>
        <w:rPr>
          <w:rFonts w:cs="Book Antiqua" w:ascii="Book Antiqua" w:hAnsi="Book Antiqua"/>
        </w:rPr>
        <w:t>Les parties signataires rappellent qu’elles ont tenu la négociation annuelle obligatoire aux échéances habituelles et qu’elles ont à ce titre conclu un accord en date du 1</w:t>
      </w:r>
      <w:r>
        <w:rPr>
          <w:rFonts w:cs="Book Antiqua" w:ascii="Book Antiqua" w:hAnsi="Book Antiqua"/>
          <w:vertAlign w:val="superscript"/>
        </w:rPr>
        <w:t>er</w:t>
      </w:r>
      <w:r>
        <w:rPr>
          <w:rFonts w:cs="Book Antiqua" w:ascii="Book Antiqua" w:hAnsi="Book Antiqua"/>
        </w:rPr>
        <w:t xml:space="preserve"> février 2022 recevant application pour une durée déterminée de 12 mois.</w:t>
      </w:r>
    </w:p>
    <w:p>
      <w:pPr>
        <w:pStyle w:val="Normal"/>
        <w:ind w:left="284" w:right="565" w:hanging="0"/>
        <w:jc w:val="both"/>
        <w:rPr>
          <w:rFonts w:ascii="Book Antiqua" w:hAnsi="Book Antiqua" w:cs="Book Antiqua"/>
        </w:rPr>
      </w:pPr>
      <w:r>
        <w:rPr>
          <w:rFonts w:cs="Book Antiqua" w:ascii="Book Antiqua" w:hAnsi="Book Antiqua"/>
        </w:rPr>
      </w:r>
    </w:p>
    <w:p>
      <w:pPr>
        <w:pStyle w:val="Normal"/>
        <w:ind w:left="284" w:right="565" w:hanging="0"/>
        <w:jc w:val="both"/>
        <w:rPr>
          <w:rFonts w:ascii="Book Antiqua" w:hAnsi="Book Antiqua" w:cs="Book Antiqua"/>
        </w:rPr>
      </w:pPr>
      <w:r>
        <w:rPr>
          <w:rFonts w:cs="Book Antiqua" w:ascii="Book Antiqua" w:hAnsi="Book Antiqua"/>
        </w:rPr>
        <w:t>Prenant toutefois en considération l’évolution de la situation économique et les difficultés des salariés face aux augmentations du coût de la vie dans des proportions non prévues au moment de cette négociation annuelle les parties ont souhaité adopter des mesures transitoires et exceptionnelles destinées à contribuer au soutien du pouvoir d’achat.</w:t>
      </w:r>
    </w:p>
    <w:p>
      <w:pPr>
        <w:pStyle w:val="Normal"/>
        <w:ind w:left="284" w:right="565" w:hanging="0"/>
        <w:jc w:val="both"/>
        <w:rPr>
          <w:rFonts w:ascii="Book Antiqua" w:hAnsi="Book Antiqua" w:cs="Book Antiqua"/>
        </w:rPr>
      </w:pPr>
      <w:r>
        <w:rPr>
          <w:rFonts w:cs="Book Antiqua" w:ascii="Book Antiqua" w:hAnsi="Book Antiqua"/>
        </w:rPr>
      </w:r>
    </w:p>
    <w:p>
      <w:pPr>
        <w:pStyle w:val="Normal"/>
        <w:ind w:left="284" w:right="565" w:hanging="0"/>
        <w:jc w:val="both"/>
        <w:rPr>
          <w:rFonts w:ascii="Book Antiqua" w:hAnsi="Book Antiqua" w:cs="Book Antiqua"/>
        </w:rPr>
      </w:pPr>
      <w:r>
        <w:rPr>
          <w:rFonts w:cs="Book Antiqua" w:ascii="Book Antiqua" w:hAnsi="Book Antiqua"/>
        </w:rPr>
        <w:t>C’est dans ce contexte que les parties se sont rencontrées, et qu’il a été décidé de conclure le présent accord d’entreprise en attendant la réouverture des négociations dans le cadre de la prochaine NAO.</w:t>
      </w:r>
    </w:p>
    <w:p>
      <w:pPr>
        <w:pStyle w:val="Heading2"/>
        <w:numPr>
          <w:ilvl w:val="1"/>
          <w:numId w:val="1"/>
        </w:numPr>
        <w:spacing w:before="0" w:after="0"/>
        <w:ind w:left="284" w:right="565" w:hanging="0"/>
        <w:rPr>
          <w:rFonts w:ascii="Book Antiqua" w:hAnsi="Book Antiqua" w:cs="Book Antiqua"/>
          <w:sz w:val="24"/>
        </w:rPr>
      </w:pPr>
      <w:r>
        <w:rPr>
          <w:rFonts w:cs="Book Antiqua" w:ascii="Book Antiqua" w:hAnsi="Book Antiqua"/>
          <w:sz w:val="24"/>
        </w:rPr>
      </w:r>
    </w:p>
    <w:p>
      <w:pPr>
        <w:pStyle w:val="Heading2"/>
        <w:numPr>
          <w:ilvl w:val="1"/>
          <w:numId w:val="1"/>
        </w:numPr>
        <w:spacing w:before="0" w:after="0"/>
        <w:ind w:left="284" w:right="565" w:hanging="0"/>
        <w:rPr>
          <w:rFonts w:ascii="Book Antiqua" w:hAnsi="Book Antiqua" w:cs="Book Antiqua"/>
          <w:sz w:val="24"/>
        </w:rPr>
      </w:pPr>
      <w:r>
        <w:rPr>
          <w:rFonts w:cs="Book Antiqua" w:ascii="Book Antiqua" w:hAnsi="Book Antiqua"/>
          <w:sz w:val="24"/>
        </w:rPr>
        <w:t>CECI ETANT PRECISE, IL A ETE CONVENU ET ARRETE CE QUI SUIT :</w:t>
      </w:r>
    </w:p>
    <w:p>
      <w:pPr>
        <w:pStyle w:val="Normal"/>
        <w:ind w:right="565" w:hanging="0"/>
        <w:rPr>
          <w:rFonts w:ascii="Book Antiqua" w:hAnsi="Book Antiqua" w:cs="Arial"/>
          <w:bCs/>
          <w:sz w:val="24"/>
        </w:rPr>
      </w:pPr>
      <w:r>
        <w:rPr>
          <w:rFonts w:cs="Arial" w:ascii="Book Antiqua" w:hAnsi="Book Antiqua"/>
          <w:bCs/>
          <w:sz w:val="24"/>
        </w:rPr>
      </w:r>
    </w:p>
    <w:p>
      <w:pPr>
        <w:pStyle w:val="Heading6"/>
        <w:numPr>
          <w:ilvl w:val="5"/>
          <w:numId w:val="1"/>
        </w:numPr>
        <w:spacing w:before="0" w:after="0"/>
        <w:ind w:left="284" w:right="565" w:hanging="0"/>
        <w:rPr>
          <w:rFonts w:ascii="Book Antiqua" w:hAnsi="Book Antiqua" w:cs="Book Antiqua"/>
          <w:sz w:val="24"/>
        </w:rPr>
      </w:pPr>
      <w:r>
        <w:rPr>
          <w:rFonts w:cs="Book Antiqua" w:ascii="Book Antiqua" w:hAnsi="Book Antiqua"/>
          <w:sz w:val="24"/>
        </w:rPr>
        <w:t>ARTICLE 1 – CHAMP D’APPLICATION</w:t>
      </w:r>
    </w:p>
    <w:p>
      <w:pPr>
        <w:pStyle w:val="Normal"/>
        <w:ind w:left="284" w:right="565" w:hanging="0"/>
        <w:rPr>
          <w:rFonts w:ascii="Book Antiqua" w:hAnsi="Book Antiqua" w:cs="Arial"/>
          <w:bCs/>
          <w:sz w:val="24"/>
        </w:rPr>
      </w:pPr>
      <w:r>
        <w:rPr>
          <w:rFonts w:cs="Arial" w:ascii="Book Antiqua" w:hAnsi="Book Antiqua"/>
          <w:bCs/>
          <w:sz w:val="24"/>
        </w:rPr>
      </w:r>
    </w:p>
    <w:p>
      <w:pPr>
        <w:pStyle w:val="Normal"/>
        <w:ind w:left="284" w:right="565" w:hanging="0"/>
        <w:jc w:val="both"/>
        <w:rPr/>
      </w:pPr>
      <w:r>
        <w:rPr>
          <w:rFonts w:cs="Arial" w:ascii="Book Antiqua" w:hAnsi="Book Antiqua"/>
          <w:bCs/>
        </w:rPr>
        <w:t>Le présent accord est conclu au sein de la Société Carrosserie JARJAT.</w:t>
      </w:r>
    </w:p>
    <w:p>
      <w:pPr>
        <w:pStyle w:val="Normal"/>
        <w:ind w:left="284" w:right="565" w:hanging="0"/>
        <w:jc w:val="both"/>
        <w:rPr>
          <w:rFonts w:ascii="Book Antiqua" w:hAnsi="Book Antiqua" w:cs="Arial"/>
          <w:bCs/>
        </w:rPr>
      </w:pPr>
      <w:r>
        <w:rPr>
          <w:rFonts w:cs="Arial" w:ascii="Book Antiqua" w:hAnsi="Book Antiqua"/>
          <w:bCs/>
        </w:rPr>
      </w:r>
    </w:p>
    <w:p>
      <w:pPr>
        <w:pStyle w:val="Normal"/>
        <w:ind w:left="284" w:right="565" w:hanging="0"/>
        <w:jc w:val="both"/>
        <w:rPr>
          <w:rFonts w:ascii="Book Antiqua" w:hAnsi="Book Antiqua" w:cs="Arial"/>
          <w:bCs/>
        </w:rPr>
      </w:pPr>
      <w:r>
        <w:rPr>
          <w:rFonts w:cs="Arial" w:ascii="Book Antiqua" w:hAnsi="Book Antiqua"/>
          <w:bCs/>
        </w:rPr>
        <w:t>Il s’applique à tous les salariés de la Société, toutes catégories professionnelles confondues, quel que soit le statut (CDD, CDI…) quelle que soit la durée du travail ayant 6 mois d’ancienneté dans l’entreprise.</w:t>
      </w:r>
    </w:p>
    <w:p>
      <w:pPr>
        <w:pStyle w:val="Normal"/>
        <w:ind w:left="284" w:right="565" w:hanging="0"/>
        <w:rPr>
          <w:rFonts w:ascii="Book Antiqua" w:hAnsi="Book Antiqua" w:cs="Book Antiqua"/>
          <w:bCs/>
        </w:rPr>
      </w:pPr>
      <w:r>
        <w:rPr>
          <w:rFonts w:cs="Book Antiqua" w:ascii="Book Antiqua" w:hAnsi="Book Antiqua"/>
          <w:bCs/>
        </w:rPr>
      </w:r>
    </w:p>
    <w:p>
      <w:pPr>
        <w:pStyle w:val="Heading6"/>
        <w:numPr>
          <w:ilvl w:val="5"/>
          <w:numId w:val="1"/>
        </w:numPr>
        <w:spacing w:before="0" w:after="0"/>
        <w:ind w:left="284" w:right="565" w:hanging="0"/>
        <w:rPr>
          <w:rFonts w:ascii="Book Antiqua" w:hAnsi="Book Antiqua" w:cs="Book Antiqua"/>
          <w:sz w:val="24"/>
        </w:rPr>
      </w:pPr>
      <w:r>
        <w:rPr>
          <w:rFonts w:cs="Book Antiqua" w:ascii="Book Antiqua" w:hAnsi="Book Antiqua"/>
          <w:sz w:val="24"/>
        </w:rPr>
        <w:t>ARTICLE 2 – DUREE ET PRISE D’EFFET</w:t>
      </w:r>
    </w:p>
    <w:p>
      <w:pPr>
        <w:pStyle w:val="Normal"/>
        <w:ind w:left="284" w:right="565" w:hanging="0"/>
        <w:rPr>
          <w:rFonts w:ascii="Book Antiqua" w:hAnsi="Book Antiqua" w:cs="Book Antiqua"/>
          <w:sz w:val="24"/>
        </w:rPr>
      </w:pPr>
      <w:r>
        <w:rPr>
          <w:rFonts w:cs="Book Antiqua" w:ascii="Book Antiqua" w:hAnsi="Book Antiqua"/>
          <w:sz w:val="24"/>
        </w:rPr>
      </w:r>
    </w:p>
    <w:p>
      <w:pPr>
        <w:pStyle w:val="Normal"/>
        <w:ind w:left="284" w:right="565" w:hanging="0"/>
        <w:jc w:val="both"/>
        <w:rPr>
          <w:rFonts w:ascii="Book Antiqua" w:hAnsi="Book Antiqua" w:cs="Arial"/>
          <w:bCs/>
        </w:rPr>
      </w:pPr>
      <w:r>
        <w:rPr>
          <w:rFonts w:cs="Arial" w:ascii="Book Antiqua" w:hAnsi="Book Antiqua"/>
          <w:bCs/>
        </w:rPr>
        <w:t>Le présent accord est conclu pour une durée indéterminée.</w:t>
      </w:r>
    </w:p>
    <w:p>
      <w:pPr>
        <w:pStyle w:val="Normal"/>
        <w:ind w:left="284" w:right="565" w:hanging="0"/>
        <w:jc w:val="both"/>
        <w:rPr>
          <w:rFonts w:ascii="Book Antiqua" w:hAnsi="Book Antiqua" w:cs="Arial"/>
          <w:bCs/>
        </w:rPr>
      </w:pPr>
      <w:r>
        <w:rPr>
          <w:rFonts w:cs="Arial" w:ascii="Book Antiqua" w:hAnsi="Book Antiqua"/>
          <w:bCs/>
        </w:rPr>
      </w:r>
    </w:p>
    <w:p>
      <w:pPr>
        <w:pStyle w:val="Normal"/>
        <w:ind w:left="284" w:right="565" w:hanging="0"/>
        <w:jc w:val="both"/>
        <w:rPr>
          <w:rFonts w:ascii="Book Antiqua" w:hAnsi="Book Antiqua" w:cs="Arial"/>
          <w:bCs/>
        </w:rPr>
      </w:pPr>
      <w:r>
        <w:rPr>
          <w:rFonts w:cs="Arial" w:ascii="Book Antiqua" w:hAnsi="Book Antiqua"/>
          <w:bCs/>
        </w:rPr>
        <w:t>Ses dispositions prennent effet rétroactivement à compter du 1</w:t>
      </w:r>
      <w:r>
        <w:rPr>
          <w:rFonts w:cs="Arial" w:ascii="Book Antiqua" w:hAnsi="Book Antiqua"/>
          <w:bCs/>
          <w:vertAlign w:val="superscript"/>
        </w:rPr>
        <w:t>er</w:t>
      </w:r>
      <w:r>
        <w:rPr>
          <w:rFonts w:cs="Arial" w:ascii="Book Antiqua" w:hAnsi="Book Antiqua"/>
          <w:bCs/>
        </w:rPr>
        <w:t xml:space="preserve"> septembre 2022 (avec un impact sur le bulletin de salaire du mois de septembre 2022).</w:t>
      </w:r>
    </w:p>
    <w:p>
      <w:pPr>
        <w:pStyle w:val="Normal"/>
        <w:ind w:left="284" w:right="565" w:hanging="0"/>
        <w:rPr>
          <w:rFonts w:ascii="Book Antiqua" w:hAnsi="Book Antiqua" w:cs="Book Antiqua"/>
          <w:bCs/>
        </w:rPr>
      </w:pPr>
      <w:r>
        <w:rPr>
          <w:rFonts w:cs="Book Antiqua" w:ascii="Book Antiqua" w:hAnsi="Book Antiqua"/>
          <w:bCs/>
        </w:rPr>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pPr>
      <w:r>
        <w:rPr>
          <w:rFonts w:cs="Arial" w:ascii="Book Antiqua" w:hAnsi="Book Antiqua"/>
          <w:b/>
          <w:caps/>
        </w:rPr>
        <w:t xml:space="preserve">Article 3 : OBJET DE L’ACCORD </w:t>
      </w:r>
    </w:p>
    <w:p>
      <w:pPr>
        <w:pStyle w:val="Normal"/>
        <w:spacing w:lineRule="exact" w:line="280"/>
        <w:ind w:left="284" w:right="565" w:hanging="0"/>
        <w:jc w:val="both"/>
        <w:rPr>
          <w:rFonts w:ascii="Book Antiqua" w:hAnsi="Book Antiqua" w:cs="Arial"/>
          <w:b/>
          <w:b/>
          <w:caps/>
        </w:rPr>
      </w:pPr>
      <w:r>
        <w:rPr>
          <w:rFonts w:cs="Arial" w:ascii="Book Antiqua" w:hAnsi="Book Antiqua"/>
          <w:b/>
          <w:caps/>
        </w:rPr>
      </w:r>
    </w:p>
    <w:p>
      <w:pPr>
        <w:pStyle w:val="Normal"/>
        <w:spacing w:lineRule="exact" w:line="280"/>
        <w:ind w:left="284" w:right="565" w:hanging="0"/>
        <w:jc w:val="both"/>
        <w:rPr>
          <w:rFonts w:ascii="Book Antiqua" w:hAnsi="Book Antiqua" w:cs="Arial"/>
          <w:b/>
          <w:b/>
        </w:rPr>
      </w:pPr>
      <w:r>
        <w:rPr>
          <w:rFonts w:cs="Arial" w:ascii="Book Antiqua" w:hAnsi="Book Antiqua"/>
          <w:b/>
        </w:rPr>
        <w:tab/>
        <w:t>Article 3.1 : Augmentation générale de salaire</w:t>
      </w:r>
    </w:p>
    <w:p>
      <w:pPr>
        <w:pStyle w:val="Normal"/>
        <w:spacing w:lineRule="exact" w:line="280"/>
        <w:ind w:left="284" w:right="565" w:hanging="0"/>
        <w:jc w:val="both"/>
        <w:rPr>
          <w:rFonts w:ascii="Book Antiqua" w:hAnsi="Book Antiqua" w:cs="Arial"/>
          <w:b/>
          <w:b/>
        </w:rPr>
      </w:pPr>
      <w:r>
        <w:rPr>
          <w:rFonts w:cs="Arial" w:ascii="Book Antiqua" w:hAnsi="Book Antiqua"/>
          <w:b/>
        </w:rPr>
      </w:r>
    </w:p>
    <w:p>
      <w:pPr>
        <w:pStyle w:val="Normal"/>
        <w:spacing w:lineRule="exact" w:line="280"/>
        <w:ind w:left="284" w:right="565" w:hanging="0"/>
        <w:jc w:val="both"/>
        <w:rPr>
          <w:rFonts w:ascii="Book Antiqua" w:hAnsi="Book Antiqua" w:cs="Arial"/>
        </w:rPr>
      </w:pPr>
      <w:r>
        <w:rPr>
          <w:rFonts w:cs="Arial" w:ascii="Book Antiqua" w:hAnsi="Book Antiqua"/>
        </w:rPr>
        <w:t>Le présent accord instaure une augmentation du salaire de base d’un montant de 3 %.</w:t>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b/>
          <w:b/>
        </w:rPr>
      </w:pPr>
      <w:r>
        <w:rPr>
          <w:rFonts w:cs="Arial" w:ascii="Book Antiqua" w:hAnsi="Book Antiqua"/>
          <w:b/>
        </w:rPr>
        <w:tab/>
        <w:t>Article 3.2 : définition du salaire de base servant d’assiette à l’augmentation</w:t>
      </w:r>
    </w:p>
    <w:p>
      <w:pPr>
        <w:pStyle w:val="Normal"/>
        <w:spacing w:lineRule="exact" w:line="280"/>
        <w:ind w:left="284" w:right="565" w:hanging="0"/>
        <w:jc w:val="both"/>
        <w:rPr>
          <w:rFonts w:ascii="Book Antiqua" w:hAnsi="Book Antiqua" w:cs="Arial"/>
          <w:b/>
          <w:b/>
        </w:rPr>
      </w:pPr>
      <w:r>
        <w:rPr>
          <w:rFonts w:cs="Arial" w:ascii="Book Antiqua" w:hAnsi="Book Antiqua"/>
          <w:b/>
        </w:rPr>
      </w:r>
    </w:p>
    <w:p>
      <w:pPr>
        <w:pStyle w:val="Normal"/>
        <w:spacing w:lineRule="exact" w:line="280"/>
        <w:ind w:left="284" w:right="565" w:hanging="0"/>
        <w:jc w:val="both"/>
        <w:rPr>
          <w:rFonts w:ascii="Book Antiqua" w:hAnsi="Book Antiqua" w:cs="Arial"/>
          <w:bCs/>
        </w:rPr>
      </w:pPr>
      <w:r>
        <w:rPr>
          <w:rFonts w:cs="Arial" w:ascii="Book Antiqua" w:hAnsi="Book Antiqua"/>
          <w:bCs/>
        </w:rPr>
        <w:t xml:space="preserve">Il est expressément convenu entre les parties que cette augmentation portera sur la première ligne du bulletin de paie intitulée salaire de base. </w:t>
      </w:r>
    </w:p>
    <w:p>
      <w:pPr>
        <w:pStyle w:val="Normal"/>
        <w:spacing w:lineRule="exact" w:line="280"/>
        <w:ind w:left="284" w:right="565" w:hanging="0"/>
        <w:jc w:val="both"/>
        <w:rPr>
          <w:rFonts w:ascii="Book Antiqua" w:hAnsi="Book Antiqua" w:cs="Arial"/>
          <w:b/>
          <w:b/>
          <w:bCs/>
        </w:rPr>
      </w:pPr>
      <w:r>
        <w:rPr>
          <w:rFonts w:cs="Arial" w:ascii="Book Antiqua" w:hAnsi="Book Antiqua"/>
          <w:b/>
          <w:bCs/>
        </w:rPr>
      </w:r>
    </w:p>
    <w:p>
      <w:pPr>
        <w:pStyle w:val="Normal"/>
        <w:spacing w:lineRule="exact" w:line="280"/>
        <w:ind w:left="284" w:right="565" w:hanging="0"/>
        <w:jc w:val="both"/>
        <w:rPr>
          <w:rFonts w:ascii="Book Antiqua" w:hAnsi="Book Antiqua" w:cs="Arial"/>
          <w:b/>
          <w:b/>
        </w:rPr>
      </w:pPr>
      <w:r>
        <w:rPr>
          <w:rFonts w:cs="Arial" w:ascii="Book Antiqua" w:hAnsi="Book Antiqua"/>
          <w:b/>
        </w:rPr>
      </w:r>
    </w:p>
    <w:p>
      <w:pPr>
        <w:pStyle w:val="Normal"/>
        <w:spacing w:lineRule="exact" w:line="280"/>
        <w:ind w:left="284" w:right="565" w:hanging="0"/>
        <w:jc w:val="both"/>
        <w:rPr/>
      </w:pPr>
      <w:r>
        <w:rPr>
          <w:rFonts w:cs="Arial" w:ascii="Book Antiqua" w:hAnsi="Book Antiqua"/>
          <w:b/>
          <w:caps/>
        </w:rPr>
        <w:t>Article 4 : Interprétation – adaptation et suivi de l'accord</w:t>
      </w:r>
    </w:p>
    <w:p>
      <w:pPr>
        <w:pStyle w:val="Normal"/>
        <w:spacing w:lineRule="exact" w:line="280"/>
        <w:ind w:left="284" w:right="565" w:hanging="0"/>
        <w:jc w:val="both"/>
        <w:rPr>
          <w:rFonts w:ascii="Book Antiqua" w:hAnsi="Book Antiqua" w:cs="Arial"/>
          <w:b/>
          <w:b/>
          <w:caps/>
          <w:highlight w:val="cyan"/>
        </w:rPr>
      </w:pPr>
      <w:r>
        <w:rPr>
          <w:rFonts w:cs="Arial" w:ascii="Book Antiqua" w:hAnsi="Book Antiqua"/>
          <w:b/>
          <w:caps/>
          <w:highlight w:val="cyan"/>
        </w:rPr>
      </w:r>
    </w:p>
    <w:p>
      <w:pPr>
        <w:pStyle w:val="Normal"/>
        <w:spacing w:lineRule="exact" w:line="280"/>
        <w:ind w:left="284" w:right="565" w:firstLine="708"/>
        <w:jc w:val="both"/>
        <w:rPr/>
      </w:pPr>
      <w:r>
        <w:rPr>
          <w:rFonts w:cs="Arial" w:ascii="Book Antiqua" w:hAnsi="Book Antiqua"/>
          <w:b/>
        </w:rPr>
        <w:t xml:space="preserve">Article 4.1 : Interprétation </w:t>
      </w:r>
    </w:p>
    <w:p>
      <w:pPr>
        <w:pStyle w:val="Normal"/>
        <w:spacing w:lineRule="exact" w:line="280"/>
        <w:ind w:left="284" w:right="565" w:hanging="0"/>
        <w:jc w:val="both"/>
        <w:rPr>
          <w:rFonts w:ascii="Book Antiqua" w:hAnsi="Book Antiqua" w:cs="Arial"/>
          <w:b/>
          <w:b/>
        </w:rPr>
      </w:pPr>
      <w:r>
        <w:rPr>
          <w:rFonts w:cs="Arial" w:ascii="Book Antiqua" w:hAnsi="Book Antiqua"/>
          <w:b/>
        </w:rPr>
      </w:r>
    </w:p>
    <w:p>
      <w:pPr>
        <w:pStyle w:val="Normal"/>
        <w:spacing w:lineRule="exact" w:line="280"/>
        <w:ind w:left="284" w:right="565" w:hanging="0"/>
        <w:jc w:val="both"/>
        <w:rPr>
          <w:rFonts w:ascii="Book Antiqua" w:hAnsi="Book Antiqua" w:cs="Arial"/>
        </w:rPr>
      </w:pPr>
      <w:r>
        <w:rPr>
          <w:rFonts w:cs="Arial" w:ascii="Book Antiqua" w:hAnsi="Book Antiqua"/>
        </w:rPr>
        <w:t>Les représentants de chacune des parties signataires conviennent de se rencontrer à la requête de la partie la plus diligente, dans les 30 jours suivant la demande pour étudier et tenter de régler tout différend d'ordre individuel ou collectif né de l'application du présent accord.</w:t>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rPr>
      </w:pPr>
      <w:bookmarkStart w:id="0" w:name="_Hlk498352323"/>
      <w:bookmarkEnd w:id="0"/>
      <w:r>
        <w:rPr>
          <w:rFonts w:cs="Arial" w:ascii="Book Antiqua" w:hAnsi="Book Antiqua"/>
        </w:rPr>
        <w:t>Les avenants interprétatifs doivent être conclus dans un délai maximum de 2 mois suivant la première réunion de négociation. A défaut, il sera dressé un procès-verbal de désaccord.</w:t>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rPr>
      </w:pPr>
      <w:bookmarkStart w:id="1" w:name="_Hlk498352323"/>
      <w:bookmarkEnd w:id="1"/>
      <w:r>
        <w:rPr>
          <w:rFonts w:cs="Arial" w:ascii="Book Antiqua" w:hAnsi="Book Antiqua"/>
        </w:rPr>
        <w:t>Jusqu'à l'expiration de la négociation d'interprétation, les parties contractantes s'engagent à ne susciter aucune forme d'action contentieuse liée au différend faisant l'objet de cette procédure.</w:t>
      </w:r>
    </w:p>
    <w:p>
      <w:pPr>
        <w:pStyle w:val="Normal"/>
        <w:ind w:right="565" w:hanging="0"/>
        <w:jc w:val="both"/>
        <w:rPr>
          <w:rFonts w:ascii="Book Antiqua" w:hAnsi="Book Antiqua" w:cs="Arial"/>
        </w:rPr>
      </w:pPr>
      <w:r>
        <w:rPr>
          <w:rFonts w:cs="Arial" w:ascii="Book Antiqua" w:hAnsi="Book Antiqua"/>
        </w:rPr>
      </w:r>
    </w:p>
    <w:p>
      <w:pPr>
        <w:pStyle w:val="Normal"/>
        <w:ind w:left="284" w:right="565" w:firstLine="708"/>
        <w:jc w:val="both"/>
        <w:rPr/>
      </w:pPr>
      <w:r>
        <w:rPr>
          <w:rFonts w:cs="Arial" w:ascii="Book Antiqua" w:hAnsi="Book Antiqua"/>
          <w:b/>
        </w:rPr>
        <w:t>Article 4.2 Suivi de l’accord</w:t>
      </w:r>
    </w:p>
    <w:p>
      <w:pPr>
        <w:pStyle w:val="Normal"/>
        <w:ind w:left="284" w:right="565" w:hanging="0"/>
        <w:jc w:val="both"/>
        <w:rPr>
          <w:rFonts w:ascii="Book Antiqua" w:hAnsi="Book Antiqua" w:cs="Arial"/>
          <w:b/>
          <w:b/>
        </w:rPr>
      </w:pPr>
      <w:r>
        <w:rPr>
          <w:rFonts w:cs="Arial" w:ascii="Book Antiqua" w:hAnsi="Book Antiqua"/>
          <w:b/>
        </w:rPr>
      </w:r>
    </w:p>
    <w:p>
      <w:pPr>
        <w:pStyle w:val="Normal"/>
        <w:spacing w:lineRule="exact" w:line="280"/>
        <w:ind w:left="284" w:right="565" w:hanging="0"/>
        <w:jc w:val="both"/>
        <w:rPr>
          <w:rFonts w:ascii="Book Antiqua" w:hAnsi="Book Antiqua" w:cs="Arial"/>
        </w:rPr>
      </w:pPr>
      <w:r>
        <w:rPr>
          <w:rFonts w:cs="Arial" w:ascii="Book Antiqua" w:hAnsi="Book Antiqua"/>
        </w:rPr>
        <w:t>Un suivi de l’accord est réalisé par les représentants des parties signataires de l’accord.</w:t>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rPr>
      </w:pPr>
      <w:r>
        <w:rPr>
          <w:rFonts w:cs="Arial" w:ascii="Book Antiqua" w:hAnsi="Book Antiqua"/>
        </w:rPr>
        <w:t>En tout état de cause il sera tenu compte des présentes dispositions dans le cadre de la future négociation annuelle obligatoire prévue en 2023.</w:t>
      </w:r>
    </w:p>
    <w:p>
      <w:pPr>
        <w:pStyle w:val="Normal"/>
        <w:keepNext w:val="true"/>
        <w:numPr>
          <w:ilvl w:val="0"/>
          <w:numId w:val="0"/>
        </w:numPr>
        <w:spacing w:lineRule="exact" w:line="280"/>
        <w:ind w:left="284" w:right="565" w:hanging="0"/>
        <w:outlineLvl w:val="1"/>
        <w:rPr>
          <w:rFonts w:ascii="Book Antiqua" w:hAnsi="Book Antiqua" w:cs="Arial"/>
          <w:b/>
          <w:b/>
        </w:rPr>
      </w:pPr>
      <w:r>
        <w:rPr>
          <w:rFonts w:cs="Arial" w:ascii="Book Antiqua" w:hAnsi="Book Antiqua"/>
          <w:b/>
        </w:rPr>
      </w:r>
    </w:p>
    <w:p>
      <w:pPr>
        <w:pStyle w:val="Normal"/>
        <w:spacing w:lineRule="exact" w:line="280"/>
        <w:ind w:right="565" w:hanging="0"/>
        <w:jc w:val="both"/>
        <w:rPr>
          <w:rFonts w:ascii="Book Antiqua" w:hAnsi="Book Antiqua" w:cs="Arial"/>
          <w:b/>
          <w:b/>
        </w:rPr>
      </w:pPr>
      <w:r>
        <w:rPr>
          <w:rFonts w:cs="Arial" w:ascii="Book Antiqua" w:hAnsi="Book Antiqua"/>
          <w:b/>
        </w:rPr>
      </w:r>
    </w:p>
    <w:p>
      <w:pPr>
        <w:pStyle w:val="Normal"/>
        <w:keepNext w:val="true"/>
        <w:numPr>
          <w:ilvl w:val="0"/>
          <w:numId w:val="0"/>
        </w:numPr>
        <w:spacing w:lineRule="exact" w:line="280"/>
        <w:ind w:left="284" w:right="565" w:hanging="0"/>
        <w:outlineLvl w:val="1"/>
        <w:rPr/>
      </w:pPr>
      <w:r>
        <w:rPr>
          <w:rFonts w:cs="Arial" w:ascii="Book Antiqua" w:hAnsi="Book Antiqua"/>
          <w:b/>
          <w:caps/>
        </w:rPr>
        <w:t>Article 5 : Révision de l’accord</w:t>
      </w:r>
    </w:p>
    <w:p>
      <w:pPr>
        <w:pStyle w:val="Normal"/>
        <w:spacing w:lineRule="exact" w:line="280"/>
        <w:ind w:left="284" w:right="565" w:hanging="0"/>
        <w:jc w:val="both"/>
        <w:rPr>
          <w:rFonts w:ascii="Book Antiqua" w:hAnsi="Book Antiqua" w:cs="Arial"/>
          <w:b/>
          <w:b/>
          <w:caps/>
        </w:rPr>
      </w:pPr>
      <w:r>
        <w:rPr>
          <w:rFonts w:cs="Arial" w:ascii="Book Antiqua" w:hAnsi="Book Antiqua"/>
          <w:b/>
          <w:caps/>
        </w:rPr>
      </w:r>
    </w:p>
    <w:p>
      <w:pPr>
        <w:pStyle w:val="Normal"/>
        <w:spacing w:lineRule="exact" w:line="280"/>
        <w:ind w:left="284" w:right="565" w:hanging="0"/>
        <w:jc w:val="both"/>
        <w:rPr>
          <w:rFonts w:ascii="Book Antiqua" w:hAnsi="Book Antiqua" w:cs="Arial"/>
        </w:rPr>
      </w:pPr>
      <w:bookmarkStart w:id="2" w:name="_Hlk498353330"/>
      <w:bookmarkEnd w:id="2"/>
      <w:r>
        <w:rPr>
          <w:rFonts w:cs="Arial" w:ascii="Book Antiqua" w:hAnsi="Book Antiqua"/>
        </w:rPr>
        <w:t>Le présent accord pourra être révisé dans les conditions prévues par l’article L. 2232-21 du code du travail.</w:t>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keepNext w:val="true"/>
        <w:numPr>
          <w:ilvl w:val="0"/>
          <w:numId w:val="0"/>
        </w:numPr>
        <w:spacing w:lineRule="exact" w:line="280"/>
        <w:ind w:left="284" w:right="565" w:hanging="0"/>
        <w:outlineLvl w:val="1"/>
        <w:rPr/>
      </w:pPr>
      <w:bookmarkStart w:id="3" w:name="_Hlk498353330"/>
      <w:bookmarkEnd w:id="3"/>
      <w:r>
        <w:rPr>
          <w:rFonts w:cs="Arial" w:ascii="Book Antiqua" w:hAnsi="Book Antiqua"/>
          <w:b/>
          <w:caps/>
        </w:rPr>
        <w:t>Article 6 : Dénonciation de l’accord</w:t>
      </w:r>
    </w:p>
    <w:p>
      <w:pPr>
        <w:pStyle w:val="Normal"/>
        <w:spacing w:lineRule="exact" w:line="280"/>
        <w:ind w:left="284" w:right="565" w:hanging="0"/>
        <w:jc w:val="both"/>
        <w:rPr>
          <w:rFonts w:ascii="Book Antiqua" w:hAnsi="Book Antiqua" w:cs="Arial"/>
          <w:b/>
          <w:b/>
          <w:caps/>
        </w:rPr>
      </w:pPr>
      <w:r>
        <w:rPr>
          <w:rFonts w:cs="Arial" w:ascii="Book Antiqua" w:hAnsi="Book Antiqua"/>
          <w:b/>
          <w:caps/>
        </w:rPr>
      </w:r>
    </w:p>
    <w:p>
      <w:pPr>
        <w:pStyle w:val="Normal"/>
        <w:spacing w:lineRule="exact" w:line="280"/>
        <w:ind w:left="284" w:right="565" w:hanging="0"/>
        <w:jc w:val="both"/>
        <w:rPr/>
      </w:pPr>
      <w:r>
        <w:rPr>
          <w:rFonts w:cs="Arial" w:ascii="Book Antiqua" w:hAnsi="Book Antiqua"/>
        </w:rPr>
        <w:t xml:space="preserve">Conformément à l’article L. 2232-22 du code du travail, le présent accord peut être dénoncé à l'initiative de l'employeur dans les conditions prévues par les Code du travail. </w:t>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rPr>
      </w:pPr>
      <w:r>
        <w:rPr>
          <w:rFonts w:cs="Arial" w:ascii="Book Antiqua" w:hAnsi="Book Antiqua"/>
        </w:rPr>
        <w:t>Il peut également être dénoncé à l'initiative de la délégation syndicale dans les conditions prévues par le Code du travail</w:t>
      </w:r>
    </w:p>
    <w:p>
      <w:pPr>
        <w:pStyle w:val="Normal"/>
        <w:spacing w:lineRule="exact" w:line="280"/>
        <w:ind w:right="565" w:hanging="0"/>
        <w:jc w:val="both"/>
        <w:rPr>
          <w:rFonts w:ascii="Book Antiqua" w:hAnsi="Book Antiqua" w:cs="Arial"/>
        </w:rPr>
      </w:pPr>
      <w:r>
        <w:rPr>
          <w:rFonts w:cs="Arial" w:ascii="Book Antiqua" w:hAnsi="Book Antiqua"/>
        </w:rPr>
      </w:r>
    </w:p>
    <w:p>
      <w:pPr>
        <w:pStyle w:val="Normal"/>
        <w:ind w:right="565" w:hanging="0"/>
        <w:jc w:val="both"/>
        <w:rPr>
          <w:rFonts w:ascii="Book Antiqua" w:hAnsi="Book Antiqua" w:cs="Arial"/>
        </w:rPr>
      </w:pPr>
      <w:r>
        <w:rPr>
          <w:rFonts w:cs="Arial" w:ascii="Book Antiqua" w:hAnsi="Book Antiqua"/>
        </w:rPr>
      </w:r>
    </w:p>
    <w:p>
      <w:pPr>
        <w:pStyle w:val="Normal"/>
        <w:keepNext w:val="true"/>
        <w:numPr>
          <w:ilvl w:val="0"/>
          <w:numId w:val="0"/>
        </w:numPr>
        <w:spacing w:lineRule="exact" w:line="280"/>
        <w:ind w:left="284" w:right="565" w:hanging="0"/>
        <w:outlineLvl w:val="1"/>
        <w:rPr/>
      </w:pPr>
      <w:r>
        <w:rPr>
          <w:rFonts w:cs="Arial" w:ascii="Book Antiqua" w:hAnsi="Book Antiqua"/>
          <w:b/>
          <w:caps/>
        </w:rPr>
        <w:t>Article 7 : DEPOT et PubliCITE de l’accord</w:t>
      </w:r>
    </w:p>
    <w:p>
      <w:pPr>
        <w:pStyle w:val="Normal"/>
        <w:ind w:left="284" w:right="565" w:hanging="0"/>
        <w:jc w:val="both"/>
        <w:rPr>
          <w:rFonts w:ascii="Book Antiqua" w:hAnsi="Book Antiqua" w:cs="Book Antiqua"/>
          <w:b/>
          <w:b/>
          <w:caps/>
        </w:rPr>
      </w:pPr>
      <w:r>
        <w:rPr>
          <w:rFonts w:cs="Book Antiqua" w:ascii="Book Antiqua" w:hAnsi="Book Antiqua"/>
          <w:b/>
          <w:caps/>
        </w:rPr>
      </w:r>
    </w:p>
    <w:p>
      <w:pPr>
        <w:pStyle w:val="Normal"/>
        <w:ind w:left="284" w:right="565" w:hanging="0"/>
        <w:jc w:val="both"/>
        <w:rPr>
          <w:rFonts w:ascii="Book Antiqua" w:hAnsi="Book Antiqua" w:cs="Book Antiqua"/>
          <w:bCs/>
          <w:i/>
          <w:i/>
        </w:rPr>
      </w:pPr>
      <w:r>
        <w:rPr>
          <w:rFonts w:cs="Book Antiqua" w:ascii="Book Antiqua" w:hAnsi="Book Antiqua"/>
        </w:rPr>
        <w:t>L</w:t>
      </w:r>
      <w:r>
        <w:rPr>
          <w:rFonts w:cs="Book Antiqua" w:ascii="Book Antiqua" w:hAnsi="Book Antiqua"/>
          <w:bCs/>
        </w:rPr>
        <w:t xml:space="preserve">’accord sera déposé, à la diligence de l’employeur, sous forme dématérialisée, sur la plateforme de téléprocédure du Ministère du travail : </w:t>
      </w:r>
      <w:r>
        <w:rPr>
          <w:rFonts w:cs="Book Antiqua" w:ascii="Book Antiqua" w:hAnsi="Book Antiqua"/>
          <w:b/>
          <w:i/>
          <w:u w:val="single"/>
        </w:rPr>
        <w:t>teleaccords.travail-emploi.gouv.fr,</w:t>
      </w:r>
      <w:r>
        <w:rPr>
          <w:rFonts w:cs="Arial" w:ascii="Book Antiqua" w:hAnsi="Book Antiqua"/>
        </w:rPr>
        <w:t xml:space="preserve"> accompagné des pièces prévues par le Code du travail et notamment de la notification de cet accord à l’ensemble des organisations syndicales représentatives dans l’entreprise.</w:t>
      </w:r>
    </w:p>
    <w:p>
      <w:pPr>
        <w:pStyle w:val="Normal"/>
        <w:ind w:left="284" w:right="565" w:hanging="0"/>
        <w:jc w:val="both"/>
        <w:rPr>
          <w:rFonts w:ascii="Book Antiqua" w:hAnsi="Book Antiqua" w:cs="Book Antiqua"/>
          <w:bCs/>
          <w:i/>
          <w:i/>
        </w:rPr>
      </w:pPr>
      <w:r>
        <w:rPr>
          <w:rFonts w:cs="Book Antiqua" w:ascii="Book Antiqua" w:hAnsi="Book Antiqua"/>
          <w:bCs/>
          <w:i/>
        </w:rPr>
      </w:r>
    </w:p>
    <w:p>
      <w:pPr>
        <w:pStyle w:val="Normal"/>
        <w:ind w:left="284" w:right="565" w:hanging="0"/>
        <w:jc w:val="both"/>
        <w:rPr>
          <w:rFonts w:ascii="Book Antiqua" w:hAnsi="Book Antiqua" w:cs="Book Antiqua"/>
          <w:bCs/>
        </w:rPr>
      </w:pPr>
      <w:r>
        <w:rPr>
          <w:rFonts w:cs="Book Antiqua" w:ascii="Book Antiqua" w:hAnsi="Book Antiqua"/>
          <w:bCs/>
        </w:rPr>
        <w:t>Deux versions seront transmises :</w:t>
      </w:r>
    </w:p>
    <w:p>
      <w:pPr>
        <w:pStyle w:val="Normal"/>
        <w:ind w:left="284" w:right="565" w:hanging="0"/>
        <w:jc w:val="both"/>
        <w:rPr>
          <w:rFonts w:ascii="Book Antiqua" w:hAnsi="Book Antiqua" w:cs="Book Antiqua"/>
          <w:bCs/>
        </w:rPr>
      </w:pPr>
      <w:r>
        <w:rPr>
          <w:rFonts w:cs="Book Antiqua" w:ascii="Book Antiqua" w:hAnsi="Book Antiqua"/>
          <w:bCs/>
        </w:rPr>
        <w:t>- une version intégrale signée, au format PDF ;</w:t>
      </w:r>
    </w:p>
    <w:p>
      <w:pPr>
        <w:pStyle w:val="Normal"/>
        <w:ind w:left="284" w:right="565" w:hanging="0"/>
        <w:jc w:val="both"/>
        <w:rPr>
          <w:rFonts w:ascii="Book Antiqua" w:hAnsi="Book Antiqua" w:cs="Book Antiqua"/>
          <w:bCs/>
        </w:rPr>
      </w:pPr>
      <w:r>
        <w:rPr>
          <w:rFonts w:cs="Book Antiqua" w:ascii="Book Antiqua" w:hAnsi="Book Antiqua"/>
          <w:bCs/>
        </w:rPr>
        <w:t>- une version anonymisée, au format DOCX.</w:t>
      </w:r>
    </w:p>
    <w:p>
      <w:pPr>
        <w:pStyle w:val="Normal"/>
        <w:ind w:left="284" w:right="565" w:hanging="0"/>
        <w:jc w:val="both"/>
        <w:rPr>
          <w:rFonts w:ascii="Book Antiqua" w:hAnsi="Book Antiqua" w:cs="Book Antiqua"/>
          <w:bCs/>
        </w:rPr>
      </w:pPr>
      <w:r>
        <w:rPr>
          <w:rFonts w:cs="Book Antiqua" w:ascii="Book Antiqua" w:hAnsi="Book Antiqua"/>
          <w:bCs/>
        </w:rPr>
      </w:r>
    </w:p>
    <w:p>
      <w:pPr>
        <w:pStyle w:val="Normal"/>
        <w:ind w:left="284" w:right="565" w:hanging="0"/>
        <w:jc w:val="both"/>
        <w:rPr>
          <w:rFonts w:ascii="Book Antiqua" w:hAnsi="Book Antiqua" w:cs="Book Antiqua"/>
        </w:rPr>
      </w:pPr>
      <w:r>
        <w:rPr>
          <w:rFonts w:cs="Book Antiqua" w:ascii="Book Antiqua" w:hAnsi="Book Antiqua"/>
        </w:rPr>
        <w:t>Une fois ces formalités accomplies et l’accord reçu, la DREETS adressera à l’entreprise un récépissé de dépôt.</w:t>
      </w:r>
    </w:p>
    <w:p>
      <w:pPr>
        <w:pStyle w:val="Normal"/>
        <w:ind w:left="284" w:right="565" w:hanging="0"/>
        <w:jc w:val="both"/>
        <w:rPr>
          <w:rFonts w:ascii="Book Antiqua" w:hAnsi="Book Antiqua" w:cs="Book Antiqua"/>
        </w:rPr>
      </w:pPr>
      <w:r>
        <w:rPr>
          <w:rFonts w:cs="Book Antiqua" w:ascii="Book Antiqua" w:hAnsi="Book Antiqua"/>
        </w:rPr>
      </w:r>
    </w:p>
    <w:p>
      <w:pPr>
        <w:pStyle w:val="Normal"/>
        <w:ind w:left="284" w:right="565" w:hanging="0"/>
        <w:jc w:val="both"/>
        <w:rPr>
          <w:rFonts w:ascii="Book Antiqua" w:hAnsi="Book Antiqua" w:cs="Book Antiqua"/>
        </w:rPr>
      </w:pPr>
      <w:r>
        <w:rPr>
          <w:rFonts w:cs="Book Antiqua" w:ascii="Book Antiqua" w:hAnsi="Book Antiqua"/>
        </w:rPr>
        <w:t>L’accord sera également déposé au secrétariat-greffe du Conseil de Prud’hommes compétent.</w:t>
      </w:r>
    </w:p>
    <w:p>
      <w:pPr>
        <w:pStyle w:val="Normal"/>
        <w:ind w:left="284" w:right="565" w:hanging="0"/>
        <w:jc w:val="both"/>
        <w:rPr>
          <w:rFonts w:ascii="Book Antiqua" w:hAnsi="Book Antiqua" w:cs="Book Antiqua"/>
        </w:rPr>
      </w:pPr>
      <w:r>
        <w:rPr>
          <w:rFonts w:cs="Book Antiqua" w:ascii="Book Antiqua" w:hAnsi="Book Antiqua"/>
        </w:rPr>
      </w:r>
    </w:p>
    <w:p>
      <w:pPr>
        <w:pStyle w:val="Normal"/>
        <w:ind w:left="284" w:right="565" w:hanging="0"/>
        <w:jc w:val="both"/>
        <w:rPr>
          <w:rFonts w:ascii="Book Antiqua" w:hAnsi="Book Antiqua" w:cs="Book Antiqua"/>
        </w:rPr>
      </w:pPr>
      <w:r>
        <w:rPr>
          <w:rFonts w:cs="Book Antiqua" w:ascii="Book Antiqua" w:hAnsi="Book Antiqua"/>
        </w:rPr>
        <w:t>L’accord fera enfin l’objet d’un affichage dans les locaux de l’entreprise, destiné à assurer l’information de l’ensemble du personnel.</w:t>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pPr>
      <w:r>
        <w:rPr>
          <w:rFonts w:cs="Arial" w:ascii="Book Antiqua" w:hAnsi="Book Antiqua"/>
        </w:rPr>
        <w:t xml:space="preserve">Fait à VERNOUX, </w:t>
      </w:r>
    </w:p>
    <w:p>
      <w:pPr>
        <w:pStyle w:val="Normal"/>
        <w:spacing w:lineRule="exact" w:line="280"/>
        <w:ind w:left="284" w:right="565" w:hanging="0"/>
        <w:jc w:val="both"/>
        <w:rPr>
          <w:rFonts w:ascii="Book Antiqua" w:hAnsi="Book Antiqua" w:cs="Arial"/>
        </w:rPr>
      </w:pPr>
      <w:r>
        <w:rPr>
          <w:rFonts w:cs="Arial" w:ascii="Book Antiqua" w:hAnsi="Book Antiqua"/>
        </w:rPr>
        <w:t>Le 22 septembre 2022</w:t>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b/>
          <w:b/>
          <w:bCs/>
        </w:rPr>
      </w:pPr>
      <w:r>
        <w:rPr>
          <w:rFonts w:cs="Arial" w:ascii="Book Antiqua" w:hAnsi="Book Antiqua"/>
          <w:b/>
          <w:bCs/>
        </w:rPr>
        <w:t>La Société CARROSSERIE JARJAT représentée par  M                     agissant en qualité de DRH</w:t>
      </w:r>
    </w:p>
    <w:p>
      <w:pPr>
        <w:pStyle w:val="Normal"/>
        <w:spacing w:lineRule="exact" w:line="280"/>
        <w:ind w:left="284" w:right="565" w:hanging="0"/>
        <w:jc w:val="both"/>
        <w:rPr>
          <w:rFonts w:ascii="Book Antiqua" w:hAnsi="Book Antiqua" w:cs="Arial"/>
          <w:b/>
          <w:b/>
          <w:bCs/>
        </w:rPr>
      </w:pPr>
      <w:r>
        <w:rPr>
          <w:rFonts w:cs="Arial" w:ascii="Book Antiqua" w:hAnsi="Book Antiqua"/>
          <w:b/>
          <w:bCs/>
        </w:rPr>
      </w:r>
    </w:p>
    <w:p>
      <w:pPr>
        <w:pStyle w:val="Normal"/>
        <w:spacing w:lineRule="exact" w:line="280"/>
        <w:ind w:left="284" w:right="565" w:hanging="0"/>
        <w:jc w:val="both"/>
        <w:rPr>
          <w:rFonts w:ascii="Book Antiqua" w:hAnsi="Book Antiqua" w:cs="Arial"/>
        </w:rPr>
      </w:pPr>
      <w:r>
        <w:rPr>
          <w:rFonts w:cs="Arial" w:ascii="Book Antiqua" w:hAnsi="Book Antiqua"/>
        </w:rPr>
      </w:r>
    </w:p>
    <w:p>
      <w:pPr>
        <w:pStyle w:val="Normal"/>
        <w:spacing w:lineRule="exact" w:line="280"/>
        <w:ind w:left="284" w:right="565" w:hanging="0"/>
        <w:jc w:val="both"/>
        <w:rPr>
          <w:rFonts w:ascii="Book Antiqua" w:hAnsi="Book Antiqua" w:cs="Arial"/>
          <w:b/>
          <w:b/>
          <w:bCs/>
        </w:rPr>
      </w:pPr>
      <w:r>
        <w:rPr>
          <w:rFonts w:cs="Arial" w:ascii="Book Antiqua" w:hAnsi="Book Antiqua"/>
          <w:b/>
          <w:bCs/>
        </w:rPr>
      </w:r>
    </w:p>
    <w:p>
      <w:pPr>
        <w:pStyle w:val="Normal"/>
        <w:spacing w:lineRule="exact" w:line="280"/>
        <w:ind w:left="284" w:right="565" w:hanging="0"/>
        <w:jc w:val="both"/>
        <w:rPr>
          <w:rFonts w:ascii="Book Antiqua" w:hAnsi="Book Antiqua" w:cs="Arial"/>
          <w:b/>
          <w:b/>
          <w:bCs/>
        </w:rPr>
      </w:pPr>
      <w:r>
        <w:rPr>
          <w:rFonts w:cs="Arial" w:ascii="Book Antiqua" w:hAnsi="Book Antiqua"/>
          <w:b/>
          <w:bCs/>
        </w:rPr>
      </w:r>
    </w:p>
    <w:p>
      <w:pPr>
        <w:pStyle w:val="Normal"/>
        <w:spacing w:lineRule="exact" w:line="280"/>
        <w:ind w:left="284" w:right="565" w:hanging="0"/>
        <w:jc w:val="both"/>
        <w:rPr>
          <w:rFonts w:ascii="Book Antiqua" w:hAnsi="Book Antiqua" w:cs="Arial"/>
          <w:b/>
          <w:b/>
          <w:bCs/>
        </w:rPr>
      </w:pPr>
      <w:r>
        <w:rPr>
          <w:rFonts w:cs="Arial" w:ascii="Book Antiqua" w:hAnsi="Book Antiqua"/>
          <w:b/>
          <w:bCs/>
        </w:rPr>
      </w:r>
    </w:p>
    <w:p>
      <w:pPr>
        <w:pStyle w:val="Normal"/>
        <w:spacing w:lineRule="exact" w:line="280"/>
        <w:ind w:right="565" w:hanging="0"/>
        <w:jc w:val="both"/>
        <w:rPr>
          <w:rFonts w:ascii="Book Antiqua" w:hAnsi="Book Antiqua" w:cs="Arial"/>
          <w:b/>
          <w:b/>
          <w:bCs/>
        </w:rPr>
      </w:pPr>
      <w:r>
        <w:rPr>
          <w:rFonts w:cs="Arial" w:ascii="Book Antiqua" w:hAnsi="Book Antiqua"/>
          <w:b/>
          <w:bCs/>
        </w:rPr>
      </w:r>
    </w:p>
    <w:p>
      <w:pPr>
        <w:pStyle w:val="Normal"/>
        <w:spacing w:lineRule="exact" w:line="280"/>
        <w:ind w:left="284" w:right="565" w:hanging="0"/>
        <w:jc w:val="both"/>
        <w:rPr>
          <w:rFonts w:ascii="Book Antiqua" w:hAnsi="Book Antiqua" w:cs="Arial"/>
          <w:b/>
          <w:b/>
          <w:bCs/>
        </w:rPr>
      </w:pPr>
      <w:r>
        <w:rPr>
          <w:rFonts w:cs="Arial" w:ascii="Book Antiqua" w:hAnsi="Book Antiqua"/>
          <w:b/>
          <w:bCs/>
        </w:rPr>
      </w:r>
    </w:p>
    <w:p>
      <w:pPr>
        <w:pStyle w:val="Normal"/>
        <w:spacing w:lineRule="exact" w:line="280"/>
        <w:ind w:left="284" w:right="565" w:hanging="0"/>
        <w:jc w:val="both"/>
        <w:rPr>
          <w:rFonts w:ascii="Book Antiqua" w:hAnsi="Book Antiqua" w:cs="Arial"/>
          <w:b/>
          <w:b/>
          <w:bCs/>
        </w:rPr>
      </w:pPr>
      <w:r>
        <w:rPr>
          <w:rFonts w:cs="Arial" w:ascii="Book Antiqua" w:hAnsi="Book Antiqua"/>
          <w:b/>
          <w:bCs/>
        </w:rPr>
        <w:t>Le délégué syndical CFDT, M</w:t>
      </w:r>
    </w:p>
    <w:p>
      <w:pPr>
        <w:pStyle w:val="Normal"/>
        <w:spacing w:lineRule="exact" w:line="280"/>
        <w:ind w:left="284" w:right="565" w:hanging="0"/>
        <w:jc w:val="both"/>
        <w:rPr>
          <w:rFonts w:ascii="Book Antiqua" w:hAnsi="Book Antiqua" w:cs="Arial"/>
          <w:b/>
          <w:b/>
          <w:bCs/>
        </w:rPr>
      </w:pPr>
      <w:r>
        <w:rPr>
          <w:rFonts w:cs="Arial" w:ascii="Book Antiqua" w:hAnsi="Book Antiqua"/>
          <w:b/>
          <w:bCs/>
        </w:rPr>
      </w:r>
    </w:p>
    <w:p>
      <w:pPr>
        <w:pStyle w:val="Normal"/>
        <w:ind w:left="284" w:right="565" w:hanging="0"/>
        <w:jc w:val="both"/>
        <w:rPr>
          <w:rFonts w:ascii="Book Antiqua" w:hAnsi="Book Antiqua" w:cs="Book Antiqua"/>
        </w:rPr>
      </w:pPr>
      <w:r>
        <w:rPr>
          <w:rFonts w:cs="Book Antiqua" w:ascii="Book Antiqua" w:hAnsi="Book Antiqua"/>
        </w:rPr>
      </w:r>
    </w:p>
    <w:p>
      <w:pPr>
        <w:pStyle w:val="Normal"/>
        <w:ind w:left="284" w:right="565" w:hanging="0"/>
        <w:rPr>
          <w:rFonts w:ascii="Book Antiqua" w:hAnsi="Book Antiqua" w:cs="Book Antiqua"/>
        </w:rPr>
      </w:pPr>
      <w:r>
        <w:rPr>
          <w:rFonts w:cs="Book Antiqua" w:ascii="Book Antiqua" w:hAnsi="Book Antiqua"/>
        </w:rPr>
      </w:r>
    </w:p>
    <w:sectPr>
      <w:footerReference w:type="default" r:id="rId2"/>
      <w:type w:val="nextPage"/>
      <w:pgSz w:w="11906" w:h="16838"/>
      <w:pgMar w:left="851" w:right="851" w:header="0" w:top="851" w:footer="709"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utiger LT 45 Light">
    <w:altName w:val="Century Gothic"/>
    <w:charset w:val="00"/>
    <w:family w:val="swiss"/>
    <w:pitch w:val="variable"/>
  </w:font>
  <w:font w:name="Trebuchet MS">
    <w:charset w:val="00"/>
    <w:family w:val="swiss"/>
    <w:pitch w:val="variable"/>
  </w:font>
  <w:font w:name="Book Antiqua">
    <w:charset w:val="00"/>
    <w:family w:val="roman"/>
    <w:pitch w:val="variable"/>
  </w:font>
  <w:font w:name="Wingdings">
    <w:charset w:val="02"/>
    <w:family w:val="auto"/>
    <w:pitch w:val="variable"/>
  </w:font>
  <w:font w:name="Courier New">
    <w:charset w:val="00"/>
    <w:family w:val="modern"/>
    <w:pitch w:val="default"/>
  </w:font>
  <w:font w:name="Lucida Sans Unicode">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Pr>
    </w:pPr>
    <w:r>
      <w:rPr/>
      <w:tab/>
    </w:r>
    <w:r>
      <w:rPr>
        <w:rStyle w:val="PageNumbe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Frutiger LT 45 Light;Century Gothic" w:hAnsi="Frutiger LT 45 Light;Century Gothic" w:eastAsia="Times New Roman" w:cs="Frutiger LT 45 Light;Century Gothic"/>
      <w:color w:val="auto"/>
      <w:sz w:val="24"/>
      <w:szCs w:val="24"/>
      <w:lang w:val="fr-FR" w:bidi="ar-SA" w:eastAsia="zh-CN"/>
    </w:rPr>
  </w:style>
  <w:style w:type="paragraph" w:styleId="Heading1">
    <w:name w:val="Heading 1"/>
    <w:basedOn w:val="Normal"/>
    <w:next w:val="Normal"/>
    <w:qFormat/>
    <w:pPr>
      <w:keepNext w:val="true"/>
      <w:numPr>
        <w:ilvl w:val="0"/>
        <w:numId w:val="1"/>
      </w:numPr>
      <w:spacing w:before="280" w:after="280"/>
      <w:jc w:val="center"/>
      <w:outlineLvl w:val="0"/>
    </w:pPr>
    <w:rPr>
      <w:rFonts w:ascii="Trebuchet MS" w:hAnsi="Trebuchet MS" w:cs="Arial"/>
      <w:b/>
      <w:bCs/>
      <w:color w:val="000000"/>
      <w:sz w:val="28"/>
      <w:szCs w:val="32"/>
    </w:rPr>
  </w:style>
  <w:style w:type="paragraph" w:styleId="Heading2">
    <w:name w:val="Heading 2"/>
    <w:basedOn w:val="Normal"/>
    <w:next w:val="Normal"/>
    <w:qFormat/>
    <w:pPr>
      <w:keepNext w:val="true"/>
      <w:numPr>
        <w:ilvl w:val="1"/>
        <w:numId w:val="1"/>
      </w:numPr>
      <w:spacing w:before="280" w:after="280"/>
      <w:outlineLvl w:val="1"/>
    </w:pPr>
    <w:rPr>
      <w:rFonts w:ascii="Trebuchet MS" w:hAnsi="Trebuchet MS" w:cs="Arial"/>
      <w:b/>
      <w:bCs/>
      <w:sz w:val="22"/>
      <w:u w:val="single"/>
    </w:rPr>
  </w:style>
  <w:style w:type="paragraph" w:styleId="Heading3">
    <w:name w:val="Heading 3"/>
    <w:basedOn w:val="Normal"/>
    <w:next w:val="TextBody"/>
    <w:qFormat/>
    <w:pPr>
      <w:numPr>
        <w:ilvl w:val="2"/>
        <w:numId w:val="1"/>
      </w:numPr>
      <w:spacing w:before="280" w:after="280"/>
      <w:outlineLvl w:val="2"/>
    </w:pPr>
    <w:rPr>
      <w:rFonts w:ascii="Times New Roman" w:hAnsi="Times New Roman" w:cs="Times New Roman"/>
      <w:b/>
      <w:bCs/>
      <w:color w:val="000000"/>
      <w:sz w:val="27"/>
      <w:szCs w:val="27"/>
    </w:rPr>
  </w:style>
  <w:style w:type="paragraph" w:styleId="Heading4">
    <w:name w:val="Heading 4"/>
    <w:basedOn w:val="Normal"/>
    <w:next w:val="Normal"/>
    <w:qFormat/>
    <w:pPr>
      <w:keepNext w:val="true"/>
      <w:numPr>
        <w:ilvl w:val="3"/>
        <w:numId w:val="1"/>
      </w:numPr>
      <w:ind w:left="426" w:hanging="0"/>
      <w:jc w:val="both"/>
      <w:outlineLvl w:val="3"/>
    </w:pPr>
    <w:rPr>
      <w:rFonts w:ascii="Book Antiqua" w:hAnsi="Book Antiqua" w:cs="Book Antiqua"/>
      <w:szCs w:val="20"/>
    </w:rPr>
  </w:style>
  <w:style w:type="paragraph" w:styleId="Heading5">
    <w:name w:val="Heading 5"/>
    <w:basedOn w:val="Normal"/>
    <w:next w:val="Normal"/>
    <w:qFormat/>
    <w:pPr>
      <w:keepNext w:val="true"/>
      <w:numPr>
        <w:ilvl w:val="4"/>
        <w:numId w:val="1"/>
      </w:numPr>
      <w:jc w:val="center"/>
      <w:outlineLvl w:val="4"/>
    </w:pPr>
    <w:rPr>
      <w:rFonts w:ascii="Times New Roman" w:hAnsi="Times New Roman" w:cs="Times New Roman"/>
      <w:b/>
      <w:szCs w:val="20"/>
    </w:rPr>
  </w:style>
  <w:style w:type="paragraph" w:styleId="Heading6">
    <w:name w:val="Heading 6"/>
    <w:basedOn w:val="Normal"/>
    <w:next w:val="Normal"/>
    <w:qFormat/>
    <w:pPr>
      <w:keepNext w:val="true"/>
      <w:numPr>
        <w:ilvl w:val="5"/>
        <w:numId w:val="1"/>
      </w:numPr>
      <w:spacing w:before="280" w:after="280"/>
      <w:outlineLvl w:val="5"/>
    </w:pPr>
    <w:rPr>
      <w:rFonts w:ascii="Trebuchet MS" w:hAnsi="Trebuchet MS" w:cs="Arial"/>
      <w:b/>
      <w:sz w:val="22"/>
    </w:rPr>
  </w:style>
  <w:style w:type="paragraph" w:styleId="Heading7">
    <w:name w:val="Heading 7"/>
    <w:basedOn w:val="Normal"/>
    <w:next w:val="Normal"/>
    <w:qFormat/>
    <w:pPr>
      <w:keepNext w:val="true"/>
      <w:numPr>
        <w:ilvl w:val="6"/>
        <w:numId w:val="1"/>
      </w:numPr>
      <w:jc w:val="both"/>
      <w:outlineLvl w:val="6"/>
    </w:pPr>
    <w:rPr>
      <w:rFonts w:ascii="Trebuchet MS" w:hAnsi="Trebuchet MS" w:cs="Trebuchet MS"/>
      <w:b/>
      <w:bCs/>
      <w:sz w:val="22"/>
    </w:rPr>
  </w:style>
  <w:style w:type="character" w:styleId="WW8Num1z0">
    <w:name w:val="WW8Num1z0"/>
    <w:qFormat/>
    <w:rPr>
      <w:rFonts w:ascii="Wingdings" w:hAnsi="Wingdings" w:cs="Wingdings"/>
      <w:sz w:val="22"/>
      <w:szCs w:val="22"/>
    </w:rPr>
  </w:style>
  <w:style w:type="character" w:styleId="WW8Num2z0">
    <w:name w:val="WW8Num2z0"/>
    <w:qFormat/>
    <w:rPr>
      <w:rFonts w:ascii="Wingdings" w:hAnsi="Wingdings" w:cs="Wingdings"/>
      <w:sz w:val="28"/>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Lucida Sans Unicode" w:hAnsi="Lucida Sans Unicode" w:eastAsia="PMingLiU;新細明體" w:cs="Lucida Sans Unicod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sz w:val="28"/>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Book Antiqua" w:hAnsi="Book Antiqua"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Arial" w:hAnsi="Arial" w:eastAsia="Times New Roman"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Arial" w:hAnsi="Arial" w:eastAsia="Times New Roman"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Arial" w:hAnsi="Arial"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Policepardfaut">
    <w:name w:val="Police par défaut"/>
    <w:qFormat/>
    <w:rPr/>
  </w:style>
  <w:style w:type="character" w:styleId="InternetLink">
    <w:name w:val="Internet Link"/>
    <w:rPr>
      <w:rFonts w:ascii="Arial" w:hAnsi="Arial" w:cs="Arial"/>
      <w:b/>
      <w:bCs/>
      <w:i w:val="false"/>
      <w:iCs w:val="false"/>
      <w:strike w:val="false"/>
      <w:dstrike w:val="false"/>
      <w:color w:val="3333FF"/>
      <w:sz w:val="22"/>
      <w:szCs w:val="22"/>
      <w:u w:val="none"/>
    </w:rPr>
  </w:style>
  <w:style w:type="character" w:styleId="FootnoteCharacters">
    <w:name w:val="Footnote Characters"/>
    <w:qFormat/>
    <w:rPr>
      <w:vertAlign w:val="superscript"/>
    </w:rPr>
  </w:style>
  <w:style w:type="character" w:styleId="PageNumber">
    <w:name w:val="Page Number"/>
    <w:basedOn w:val="Policepardfau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ascii="Times New Roman" w:hAnsi="Times New Roman" w:cs="Times New Roman"/>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pip">
    <w:name w:val="spip"/>
    <w:basedOn w:val="Normal"/>
    <w:qFormat/>
    <w:pPr>
      <w:spacing w:before="280" w:after="280"/>
    </w:pPr>
    <w:rPr>
      <w:rFonts w:ascii="Times New Roman" w:hAnsi="Times New Roman" w:cs="Times New Roman"/>
      <w:color w:val="000000"/>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Retraitcorpsdetexte2">
    <w:name w:val="Retrait corps de texte 2"/>
    <w:basedOn w:val="Normal"/>
    <w:qFormat/>
    <w:pPr>
      <w:ind w:left="426" w:hanging="0"/>
    </w:pPr>
    <w:rPr>
      <w:rFonts w:ascii="Book Antiqua" w:hAnsi="Book Antiqua" w:cs="Book Antiqua"/>
      <w:szCs w:val="20"/>
    </w:rPr>
  </w:style>
  <w:style w:type="paragraph" w:styleId="NormalWeb">
    <w:name w:val="Normal (Web)"/>
    <w:basedOn w:val="Normal"/>
    <w:qFormat/>
    <w:pPr>
      <w:spacing w:before="280" w:after="280"/>
    </w:pPr>
    <w:rPr>
      <w:rFonts w:ascii="Times New Roman" w:hAnsi="Times New Roman" w:cs="Times New Roman"/>
    </w:rPr>
  </w:style>
  <w:style w:type="paragraph" w:styleId="Corpsdetexte2">
    <w:name w:val="Corps de texte 2"/>
    <w:basedOn w:val="Normal"/>
    <w:qFormat/>
    <w:pPr>
      <w:jc w:val="both"/>
    </w:pPr>
    <w:rPr>
      <w:rFonts w:ascii="Times New Roman" w:hAnsi="Times New Roman" w:cs="Times New Roman"/>
      <w:sz w:val="20"/>
      <w:szCs w:val="20"/>
    </w:rPr>
  </w:style>
  <w:style w:type="paragraph" w:styleId="Corpsdetexte3">
    <w:name w:val="Corps de texte 3"/>
    <w:basedOn w:val="Normal"/>
    <w:qFormat/>
    <w:pPr>
      <w:jc w:val="both"/>
    </w:pPr>
    <w:rPr>
      <w:rFonts w:ascii="Tahoma" w:hAnsi="Tahoma" w:cs="Tahoma"/>
      <w:b/>
    </w:rPr>
  </w:style>
  <w:style w:type="paragraph" w:styleId="Sansinterligne">
    <w:name w:val="Sans interligne"/>
    <w:qFormat/>
    <w:pPr>
      <w:widowControl/>
      <w:suppressAutoHyphens w:val="true"/>
    </w:pPr>
    <w:rPr>
      <w:rFonts w:ascii="Calibri" w:hAnsi="Calibri" w:eastAsia="Calibri" w:cs="Calibri"/>
      <w:color w:val="auto"/>
      <w:sz w:val="22"/>
      <w:szCs w:val="22"/>
      <w:lang w:val="fr-FR"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2022-09-30T09:03:00Z</dcterms:created>
  <dc:creator/>
  <dc:description/>
  <dc:language>en-GB</dc:language>
  <cp:lastModifiedBy/>
  <cp:lastPrinted>2022-09-19T18:25:00Z</cp:lastPrinted>
  <dcterms:modified xsi:type="dcterms:W3CDTF">2022-09-30T09:03:00Z</dcterms:modified>
  <cp:revision>2</cp:revision>
  <dc:subject/>
  <dc:title>Avenant de révision à l’accord de mise en place d’un nouveau régime complémentaire de remboursement des frais de santé au Crédit du Nord dit « ACCORD MUTUELLE »</dc:title>
</cp:coreProperties>
</file>