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3008D8" w:rsidRDefault="003008D8">
      <w:r>
        <w:rPr>
          <w:rFonts w:ascii="Calibri" w:cs="Arial" w:hAnsi="Calibri"/>
          <w:b/>
          <w:noProof/>
          <w:color w:val="FFFFFF"/>
          <w:sz w:val="28"/>
          <w:szCs w:val="28"/>
          <w:lang w:eastAsia="fr-FR"/>
        </w:rPr>
        <mc:AlternateContent>
          <mc:Choice Requires="wps">
            <w:drawing>
              <wp:anchor allowOverlap="1" behindDoc="0" distB="0" distL="114300" distR="114300" distT="0" layoutInCell="1" locked="0" relativeHeight="251659264" simplePos="0" wp14:anchorId="1FEF4D38" wp14:editId="3A7219A9">
                <wp:simplePos x="0" y="0"/>
                <wp:positionH relativeFrom="margin">
                  <wp:posOffset>0</wp:posOffset>
                </wp:positionH>
                <wp:positionV relativeFrom="paragraph">
                  <wp:posOffset>0</wp:posOffset>
                </wp:positionV>
                <wp:extent cx="5822315" cy="974785"/>
                <wp:effectExtent b="0" l="0" r="6985" t="0"/>
                <wp:wrapNone/>
                <wp:docPr id="3" name="Rectangle 3"/>
                <wp:cNvGraphicFramePr/>
                <a:graphic xmlns:a="http://schemas.openxmlformats.org/drawingml/2006/main">
                  <a:graphicData uri="http://schemas.microsoft.com/office/word/2010/wordprocessingShape">
                    <wps:wsp>
                      <wps:cNvSpPr/>
                      <wps:spPr>
                        <a:xfrm>
                          <a:off x="0" y="0"/>
                          <a:ext cx="5822315" cy="974785"/>
                        </a:xfrm>
                        <a:prstGeom prst="rect">
                          <a:avLst/>
                        </a:prstGeom>
                        <a:solidFill>
                          <a:schemeClr val="bg1">
                            <a:lumMod val="85000"/>
                          </a:schemeClr>
                        </a:solidFill>
                        <a:ln algn="ctr" cap="flat" cmpd="sng" w="12700">
                          <a:noFill/>
                          <a:prstDash val="solid"/>
                          <a:miter lim="800000"/>
                        </a:ln>
                        <a:effectLst/>
                      </wps:spPr>
                      <wps:txbx>
                        <w:txbxContent>
                          <w:p w:rsidP="003008D8" w:rsidR="003008D8" w:rsidRDefault="003008D8" w:rsidRPr="00106563">
                            <w:pPr>
                              <w:jc w:val="center"/>
                              <w:rPr>
                                <w:rFonts w:ascii="Calibri" w:cs="Arial" w:hAnsi="Calibri"/>
                                <w:b/>
                                <w:sz w:val="32"/>
                                <w:szCs w:val="32"/>
                              </w:rPr>
                            </w:pPr>
                            <w:r w:rsidRPr="00B26B46">
                              <w:rPr>
                                <w:rFonts w:ascii="Calibri" w:cs="Arial" w:hAnsi="Calibri"/>
                                <w:b/>
                                <w:sz w:val="32"/>
                                <w:szCs w:val="32"/>
                              </w:rPr>
                              <w:t xml:space="preserve">ACCORD MAJORITAIRE RELATIF </w:t>
                            </w:r>
                            <w:r>
                              <w:rPr>
                                <w:rFonts w:ascii="Calibri" w:cs="Arial" w:hAnsi="Calibri"/>
                                <w:b/>
                                <w:sz w:val="32"/>
                                <w:szCs w:val="32"/>
                              </w:rPr>
                              <w:t xml:space="preserve">A LA NEGOCIATION ANNUELLE OBLIGATOIRE </w:t>
                            </w:r>
                            <w:r w:rsidRPr="00B26B46">
                              <w:rPr>
                                <w:rFonts w:ascii="Calibri" w:cs="Arial" w:hAnsi="Calibri"/>
                                <w:b/>
                                <w:sz w:val="32"/>
                                <w:szCs w:val="32"/>
                              </w:rPr>
                              <w:t>AU SEIN DE</w:t>
                            </w:r>
                            <w:r>
                              <w:rPr>
                                <w:rFonts w:ascii="Calibri" w:cs="Arial" w:hAnsi="Calibri"/>
                                <w:b/>
                                <w:sz w:val="32"/>
                                <w:szCs w:val="32"/>
                              </w:rPr>
                              <w:t xml:space="preserve"> LA SOCIETE INVICTA GROUP</w:t>
                            </w:r>
                          </w:p>
                        </w:txbxContent>
                      </wps:txbx>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d8d8d8 [2732]" id="Rectangle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zayTfwIAAPYEAAAOAAAAZHJzL2Uyb0RvYy54bWysVFtP2zAUfp+0/2D5faQt7VoiUlSBmCYx QMDE86ljJ5Z8m+02Yb9+x05aGNvTtBfnHJ/75+/k/KLXiuy5D9Kaik5PJpRww2wtTVPR70/Xn1aU hAimBmUNr+gLD/Ri/fHDeedKPrOtVTX3BJOYUHauom2MriyKwFquIZxYxw0ahfUaIqq+KWoPHWbX qphNJp+Lzvraect4CHh7NRjpOucXgrN4J0TgkaiKYm8xnz6f23QW63MoGw+ulWxsA/6hCw3SYNFj qiuIQHZe/pFKS+ZtsCKeMKsLK4RkPM+A00wn76Z5bMHxPAuCE9wRpvD/0rLb/b0nsq7oKSUGND7R A4IGplGcnCZ4OhdK9Hp0937UAopp1l54nb44BekzpC9HSHkfCcPLxWo2O50uKGFoO1vOl6tFSlq8 Rjsf4hduNUlCRT1Wz0jC/ibEwfXgkooFq2R9LZXKSqIJv1Se7AEfeNtMc6ja6W+2Hu5Wi8kkPzOW zKxK7rmB3zIpQzrk72yJzoQBMlEoiChqh9gE01ACqkGKs+hzDWNTE9gflKm9KwjtUDCnHXilZURy K6krusIujn0ok8J4puc4ZEJ5wDVJsd/2I9hbW7/gC3k7UDc4di2x3g2EeA8euYr94v7FOzyEsjiE HSVKWut//u0++SOF0EpJh9zHAX/swHNK1FeD5DqbzudpWbIyXyxnqPi3lu1bi9npS4voT3HTHcti 8o/qIApv9TOu6SZVRRMYhrUHKEflMg47iYvO+GaT3XBBHMQb8+hYSn5A+ql/Bu9GtkTk2a097AmU 70gz+KZIYze7aIXMjEoQD7giEZKCy5UpMf4I0va+1bPX6+9q/QsAAP//AwBQSwMEFAAGAAgAAAAh AO5H7KLbAAAABQEAAA8AAABkcnMvZG93bnJldi54bWxMj0FLw0AQhe+C/2EZwZvdVGlpYzZFBb2I QlsP9jbNTpPQ7GzYnbTx37t60cuD4T3e+6ZYja5TJwqx9WxgOslAEVfetlwb+Ng+3yxARUG22Hkm A18UYVVeXhSYW3/mNZ02UqtUwjFHA41In2sdq4YcxonviZN38MGhpDPU2gY8p3LX6dssm2uHLaeF Bnt6aqg6bgZnoH2rXxbv4VUesR22uJPdp5femOur8eEelNAof2H4wU/oUCamvR/YRtUZSI/IryZv OZ0vQe1TaHY3A10W+j99+Q0AAP//AwBQSwECLQAUAAYACAAAACEAtoM4kv4AAADhAQAAEwAAAAAA AAAAAAAAAAAAAAAAW0NvbnRlbnRfVHlwZXNdLnhtbFBLAQItABQABgAIAAAAIQA4/SH/1gAAAJQB AAALAAAAAAAAAAAAAAAAAC8BAABfcmVscy8ucmVsc1BLAQItABQABgAIAAAAIQDYzayTfwIAAPYE AAAOAAAAAAAAAAAAAAAAAC4CAABkcnMvZTJvRG9jLnhtbFBLAQItABQABgAIAAAAIQDuR+yi2wAA AAUBAAAPAAAAAAAAAAAAAAAAANkEAABkcnMvZG93bnJldi54bWxQSwUGAAAAAAQABADzAAAA4QUA AAAA " o:spid="_x0000_s1026" stroked="f" strokeweight="1pt" style="position:absolute;margin-left:0;margin-top:0;width:458.45pt;height:7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w14:anchorId="1FEF4D38">
                <v:textbox>
                  <w:txbxContent>
                    <w:p w:rsidP="003008D8" w:rsidR="003008D8" w:rsidRDefault="003008D8" w:rsidRPr="00106563">
                      <w:pPr>
                        <w:jc w:val="center"/>
                        <w:rPr>
                          <w:rFonts w:ascii="Calibri" w:cs="Arial" w:hAnsi="Calibri"/>
                          <w:b/>
                          <w:sz w:val="32"/>
                          <w:szCs w:val="32"/>
                        </w:rPr>
                      </w:pPr>
                      <w:r w:rsidRPr="00B26B46">
                        <w:rPr>
                          <w:rFonts w:ascii="Calibri" w:cs="Arial" w:hAnsi="Calibri"/>
                          <w:b/>
                          <w:sz w:val="32"/>
                          <w:szCs w:val="32"/>
                        </w:rPr>
                        <w:t xml:space="preserve">ACCORD MAJORITAIRE RELATIF </w:t>
                      </w:r>
                      <w:r>
                        <w:rPr>
                          <w:rFonts w:ascii="Calibri" w:cs="Arial" w:hAnsi="Calibri"/>
                          <w:b/>
                          <w:sz w:val="32"/>
                          <w:szCs w:val="32"/>
                        </w:rPr>
                        <w:t xml:space="preserve">A LA NEGOCIATION ANNUELLE OBLIGATOIRE </w:t>
                      </w:r>
                      <w:r w:rsidRPr="00B26B46">
                        <w:rPr>
                          <w:rFonts w:ascii="Calibri" w:cs="Arial" w:hAnsi="Calibri"/>
                          <w:b/>
                          <w:sz w:val="32"/>
                          <w:szCs w:val="32"/>
                        </w:rPr>
                        <w:t>AU SEIN DE</w:t>
                      </w:r>
                      <w:r>
                        <w:rPr>
                          <w:rFonts w:ascii="Calibri" w:cs="Arial" w:hAnsi="Calibri"/>
                          <w:b/>
                          <w:sz w:val="32"/>
                          <w:szCs w:val="32"/>
                        </w:rPr>
                        <w:t xml:space="preserve"> LA SOCIETE INVICTA GROUP</w:t>
                      </w:r>
                    </w:p>
                  </w:txbxContent>
                </v:textbox>
                <w10:wrap anchorx="margin"/>
              </v:rect>
            </w:pict>
          </mc:Fallback>
        </mc:AlternateContent>
      </w:r>
    </w:p>
    <w:p w:rsidR="003008D8" w:rsidRDefault="003008D8"/>
    <w:p w:rsidR="003008D8" w:rsidRDefault="003008D8"/>
    <w:p w:rsidP="003008D8" w:rsidR="003008D8" w:rsidRDefault="003008D8"/>
    <w:p w:rsidP="003008D8" w:rsidR="003008D8" w:rsidRDefault="003008D8"/>
    <w:p w:rsidP="00DB12B3" w:rsidR="003008D8" w:rsidRDefault="003008D8" w:rsidRPr="003008D8">
      <w:pPr>
        <w:spacing w:after="0" w:line="300" w:lineRule="exact"/>
        <w:jc w:val="both"/>
        <w:rPr>
          <w:rFonts w:cstheme="minorHAnsi" w:eastAsia="Times New Roman"/>
          <w:b/>
          <w:u w:val="single"/>
          <w:lang w:eastAsia="fr-FR"/>
        </w:rPr>
      </w:pPr>
      <w:r w:rsidRPr="003008D8">
        <w:rPr>
          <w:rFonts w:cstheme="minorHAnsi" w:eastAsia="Times New Roman"/>
          <w:b/>
          <w:u w:val="single"/>
          <w:lang w:eastAsia="fr-FR"/>
        </w:rPr>
        <w:t xml:space="preserve">ENTRE LES </w:t>
      </w:r>
      <w:r w:rsidR="00B40E2F">
        <w:rPr>
          <w:rFonts w:cstheme="minorHAnsi" w:eastAsia="Times New Roman"/>
          <w:b/>
          <w:u w:val="single"/>
          <w:lang w:eastAsia="fr-FR"/>
        </w:rPr>
        <w:t>PARTIES EN PRESENCE</w:t>
      </w:r>
      <w:r w:rsidRPr="003008D8">
        <w:rPr>
          <w:rFonts w:cstheme="minorHAnsi" w:eastAsia="Times New Roman"/>
          <w:b/>
          <w:u w:val="single"/>
          <w:lang w:eastAsia="fr-FR"/>
        </w:rPr>
        <w:t xml:space="preserve"> :</w:t>
      </w:r>
    </w:p>
    <w:p w:rsidP="00DB12B3" w:rsidR="003008D8" w:rsidRDefault="003008D8">
      <w:pPr>
        <w:jc w:val="both"/>
      </w:pPr>
    </w:p>
    <w:p w:rsidP="00DB12B3" w:rsidR="003008D8" w:rsidRDefault="003008D8">
      <w:pPr>
        <w:jc w:val="both"/>
      </w:pPr>
      <w:r w:rsidRPr="003008D8">
        <w:rPr>
          <w:b/>
        </w:rPr>
        <w:t>La société INVICTA GROUP</w:t>
      </w:r>
      <w:r>
        <w:t xml:space="preserve">, SAS, inscrite au RCS de Sedan sous le numéro 785 520 180, dont le siège est sis Lieudit la Gravette - 08350 </w:t>
      </w:r>
      <w:proofErr w:type="spellStart"/>
      <w:r>
        <w:t>Donchery</w:t>
      </w:r>
      <w:proofErr w:type="spellEnd"/>
      <w:r>
        <w:t xml:space="preserve">, représentée par, en sa qualité de Président, </w:t>
      </w:r>
    </w:p>
    <w:p w:rsidP="00DB12B3" w:rsidR="003008D8" w:rsidRDefault="003008D8">
      <w:pPr>
        <w:jc w:val="both"/>
      </w:pPr>
    </w:p>
    <w:p w:rsidP="00DB12B3" w:rsidR="003008D8" w:rsidRDefault="003008D8" w:rsidRPr="003008D8">
      <w:pPr>
        <w:spacing w:after="0" w:line="300" w:lineRule="exact"/>
        <w:ind w:left="7788"/>
        <w:jc w:val="both"/>
        <w:rPr>
          <w:rFonts w:cstheme="minorHAnsi" w:eastAsia="MS Mincho"/>
          <w:b/>
          <w:bCs/>
          <w:i/>
          <w:iCs/>
          <w:lang w:eastAsia="fr-FR"/>
        </w:rPr>
      </w:pPr>
      <w:proofErr w:type="gramStart"/>
      <w:r w:rsidRPr="003008D8">
        <w:rPr>
          <w:rFonts w:cstheme="minorHAnsi" w:eastAsia="MS Mincho"/>
          <w:b/>
          <w:bCs/>
          <w:i/>
          <w:iCs/>
          <w:lang w:eastAsia="fr-FR"/>
        </w:rPr>
        <w:t>d’une</w:t>
      </w:r>
      <w:proofErr w:type="gramEnd"/>
      <w:r w:rsidRPr="003008D8">
        <w:rPr>
          <w:rFonts w:cstheme="minorHAnsi" w:eastAsia="MS Mincho"/>
          <w:b/>
          <w:bCs/>
          <w:i/>
          <w:iCs/>
          <w:lang w:eastAsia="fr-FR"/>
        </w:rPr>
        <w:t xml:space="preserve"> part,</w:t>
      </w:r>
    </w:p>
    <w:p w:rsidP="00DB12B3" w:rsidR="003008D8" w:rsidRDefault="003008D8">
      <w:pPr>
        <w:jc w:val="both"/>
      </w:pPr>
      <w:r>
        <w:t xml:space="preserve">Ci-après appelée </w:t>
      </w:r>
      <w:r w:rsidRPr="003008D8">
        <w:rPr>
          <w:i/>
        </w:rPr>
        <w:t>« la Société »,</w:t>
      </w:r>
    </w:p>
    <w:p w:rsidP="00DB12B3" w:rsidR="003008D8" w:rsidRDefault="003008D8">
      <w:pPr>
        <w:jc w:val="both"/>
      </w:pPr>
    </w:p>
    <w:p w:rsidP="00DB12B3" w:rsidR="003008D8" w:rsidRDefault="003008D8" w:rsidRPr="003008D8">
      <w:pPr>
        <w:jc w:val="both"/>
        <w:rPr>
          <w:b/>
          <w:u w:val="single"/>
        </w:rPr>
      </w:pPr>
      <w:r w:rsidRPr="003008D8">
        <w:rPr>
          <w:b/>
          <w:u w:val="single"/>
        </w:rPr>
        <w:t>ET</w:t>
      </w:r>
    </w:p>
    <w:p w:rsidP="00DB12B3" w:rsidR="003008D8" w:rsidRDefault="003008D8">
      <w:pPr>
        <w:jc w:val="both"/>
      </w:pPr>
    </w:p>
    <w:p w:rsidP="00DB12B3" w:rsidR="003008D8" w:rsidRDefault="00522727">
      <w:pPr>
        <w:jc w:val="both"/>
      </w:pPr>
      <w:r>
        <w:rPr>
          <w:b/>
        </w:rPr>
        <w:t>L</w:t>
      </w:r>
      <w:r w:rsidR="00AE3710">
        <w:rPr>
          <w:b/>
        </w:rPr>
        <w:t xml:space="preserve">es </w:t>
      </w:r>
      <w:r>
        <w:rPr>
          <w:b/>
        </w:rPr>
        <w:t>organisation</w:t>
      </w:r>
      <w:r w:rsidR="00AE3710">
        <w:rPr>
          <w:b/>
        </w:rPr>
        <w:t>s</w:t>
      </w:r>
      <w:r>
        <w:rPr>
          <w:b/>
        </w:rPr>
        <w:t xml:space="preserve"> Syndicale</w:t>
      </w:r>
      <w:r w:rsidR="00AE3710">
        <w:rPr>
          <w:b/>
        </w:rPr>
        <w:t>s de salariés suivantes</w:t>
      </w:r>
      <w:r w:rsidR="003008D8">
        <w:t xml:space="preserve"> : </w:t>
      </w:r>
    </w:p>
    <w:p w:rsidP="00DB12B3" w:rsidR="003008D8" w:rsidRDefault="003008D8">
      <w:pPr>
        <w:jc w:val="both"/>
      </w:pPr>
      <w:r>
        <w:t>-</w:t>
      </w:r>
      <w:r>
        <w:tab/>
        <w:t>Le syndicat CFE / CGC, représenté par en qualité de délégué syndical,</w:t>
      </w:r>
    </w:p>
    <w:p w:rsidP="00DB12B3" w:rsidR="003008D8" w:rsidRDefault="003008D8">
      <w:pPr>
        <w:jc w:val="both"/>
      </w:pPr>
      <w:r>
        <w:t>-</w:t>
      </w:r>
      <w:r>
        <w:tab/>
        <w:t>Le syndicat CGT, représenté par, en qualité de délégué syndical,</w:t>
      </w:r>
    </w:p>
    <w:p w:rsidP="00DB12B3" w:rsidR="003008D8" w:rsidRDefault="003008D8">
      <w:pPr>
        <w:jc w:val="both"/>
      </w:pPr>
      <w:r>
        <w:t>-</w:t>
      </w:r>
      <w:r>
        <w:tab/>
        <w:t xml:space="preserve">Le syndicat FO, représenté par </w:t>
      </w:r>
      <w:r w:rsidR="00F86971">
        <w:t>en qualité de délégué syndical,</w:t>
      </w:r>
    </w:p>
    <w:p w:rsidP="00DB12B3" w:rsidR="003008D8" w:rsidRDefault="003008D8">
      <w:pPr>
        <w:spacing w:after="0" w:line="300" w:lineRule="exact"/>
        <w:jc w:val="both"/>
      </w:pPr>
      <w:r>
        <w:tab/>
      </w:r>
      <w:r>
        <w:tab/>
      </w:r>
      <w:r>
        <w:tab/>
      </w:r>
      <w:r>
        <w:tab/>
      </w:r>
      <w:r>
        <w:tab/>
      </w:r>
      <w:r>
        <w:tab/>
      </w:r>
      <w:r>
        <w:tab/>
      </w:r>
      <w:r>
        <w:tab/>
      </w:r>
      <w:r>
        <w:tab/>
      </w:r>
      <w:r>
        <w:tab/>
      </w:r>
      <w:r>
        <w:tab/>
        <w:t xml:space="preserve"> </w:t>
      </w:r>
      <w:r>
        <w:tab/>
      </w:r>
      <w:r>
        <w:tab/>
      </w:r>
      <w:r>
        <w:tab/>
      </w:r>
      <w:r>
        <w:tab/>
      </w:r>
      <w:r>
        <w:tab/>
      </w:r>
      <w:r>
        <w:tab/>
      </w:r>
      <w:r>
        <w:tab/>
      </w:r>
      <w:r>
        <w:tab/>
      </w:r>
      <w:r>
        <w:tab/>
      </w:r>
      <w:r>
        <w:tab/>
      </w:r>
      <w:r>
        <w:tab/>
      </w:r>
      <w:r>
        <w:tab/>
      </w:r>
      <w:proofErr w:type="gramStart"/>
      <w:r w:rsidRPr="003008D8">
        <w:rPr>
          <w:rFonts w:cstheme="minorHAnsi" w:eastAsia="MS Mincho"/>
          <w:b/>
          <w:bCs/>
          <w:i/>
          <w:iCs/>
          <w:lang w:eastAsia="fr-FR"/>
        </w:rPr>
        <w:t>d’autre</w:t>
      </w:r>
      <w:proofErr w:type="gramEnd"/>
      <w:r w:rsidRPr="003008D8">
        <w:rPr>
          <w:rFonts w:cstheme="minorHAnsi" w:eastAsia="MS Mincho"/>
          <w:b/>
          <w:bCs/>
          <w:i/>
          <w:iCs/>
          <w:lang w:eastAsia="fr-FR"/>
        </w:rPr>
        <w:t xml:space="preserve"> part,</w:t>
      </w:r>
    </w:p>
    <w:p w:rsidP="00DB12B3" w:rsidR="003008D8" w:rsidRDefault="003008D8">
      <w:pPr>
        <w:jc w:val="both"/>
      </w:pPr>
    </w:p>
    <w:p w:rsidP="00DB12B3" w:rsidR="003008D8" w:rsidRDefault="003008D8">
      <w:pPr>
        <w:jc w:val="both"/>
      </w:pPr>
      <w:r>
        <w:t xml:space="preserve">Ci-après dénommées </w:t>
      </w:r>
      <w:r w:rsidRPr="003008D8">
        <w:rPr>
          <w:i/>
        </w:rPr>
        <w:t>« les organisations syndicales représentatives »,</w:t>
      </w:r>
    </w:p>
    <w:p w:rsidP="00DB12B3" w:rsidR="003008D8" w:rsidRDefault="003008D8">
      <w:pPr>
        <w:jc w:val="both"/>
      </w:pPr>
    </w:p>
    <w:p w:rsidP="00273249" w:rsidR="003008D8" w:rsidRDefault="003008D8" w:rsidRPr="003008D8">
      <w:pPr>
        <w:spacing w:after="360"/>
        <w:jc w:val="both"/>
        <w:rPr>
          <w:b/>
          <w:u w:val="single"/>
        </w:rPr>
      </w:pPr>
      <w:r w:rsidRPr="003008D8">
        <w:rPr>
          <w:b/>
          <w:u w:val="single"/>
        </w:rPr>
        <w:t>IL A TOUT D’ABORD ETE EXPOSE CE QUI SUIT :</w:t>
      </w:r>
    </w:p>
    <w:p w:rsidP="00DB12B3" w:rsidR="003008D8" w:rsidRDefault="003008D8">
      <w:pPr>
        <w:jc w:val="both"/>
      </w:pPr>
      <w:r>
        <w:t>Dans le cadre des obligations de négociation annuelle, la Société et les organisations syndicales</w:t>
      </w:r>
      <w:r w:rsidR="00AE3710">
        <w:t xml:space="preserve"> représentatives</w:t>
      </w:r>
      <w:r>
        <w:t xml:space="preserve"> ont entamé des discussions notamment sur les sujets suivants : salaires, grille des salaires de l’entreprise, égalité femme/homme et plus particulièrement la suppression des écarts de rémunération entre</w:t>
      </w:r>
      <w:r w:rsidR="00273249">
        <w:t xml:space="preserve"> femmes</w:t>
      </w:r>
      <w:r>
        <w:t xml:space="preserve"> et </w:t>
      </w:r>
      <w:r w:rsidR="00273249">
        <w:t>hommes</w:t>
      </w:r>
      <w:r w:rsidR="00AE3710">
        <w:t xml:space="preserve">. </w:t>
      </w:r>
    </w:p>
    <w:p w:rsidP="00DB12B3" w:rsidR="003008D8" w:rsidRDefault="00AE3710">
      <w:pPr>
        <w:jc w:val="both"/>
      </w:pPr>
      <w:r>
        <w:t>Des</w:t>
      </w:r>
      <w:r w:rsidR="003008D8">
        <w:t xml:space="preserve"> réunions relatives aux négociations annuelles </w:t>
      </w:r>
      <w:r w:rsidR="003008D8" w:rsidRPr="00417C19">
        <w:t>obligatoires</w:t>
      </w:r>
      <w:r>
        <w:t xml:space="preserve"> ont été menée</w:t>
      </w:r>
      <w:r w:rsidR="003008D8" w:rsidRPr="00417C19">
        <w:t xml:space="preserve"> en date </w:t>
      </w:r>
      <w:r w:rsidR="00522727" w:rsidRPr="00417C19">
        <w:t>du</w:t>
      </w:r>
      <w:r w:rsidR="00522727">
        <w:t xml:space="preserve"> </w:t>
      </w:r>
      <w:r w:rsidR="00417C19">
        <w:t xml:space="preserve">16 décembre 2021, du 02 février 2022 et </w:t>
      </w:r>
      <w:r w:rsidR="00522727">
        <w:t xml:space="preserve">du </w:t>
      </w:r>
      <w:r w:rsidR="00417C19">
        <w:t>09 février 2022.</w:t>
      </w:r>
    </w:p>
    <w:p w:rsidP="00DB12B3" w:rsidR="00F86971" w:rsidRDefault="00A73875">
      <w:pPr>
        <w:jc w:val="both"/>
      </w:pPr>
      <w:r w:rsidRPr="00171BF4">
        <w:rPr>
          <w:rFonts w:ascii="Calibri" w:cs="Calibri" w:hAnsi="Calibri"/>
        </w:rPr>
        <w:t xml:space="preserve">Les documents préparant les réunions de négociation salariale ont été présentés et commentés lors de la réunion du </w:t>
      </w:r>
      <w:r>
        <w:rPr>
          <w:rFonts w:ascii="Calibri" w:cs="Calibri" w:hAnsi="Calibri"/>
        </w:rPr>
        <w:t>02 février</w:t>
      </w:r>
      <w:r w:rsidRPr="00171BF4">
        <w:rPr>
          <w:rFonts w:ascii="Calibri" w:cs="Calibri" w:hAnsi="Calibri"/>
        </w:rPr>
        <w:t xml:space="preserve"> 2022. Ils comprenaient notamment des </w:t>
      </w:r>
      <w:r w:rsidRPr="00171BF4">
        <w:rPr>
          <w:rFonts w:ascii="Calibri" w:cs="Calibri" w:hAnsi="Calibri"/>
          <w:kern w:val="22"/>
        </w:rPr>
        <w:t>informations en lien avec les domaines de négociation prévus par l’article L.2242-1 du Code du travail</w:t>
      </w:r>
      <w:r>
        <w:rPr>
          <w:rFonts w:ascii="Calibri" w:cs="Calibri" w:hAnsi="Calibri"/>
          <w:kern w:val="22"/>
        </w:rPr>
        <w:t xml:space="preserve">. </w:t>
      </w:r>
    </w:p>
    <w:p w:rsidP="00DB12B3" w:rsidR="0041536D" w:rsidRDefault="003008D8">
      <w:pPr>
        <w:jc w:val="both"/>
      </w:pPr>
      <w:r>
        <w:lastRenderedPageBreak/>
        <w:t xml:space="preserve">Pour mémoire, les précédentes négociations annuelles obligatoires s’étaient achevées le 19 février </w:t>
      </w:r>
      <w:r w:rsidR="00273249">
        <w:t xml:space="preserve">2021 </w:t>
      </w:r>
      <w:r w:rsidR="00ED7E95">
        <w:t xml:space="preserve">conformément à l’article L. 2242-1 du Code du Travail </w:t>
      </w:r>
      <w:r>
        <w:t>2021 par la signature d’un accord majoritaire avec les organisations syndicales</w:t>
      </w:r>
      <w:r w:rsidR="00F86971">
        <w:t xml:space="preserve"> représentatives</w:t>
      </w:r>
      <w:r>
        <w:t>.</w:t>
      </w:r>
    </w:p>
    <w:p w:rsidP="00DB12B3" w:rsidR="00706811" w:rsidRDefault="00706811">
      <w:pPr>
        <w:jc w:val="both"/>
      </w:pPr>
    </w:p>
    <w:p w:rsidP="00DB12B3" w:rsidR="00ED7E95" w:rsidRDefault="00AE3710">
      <w:pPr>
        <w:jc w:val="both"/>
        <w:rPr>
          <w:rFonts w:cstheme="minorHAnsi" w:eastAsia="Batang"/>
        </w:rPr>
      </w:pPr>
      <w:r>
        <w:t xml:space="preserve">Au terme des </w:t>
      </w:r>
      <w:r w:rsidR="00ED7E95">
        <w:t>négociations</w:t>
      </w:r>
      <w:r>
        <w:t>,</w:t>
      </w:r>
      <w:r w:rsidR="00ED7E95">
        <w:t xml:space="preserve"> la Société et les organisations syndicales signataires, dénommées ci-après </w:t>
      </w:r>
      <w:r w:rsidR="00ED7E95" w:rsidRPr="00ED7E95">
        <w:rPr>
          <w:i/>
        </w:rPr>
        <w:t>« les Parties »</w:t>
      </w:r>
      <w:r w:rsidR="00ED7E95">
        <w:t xml:space="preserve"> </w:t>
      </w:r>
      <w:r w:rsidR="00ED7E95" w:rsidRPr="00E55918">
        <w:rPr>
          <w:rFonts w:cstheme="minorHAnsi" w:eastAsia="Batang"/>
        </w:rPr>
        <w:t xml:space="preserve">conviennent </w:t>
      </w:r>
      <w:r w:rsidR="00ED7E95">
        <w:rPr>
          <w:rFonts w:cstheme="minorHAnsi" w:eastAsia="Batang"/>
        </w:rPr>
        <w:t xml:space="preserve">de signer le présent </w:t>
      </w:r>
      <w:r w:rsidR="0041536D">
        <w:rPr>
          <w:rFonts w:cstheme="minorHAnsi" w:eastAsia="Batang"/>
        </w:rPr>
        <w:t xml:space="preserve">accord </w:t>
      </w:r>
      <w:r w:rsidR="00ED7E95" w:rsidRPr="00E55918">
        <w:rPr>
          <w:rFonts w:cstheme="minorHAnsi" w:eastAsia="Batang"/>
        </w:rPr>
        <w:t xml:space="preserve">conformément à l’article </w:t>
      </w:r>
      <w:r w:rsidR="00ED7E95">
        <w:rPr>
          <w:rFonts w:cstheme="minorHAnsi" w:eastAsia="Batang"/>
        </w:rPr>
        <w:t xml:space="preserve">L. </w:t>
      </w:r>
      <w:r w:rsidR="00ED7E95" w:rsidRPr="00E55918">
        <w:rPr>
          <w:rFonts w:cstheme="minorHAnsi" w:eastAsia="Batang"/>
        </w:rPr>
        <w:t>2242</w:t>
      </w:r>
      <w:r w:rsidR="00ED7E95">
        <w:rPr>
          <w:rFonts w:cstheme="minorHAnsi" w:eastAsia="Batang"/>
        </w:rPr>
        <w:t>-1</w:t>
      </w:r>
      <w:r w:rsidR="00ED7E95" w:rsidRPr="00E55918">
        <w:rPr>
          <w:rFonts w:cstheme="minorHAnsi" w:eastAsia="Batang"/>
        </w:rPr>
        <w:t xml:space="preserve"> du Code du Travail</w:t>
      </w:r>
      <w:r w:rsidR="00ED7E95">
        <w:rPr>
          <w:rFonts w:cstheme="minorHAnsi" w:eastAsia="Batang"/>
        </w:rPr>
        <w:t xml:space="preserve">. </w:t>
      </w:r>
    </w:p>
    <w:p w:rsidP="00DB12B3" w:rsidR="003008D8" w:rsidRDefault="003008D8">
      <w:pPr>
        <w:jc w:val="both"/>
      </w:pPr>
    </w:p>
    <w:p w:rsidP="00DB12B3" w:rsidR="003008D8" w:rsidRDefault="003008D8" w:rsidRPr="003008D8">
      <w:pPr>
        <w:jc w:val="both"/>
        <w:rPr>
          <w:b/>
          <w:u w:val="single"/>
        </w:rPr>
      </w:pPr>
      <w:r w:rsidRPr="003008D8">
        <w:rPr>
          <w:b/>
          <w:u w:val="single"/>
        </w:rPr>
        <w:t xml:space="preserve">IL A ETE DECIDE CE QUI SUIT : </w:t>
      </w:r>
    </w:p>
    <w:p w:rsidP="00DB12B3" w:rsidR="003008D8" w:rsidRDefault="003008D8">
      <w:pPr>
        <w:jc w:val="both"/>
      </w:pPr>
    </w:p>
    <w:p w:rsidP="00DB12B3" w:rsidR="003008D8" w:rsidRDefault="003008D8" w:rsidRPr="003008D8">
      <w:pPr>
        <w:jc w:val="both"/>
        <w:rPr>
          <w:b/>
          <w:u w:val="single"/>
        </w:rPr>
      </w:pPr>
      <w:r w:rsidRPr="003008D8">
        <w:rPr>
          <w:b/>
          <w:u w:val="single"/>
        </w:rPr>
        <w:t>ARTICLE 1 – Champ d’application</w:t>
      </w:r>
    </w:p>
    <w:p w:rsidP="00DB12B3" w:rsidR="003008D8" w:rsidRDefault="003008D8">
      <w:pPr>
        <w:jc w:val="both"/>
      </w:pPr>
      <w:r>
        <w:t>Les dispositions du présent accord sont applicables aux salariés de la société INVICTA GROUP.</w:t>
      </w:r>
    </w:p>
    <w:p w:rsidP="00DB12B3" w:rsidR="003008D8" w:rsidRDefault="003008D8">
      <w:pPr>
        <w:jc w:val="both"/>
      </w:pPr>
    </w:p>
    <w:p w:rsidP="005A3BF7" w:rsidR="003008D8" w:rsidRDefault="003008D8" w:rsidRPr="003008D8">
      <w:pPr>
        <w:jc w:val="both"/>
        <w:rPr>
          <w:b/>
          <w:u w:val="single"/>
        </w:rPr>
      </w:pPr>
      <w:r w:rsidRPr="003008D8">
        <w:rPr>
          <w:b/>
          <w:u w:val="single"/>
        </w:rPr>
        <w:t xml:space="preserve">ARTICLE 2 – Augmentation générale </w:t>
      </w:r>
    </w:p>
    <w:p w:rsidP="005A3BF7" w:rsidR="003008D8" w:rsidRDefault="003008D8">
      <w:pPr>
        <w:jc w:val="both"/>
      </w:pPr>
      <w:r>
        <w:t>Les Parties s’accordent sur une augmentation générale des salaires pour l’ensemble des salariés d’</w:t>
      </w:r>
      <w:proofErr w:type="spellStart"/>
      <w:r>
        <w:t>Invicta</w:t>
      </w:r>
      <w:proofErr w:type="spellEnd"/>
      <w:r>
        <w:t xml:space="preserve"> Group de 2% applicable à partir du 01 février 2022.</w:t>
      </w:r>
    </w:p>
    <w:p w:rsidP="005A3BF7" w:rsidR="003008D8" w:rsidRDefault="003008D8">
      <w:pPr>
        <w:jc w:val="both"/>
      </w:pPr>
    </w:p>
    <w:p w:rsidP="005A3BF7" w:rsidR="00522727" w:rsidRDefault="00522727" w:rsidRPr="00ED7E95">
      <w:pPr>
        <w:jc w:val="both"/>
        <w:rPr>
          <w:b/>
          <w:u w:val="single"/>
        </w:rPr>
      </w:pPr>
      <w:r w:rsidRPr="00ED7E95">
        <w:rPr>
          <w:b/>
          <w:u w:val="single"/>
        </w:rPr>
        <w:t>ARTICLE 3</w:t>
      </w:r>
      <w:r w:rsidR="003008D8" w:rsidRPr="00ED7E95">
        <w:rPr>
          <w:b/>
          <w:u w:val="single"/>
        </w:rPr>
        <w:t xml:space="preserve"> – </w:t>
      </w:r>
      <w:r w:rsidR="005A3BF7">
        <w:rPr>
          <w:b/>
          <w:u w:val="single"/>
        </w:rPr>
        <w:t>Harmonisation de la grille de salaires des employés</w:t>
      </w:r>
    </w:p>
    <w:p w:rsidP="005A3BF7" w:rsidR="005A3BF7" w:rsidRDefault="00522727">
      <w:pPr>
        <w:jc w:val="both"/>
      </w:pPr>
      <w:r>
        <w:t>Les Parties conviennent</w:t>
      </w:r>
      <w:r w:rsidR="00FA415E">
        <w:t xml:space="preserve"> de l’harmonisation de la grille des salaires des employés avec celle des ouvriers. Ainsi, les employés</w:t>
      </w:r>
      <w:r w:rsidR="005A3BF7">
        <w:t xml:space="preserve"> </w:t>
      </w:r>
      <w:r w:rsidR="00FA415E">
        <w:t xml:space="preserve">relevant des coefficients de 190 à 255 inclus </w:t>
      </w:r>
      <w:r w:rsidR="005A3BF7">
        <w:t xml:space="preserve">bénéficieront </w:t>
      </w:r>
      <w:r w:rsidR="00FA415E">
        <w:t>d’une revalorisation</w:t>
      </w:r>
      <w:r w:rsidR="00EF30B4">
        <w:t xml:space="preserve"> de leur taux horaire</w:t>
      </w:r>
      <w:r w:rsidR="00FA415E">
        <w:t xml:space="preserve"> </w:t>
      </w:r>
      <w:r w:rsidR="00874DD7">
        <w:t>en fonction</w:t>
      </w:r>
      <w:r w:rsidR="00FA415E">
        <w:t xml:space="preserve"> </w:t>
      </w:r>
      <w:r w:rsidR="00874DD7">
        <w:t xml:space="preserve">des dispositions </w:t>
      </w:r>
      <w:r w:rsidR="00EF30B4">
        <w:t>applicables à la</w:t>
      </w:r>
      <w:r w:rsidR="00FA415E">
        <w:t xml:space="preserve"> grille des ouvriers. </w:t>
      </w:r>
    </w:p>
    <w:p w:rsidP="005A3BF7" w:rsidR="00522727" w:rsidRDefault="005A3BF7">
      <w:pPr>
        <w:jc w:val="both"/>
      </w:pPr>
      <w:r>
        <w:t xml:space="preserve">Cette mesure s’appliquera à compter </w:t>
      </w:r>
      <w:r w:rsidR="00706811">
        <w:t>du 1</w:t>
      </w:r>
      <w:r w:rsidR="00706811" w:rsidRPr="00706811">
        <w:rPr>
          <w:vertAlign w:val="superscript"/>
        </w:rPr>
        <w:t>er</w:t>
      </w:r>
      <w:r w:rsidR="00706811">
        <w:t xml:space="preserve"> </w:t>
      </w:r>
      <w:r>
        <w:t>février 2022.</w:t>
      </w:r>
    </w:p>
    <w:p w:rsidP="00DB12B3" w:rsidR="003008D8" w:rsidRDefault="003008D8">
      <w:pPr>
        <w:jc w:val="both"/>
      </w:pPr>
    </w:p>
    <w:p w:rsidP="00DB12B3" w:rsidR="00522727" w:rsidRDefault="003008D8">
      <w:pPr>
        <w:jc w:val="both"/>
        <w:rPr>
          <w:b/>
          <w:u w:val="single"/>
        </w:rPr>
      </w:pPr>
      <w:r w:rsidRPr="00522727">
        <w:rPr>
          <w:b/>
          <w:u w:val="single"/>
        </w:rPr>
        <w:t xml:space="preserve">ARTICLE </w:t>
      </w:r>
      <w:r w:rsidR="00706811">
        <w:rPr>
          <w:b/>
          <w:u w:val="single"/>
        </w:rPr>
        <w:t>4</w:t>
      </w:r>
      <w:r w:rsidRPr="00522727">
        <w:rPr>
          <w:b/>
          <w:u w:val="single"/>
        </w:rPr>
        <w:t xml:space="preserve"> – </w:t>
      </w:r>
      <w:r w:rsidR="00785B28">
        <w:rPr>
          <w:b/>
          <w:u w:val="single"/>
        </w:rPr>
        <w:t xml:space="preserve">Reconduction de la grille </w:t>
      </w:r>
      <w:r w:rsidR="008261BF">
        <w:rPr>
          <w:b/>
          <w:u w:val="single"/>
        </w:rPr>
        <w:t>de salaires</w:t>
      </w:r>
      <w:r w:rsidR="00ED7E95">
        <w:rPr>
          <w:b/>
          <w:u w:val="single"/>
        </w:rPr>
        <w:t xml:space="preserve"> des ouvriers</w:t>
      </w:r>
    </w:p>
    <w:p w:rsidP="00DB12B3" w:rsidR="00785B28" w:rsidRDefault="00785B28">
      <w:pPr>
        <w:jc w:val="both"/>
      </w:pPr>
      <w:r>
        <w:t xml:space="preserve">Pour rappel, les </w:t>
      </w:r>
      <w:r w:rsidR="00A73875">
        <w:t>NAO</w:t>
      </w:r>
      <w:r>
        <w:t xml:space="preserve"> </w:t>
      </w:r>
      <w:r w:rsidR="005978F6">
        <w:t>signées pendant</w:t>
      </w:r>
      <w:r>
        <w:t xml:space="preserve"> l’année 2020 ont abouti à la création de 3 paliers pour chaque coefficient de la grille des ouvriers. </w:t>
      </w:r>
    </w:p>
    <w:p w:rsidP="00DB12B3" w:rsidR="00522727" w:rsidRDefault="00785B28">
      <w:pPr>
        <w:jc w:val="both"/>
      </w:pPr>
      <w:r>
        <w:t>U</w:t>
      </w:r>
      <w:r w:rsidR="00522727">
        <w:t xml:space="preserve">ne commission composée de la Direction et des délégués syndicaux </w:t>
      </w:r>
      <w:r>
        <w:t xml:space="preserve">a été </w:t>
      </w:r>
      <w:r w:rsidR="00522727">
        <w:t xml:space="preserve">créée </w:t>
      </w:r>
      <w:r>
        <w:t xml:space="preserve">afin de </w:t>
      </w:r>
      <w:r w:rsidR="00522727">
        <w:t xml:space="preserve">valider les </w:t>
      </w:r>
      <w:r w:rsidR="00DB12B3">
        <w:t>critères permettant</w:t>
      </w:r>
      <w:r w:rsidR="00522727">
        <w:t xml:space="preserve"> l’accès aux paliers 2 et 3 et pour valider les dossiers individuels des salariés éligibles aux paliers 2 et 3.</w:t>
      </w:r>
      <w:r>
        <w:t xml:space="preserve"> Ces critères ont été présentés </w:t>
      </w:r>
      <w:r w:rsidR="00A73875">
        <w:t>et validés lors des NAO</w:t>
      </w:r>
      <w:r>
        <w:t xml:space="preserve"> </w:t>
      </w:r>
      <w:r w:rsidR="005978F6">
        <w:t>signées pendant</w:t>
      </w:r>
      <w:r>
        <w:t xml:space="preserve"> l’année 2021.</w:t>
      </w:r>
    </w:p>
    <w:p w:rsidP="00DB12B3" w:rsidR="00785B28" w:rsidRDefault="00785B28">
      <w:pPr>
        <w:jc w:val="both"/>
      </w:pPr>
      <w:r>
        <w:t>Les Parties conviennent de la poursuite de cette commission</w:t>
      </w:r>
      <w:r w:rsidR="00A73875">
        <w:t xml:space="preserve">. </w:t>
      </w:r>
    </w:p>
    <w:p w:rsidP="00A73875" w:rsidR="00A73875" w:rsidRDefault="00A73875">
      <w:pPr>
        <w:jc w:val="both"/>
      </w:pPr>
      <w:r>
        <w:t>Cette commission se réunira 2 fois par an. La Direction disposera de 50% des droits de vote et les Organisations Syndicales disposeront collectivement de 50% de droits de vote. Les droits de vote seront répartis entre chaque Organisation Syndicale au prorata des résultats obtenus lors des dernières élections professionnelles servant au calcul de la représentativité.</w:t>
      </w:r>
    </w:p>
    <w:p w:rsidP="00DB12B3" w:rsidR="00A73875" w:rsidRDefault="00A73875">
      <w:pPr>
        <w:jc w:val="both"/>
      </w:pPr>
    </w:p>
    <w:p w:rsidP="00DB12B3" w:rsidR="00785B28" w:rsidRDefault="00522727">
      <w:pPr>
        <w:jc w:val="both"/>
      </w:pPr>
      <w:r>
        <w:lastRenderedPageBreak/>
        <w:t xml:space="preserve">Il </w:t>
      </w:r>
      <w:r w:rsidR="00ED7E95">
        <w:t xml:space="preserve">est rappelé </w:t>
      </w:r>
      <w:r>
        <w:t xml:space="preserve">que 20 salariés maximum par an seront éligibles, proportionnellement à l’effectif des ateliers et des services concernés. </w:t>
      </w:r>
    </w:p>
    <w:p w:rsidP="00DB12B3" w:rsidR="00522727" w:rsidRDefault="00522727">
      <w:pPr>
        <w:jc w:val="both"/>
      </w:pPr>
      <w:r>
        <w:t>Au titre de l’année 202</w:t>
      </w:r>
      <w:r w:rsidR="00ED7E95">
        <w:t>2</w:t>
      </w:r>
      <w:r w:rsidR="00DB12B3">
        <w:t>, 6</w:t>
      </w:r>
      <w:r>
        <w:t>0 salariés seront éligibles à ce dispositif, aucun salarié n’ayant bénéficié de ce dispositif en 2020</w:t>
      </w:r>
      <w:r w:rsidR="00DB12B3">
        <w:t xml:space="preserve"> et 2021</w:t>
      </w:r>
      <w:r>
        <w:t>, en raison de la phase de définition des critères d’application entre la Direction et les Organisations Syndicales.</w:t>
      </w:r>
    </w:p>
    <w:p w:rsidP="00DB12B3" w:rsidR="00522727" w:rsidRDefault="00522727">
      <w:pPr>
        <w:jc w:val="both"/>
      </w:pPr>
      <w:r>
        <w:t>L’entrée en application se fera le mois suivant la commission ayant statuée sur les dossiers individuels.</w:t>
      </w:r>
    </w:p>
    <w:p w:rsidP="00DB12B3" w:rsidR="00522727" w:rsidRDefault="00522727">
      <w:pPr>
        <w:jc w:val="both"/>
      </w:pPr>
    </w:p>
    <w:p w:rsidP="00DB12B3" w:rsidR="003008D8" w:rsidRDefault="00706811" w:rsidRPr="00522727">
      <w:pPr>
        <w:jc w:val="both"/>
        <w:rPr>
          <w:b/>
          <w:u w:val="single"/>
        </w:rPr>
      </w:pPr>
      <w:r>
        <w:rPr>
          <w:b/>
          <w:u w:val="single"/>
        </w:rPr>
        <w:t>ARTICLE 5</w:t>
      </w:r>
      <w:r w:rsidR="00522727" w:rsidRPr="00522727">
        <w:rPr>
          <w:b/>
          <w:u w:val="single"/>
        </w:rPr>
        <w:t xml:space="preserve"> - </w:t>
      </w:r>
      <w:r w:rsidR="00522727">
        <w:rPr>
          <w:b/>
          <w:u w:val="single"/>
        </w:rPr>
        <w:t xml:space="preserve">Egalité </w:t>
      </w:r>
      <w:r>
        <w:rPr>
          <w:b/>
          <w:u w:val="single"/>
        </w:rPr>
        <w:t>Femmes – Hommes</w:t>
      </w:r>
      <w:r w:rsidR="003008D8" w:rsidRPr="00522727">
        <w:rPr>
          <w:b/>
          <w:u w:val="single"/>
        </w:rPr>
        <w:t xml:space="preserve">  </w:t>
      </w:r>
    </w:p>
    <w:p w:rsidP="00541849" w:rsidR="003E1D5E" w:rsidRDefault="003E1D5E">
      <w:pPr>
        <w:spacing w:line="276" w:lineRule="auto"/>
        <w:jc w:val="both"/>
      </w:pPr>
      <w:r>
        <w:t>Les dispositions de l’article L. 2242-1 du code du travail prévoient une négociation obligatoire annuelle pour le second bloc relatif à l’égalité professionnelle entre les femmes et les hommes portant notamment sur les mesures visant à supprimer les écarts de rémunération et à améliorer la qualité de vie au travail.</w:t>
      </w:r>
    </w:p>
    <w:p w:rsidP="00DB12B3" w:rsidR="00CE3EE8" w:rsidRDefault="00CE3EE8">
      <w:pPr>
        <w:jc w:val="both"/>
      </w:pPr>
      <w:r>
        <w:t xml:space="preserve">Les Parties au présent accord conviennent de l’importance de l’égalité professionnelle entre les femmes et les hommes qui constitue une préoccupation permanente et une priorité pour </w:t>
      </w:r>
      <w:r w:rsidR="00541849">
        <w:t>la Société.</w:t>
      </w:r>
    </w:p>
    <w:p w:rsidP="00541849" w:rsidR="00541849" w:rsidRDefault="003008D8">
      <w:pPr>
        <w:spacing w:line="276" w:lineRule="auto"/>
        <w:jc w:val="both"/>
      </w:pPr>
      <w:r>
        <w:t xml:space="preserve">Les Parties conviennent de poursuivre </w:t>
      </w:r>
      <w:r w:rsidR="00522727">
        <w:t>la</w:t>
      </w:r>
      <w:r w:rsidR="00706811">
        <w:t xml:space="preserve"> négociation d’un accord sur l’é</w:t>
      </w:r>
      <w:r>
        <w:t xml:space="preserve">galité entre </w:t>
      </w:r>
      <w:r w:rsidR="00706811">
        <w:t>les femmes et les hommes</w:t>
      </w:r>
      <w:r>
        <w:t xml:space="preserve"> au cours de l’année civile </w:t>
      </w:r>
      <w:r w:rsidR="00785B28">
        <w:t>2022, une première réunion ayant eu lieu</w:t>
      </w:r>
      <w:r w:rsidR="00CE3EE8">
        <w:t xml:space="preserve"> en date du 03 février 2021, puis le 09 février 2021 et</w:t>
      </w:r>
      <w:r w:rsidR="00785B28">
        <w:t xml:space="preserve"> </w:t>
      </w:r>
      <w:r w:rsidR="00CE3EE8">
        <w:t xml:space="preserve">enfin </w:t>
      </w:r>
      <w:r w:rsidR="00785B28">
        <w:t>le 02 février 2022.</w:t>
      </w:r>
      <w:r w:rsidR="00541849">
        <w:t xml:space="preserve"> </w:t>
      </w:r>
    </w:p>
    <w:p w:rsidP="00541849" w:rsidR="00541849" w:rsidRDefault="00541849">
      <w:pPr>
        <w:spacing w:line="276" w:lineRule="auto"/>
        <w:jc w:val="both"/>
      </w:pPr>
      <w:r>
        <w:t xml:space="preserve">Au cours de ces réunions, </w:t>
      </w:r>
      <w:r w:rsidR="0075222E">
        <w:t>l</w:t>
      </w:r>
      <w:r>
        <w:t>es informations permettant une analyse comparée de la situation des femmes et des hommes ainsi que les éléments nécessaires permettant d’apprécier, pour chacune des catégories professionnelles de l’entreprise, les situations actuelles respectives des femmes et des hommes en matière d’embauche, de formation professionnelle, de qualification, de classification, de rémunération effective ont été</w:t>
      </w:r>
      <w:r w:rsidR="0075222E">
        <w:t xml:space="preserve"> transmises. </w:t>
      </w:r>
      <w:r>
        <w:t xml:space="preserve"> </w:t>
      </w:r>
    </w:p>
    <w:p w:rsidP="00DB12B3" w:rsidR="003008D8" w:rsidRDefault="003008D8">
      <w:pPr>
        <w:jc w:val="both"/>
      </w:pPr>
    </w:p>
    <w:p w:rsidP="0075222E" w:rsidR="003008D8" w:rsidRDefault="00706811">
      <w:pPr>
        <w:spacing w:after="120" w:before="120"/>
        <w:jc w:val="both"/>
        <w:rPr>
          <w:b/>
          <w:u w:val="single"/>
        </w:rPr>
      </w:pPr>
      <w:r>
        <w:rPr>
          <w:b/>
          <w:u w:val="single"/>
        </w:rPr>
        <w:t>ARTICLE 6</w:t>
      </w:r>
      <w:r w:rsidR="003008D8" w:rsidRPr="003008D8">
        <w:rPr>
          <w:b/>
          <w:u w:val="single"/>
        </w:rPr>
        <w:t xml:space="preserve"> – Dispositions finales </w:t>
      </w:r>
    </w:p>
    <w:p w:rsidP="0075222E" w:rsidR="003008D8" w:rsidRDefault="00706811" w:rsidRPr="003008D8">
      <w:pPr>
        <w:spacing w:after="120" w:before="120" w:line="360" w:lineRule="auto"/>
        <w:jc w:val="both"/>
        <w:rPr>
          <w:rFonts w:cstheme="minorHAnsi" w:eastAsia="Batang"/>
          <w:bCs/>
          <w:u w:val="single"/>
          <w:lang w:eastAsia="fr-FR"/>
        </w:rPr>
      </w:pPr>
      <w:r>
        <w:rPr>
          <w:rFonts w:cstheme="minorHAnsi" w:eastAsia="Batang"/>
          <w:bCs/>
          <w:u w:val="single"/>
          <w:lang w:eastAsia="fr-FR"/>
        </w:rPr>
        <w:t>6</w:t>
      </w:r>
      <w:r w:rsidR="003008D8" w:rsidRPr="003008D8">
        <w:rPr>
          <w:rFonts w:cstheme="minorHAnsi" w:eastAsia="Batang"/>
          <w:bCs/>
          <w:u w:val="single"/>
          <w:lang w:eastAsia="fr-FR"/>
        </w:rPr>
        <w:t>-1 Entrée en vigueur de l’accord</w:t>
      </w:r>
    </w:p>
    <w:p w:rsidP="0075222E" w:rsidR="003008D8" w:rsidRDefault="003008D8">
      <w:pPr>
        <w:spacing w:after="120" w:before="120" w:line="480" w:lineRule="auto"/>
        <w:jc w:val="both"/>
      </w:pPr>
      <w:r>
        <w:t>Le présent accord entrera en vigueur à compter de sa date de signature.</w:t>
      </w:r>
    </w:p>
    <w:p w:rsidP="0075222E" w:rsidR="003008D8" w:rsidRDefault="00706811" w:rsidRPr="003008D8">
      <w:pPr>
        <w:spacing w:after="120" w:before="120"/>
        <w:jc w:val="both"/>
        <w:rPr>
          <w:u w:val="single"/>
        </w:rPr>
      </w:pPr>
      <w:r>
        <w:rPr>
          <w:u w:val="single"/>
        </w:rPr>
        <w:t>6</w:t>
      </w:r>
      <w:r w:rsidR="003008D8" w:rsidRPr="003008D8">
        <w:rPr>
          <w:u w:val="single"/>
        </w:rPr>
        <w:t xml:space="preserve">-2 Suivi de l’accord </w:t>
      </w:r>
    </w:p>
    <w:p w:rsidP="0075222E" w:rsidR="003008D8" w:rsidRDefault="003008D8">
      <w:pPr>
        <w:spacing w:after="120" w:before="120" w:line="276" w:lineRule="auto"/>
        <w:jc w:val="both"/>
      </w:pPr>
      <w:r>
        <w:t>En cas d'évolution législative ou conventionnelle susceptible de remettre en cause tout ou partie des dispositions du présent accord, les parties signataires conviennent de se réunir dans un délai de 2 mois après la prise d’effet de ces textes, afin d’adapter au besoin lesdites dispositions.</w:t>
      </w:r>
    </w:p>
    <w:p w:rsidP="0075222E" w:rsidR="0075222E" w:rsidRDefault="0075222E">
      <w:pPr>
        <w:spacing w:after="120" w:before="120" w:line="276" w:lineRule="auto"/>
        <w:jc w:val="both"/>
      </w:pPr>
    </w:p>
    <w:p w:rsidP="0075222E" w:rsidR="003008D8" w:rsidRDefault="00706811" w:rsidRPr="003008D8">
      <w:pPr>
        <w:spacing w:after="120" w:before="120"/>
        <w:jc w:val="both"/>
        <w:rPr>
          <w:u w:val="single"/>
        </w:rPr>
      </w:pPr>
      <w:r>
        <w:rPr>
          <w:u w:val="single"/>
        </w:rPr>
        <w:t>6</w:t>
      </w:r>
      <w:r w:rsidR="003008D8" w:rsidRPr="003008D8">
        <w:rPr>
          <w:u w:val="single"/>
        </w:rPr>
        <w:t xml:space="preserve">.3 Révision </w:t>
      </w:r>
    </w:p>
    <w:p w:rsidP="0075222E" w:rsidR="003008D8" w:rsidRDefault="003008D8">
      <w:pPr>
        <w:spacing w:after="120" w:before="120"/>
        <w:jc w:val="both"/>
      </w:pPr>
      <w:r>
        <w:t>Cet accord peut être valablement révisé dans les conditions et formes de droit commun prévues aux articles L. 2261-7-1 et L. 2261-8 du code du travail.</w:t>
      </w:r>
    </w:p>
    <w:p w:rsidP="00DB12B3" w:rsidR="003008D8" w:rsidRDefault="003008D8">
      <w:pPr>
        <w:jc w:val="both"/>
      </w:pPr>
    </w:p>
    <w:p w:rsidP="00DB12B3" w:rsidR="00684D0D" w:rsidRDefault="00684D0D">
      <w:pPr>
        <w:jc w:val="both"/>
        <w:rPr>
          <w:u w:val="single"/>
        </w:rPr>
      </w:pPr>
    </w:p>
    <w:p w:rsidP="00DB12B3" w:rsidR="003008D8" w:rsidRDefault="00706811" w:rsidRPr="003008D8">
      <w:pPr>
        <w:jc w:val="both"/>
        <w:rPr>
          <w:u w:val="single"/>
        </w:rPr>
      </w:pPr>
      <w:r>
        <w:rPr>
          <w:u w:val="single"/>
        </w:rPr>
        <w:lastRenderedPageBreak/>
        <w:t>6</w:t>
      </w:r>
      <w:r w:rsidR="003008D8" w:rsidRPr="003008D8">
        <w:rPr>
          <w:u w:val="single"/>
        </w:rPr>
        <w:t xml:space="preserve">.4 Dépôt et publicité </w:t>
      </w:r>
    </w:p>
    <w:p w:rsidP="00DB12B3" w:rsidR="003008D8" w:rsidRDefault="003008D8">
      <w:pPr>
        <w:jc w:val="both"/>
      </w:pPr>
      <w:r>
        <w:t>Un exemplaire de cet accord, signé par les parties, est remis aux organisations syndicales représentatives et vaut notification au sens de l’article L. 2231-5 du code du travail.</w:t>
      </w:r>
    </w:p>
    <w:p w:rsidP="00DB12B3" w:rsidR="003008D8" w:rsidRDefault="003008D8">
      <w:pPr>
        <w:jc w:val="both"/>
      </w:pPr>
    </w:p>
    <w:p w:rsidP="00DB12B3" w:rsidR="003008D8" w:rsidRDefault="003008D8">
      <w:pPr>
        <w:jc w:val="both"/>
      </w:pPr>
      <w:r>
        <w:t xml:space="preserve">Les formalités de dépôt du présent accord seront réalisées conformément aux dispositions du code du travail (un exemplaire sera déposé au greffe du Conseil de prud’hommes compétent et un dépôt sera réalisé sur la plateforme de </w:t>
      </w:r>
      <w:proofErr w:type="spellStart"/>
      <w:r>
        <w:t>téléprocédure</w:t>
      </w:r>
      <w:proofErr w:type="spellEnd"/>
      <w:r>
        <w:t xml:space="preserve"> du Ministère du travail).</w:t>
      </w:r>
    </w:p>
    <w:p w:rsidP="00DB12B3" w:rsidR="003008D8" w:rsidRDefault="003008D8">
      <w:pPr>
        <w:jc w:val="both"/>
      </w:pPr>
    </w:p>
    <w:p w:rsidP="00DB12B3" w:rsidR="003008D8" w:rsidRDefault="003008D8">
      <w:pPr>
        <w:jc w:val="both"/>
      </w:pPr>
      <w:r>
        <w:t>Le présent accord sera également publié sous l’intranet de l’entreprise.</w:t>
      </w:r>
    </w:p>
    <w:p w:rsidP="00DB12B3" w:rsidR="003008D8" w:rsidRDefault="003008D8">
      <w:pPr>
        <w:jc w:val="both"/>
      </w:pPr>
    </w:p>
    <w:p w:rsidP="00DB12B3" w:rsidR="003008D8" w:rsidRDefault="003008D8">
      <w:pPr>
        <w:jc w:val="both"/>
      </w:pPr>
    </w:p>
    <w:p w:rsidP="00DB12B3" w:rsidR="003008D8" w:rsidRDefault="003008D8">
      <w:pPr>
        <w:jc w:val="both"/>
      </w:pPr>
      <w:r>
        <w:t xml:space="preserve">Fait à </w:t>
      </w:r>
      <w:proofErr w:type="spellStart"/>
      <w:r>
        <w:t>Donchery</w:t>
      </w:r>
      <w:proofErr w:type="spellEnd"/>
      <w:r>
        <w:t>, le 09 février 2022</w:t>
      </w:r>
    </w:p>
    <w:p w:rsidP="00DB12B3" w:rsidR="003008D8" w:rsidRDefault="003008D8">
      <w:pPr>
        <w:jc w:val="both"/>
      </w:pPr>
    </w:p>
    <w:p w:rsidP="00DB12B3" w:rsidR="003008D8" w:rsidRDefault="003008D8">
      <w:pPr>
        <w:jc w:val="both"/>
      </w:pPr>
      <w:r>
        <w:t xml:space="preserve">En 6 exemplaires dont un pour chaque partie </w:t>
      </w:r>
    </w:p>
    <w:p w:rsidP="00DB12B3" w:rsidR="003008D8" w:rsidRDefault="003008D8">
      <w:pPr>
        <w:jc w:val="both"/>
      </w:pPr>
    </w:p>
    <w:p w:rsidP="00DB12B3" w:rsidR="003008D8" w:rsidRDefault="003008D8">
      <w:pPr>
        <w:jc w:val="both"/>
      </w:pPr>
      <w:r>
        <w:t>Pour la société INVICTA GROUP</w:t>
      </w:r>
    </w:p>
    <w:p w:rsidP="00DB12B3" w:rsidR="003008D8" w:rsidRDefault="003008D8">
      <w:pPr>
        <w:jc w:val="both"/>
      </w:pPr>
      <w:r>
        <w:t>Président</w:t>
      </w:r>
      <w:bookmarkStart w:id="0" w:name="_GoBack"/>
      <w:bookmarkEnd w:id="0"/>
    </w:p>
    <w:p w:rsidP="00DB12B3" w:rsidR="003008D8" w:rsidRDefault="003008D8">
      <w:pPr>
        <w:jc w:val="both"/>
      </w:pPr>
    </w:p>
    <w:p w:rsidP="00DB12B3" w:rsidR="003008D8" w:rsidRDefault="003008D8">
      <w:pPr>
        <w:jc w:val="both"/>
      </w:pPr>
      <w:r>
        <w:t>Pour l’organisation syndicale CFE-CGC</w:t>
      </w:r>
    </w:p>
    <w:p w:rsidP="00DB12B3" w:rsidR="003008D8" w:rsidRDefault="003008D8">
      <w:pPr>
        <w:jc w:val="both"/>
      </w:pPr>
    </w:p>
    <w:p w:rsidP="00DB12B3" w:rsidR="0075222E" w:rsidRDefault="0075222E">
      <w:pPr>
        <w:jc w:val="both"/>
      </w:pPr>
    </w:p>
    <w:p w:rsidP="00DB12B3" w:rsidR="003008D8" w:rsidRDefault="003008D8">
      <w:pPr>
        <w:jc w:val="both"/>
      </w:pPr>
      <w:r>
        <w:t>Pour l’organisation syndicale FO</w:t>
      </w:r>
    </w:p>
    <w:p w:rsidP="003008D8" w:rsidR="003008D8" w:rsidRDefault="003008D8"/>
    <w:p w:rsidP="003008D8" w:rsidR="003008D8" w:rsidRDefault="003008D8"/>
    <w:p w:rsidP="003008D8" w:rsidR="003008D8" w:rsidRDefault="003008D8">
      <w:r>
        <w:t>Pour l’organisation syndicale CGT</w:t>
      </w:r>
    </w:p>
    <w:p w:rsidR="003008D8" w:rsidRDefault="003008D8"/>
    <w:sectPr w:rsidR="003008D8">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8D8"/>
    <w:rsid w:val="001F2829"/>
    <w:rsid w:val="00273249"/>
    <w:rsid w:val="003008D8"/>
    <w:rsid w:val="003E1D5E"/>
    <w:rsid w:val="0041536D"/>
    <w:rsid w:val="00417C19"/>
    <w:rsid w:val="00522727"/>
    <w:rsid w:val="00541849"/>
    <w:rsid w:val="005978F6"/>
    <w:rsid w:val="005A3BF7"/>
    <w:rsid w:val="00684D0D"/>
    <w:rsid w:val="00706811"/>
    <w:rsid w:val="0075222E"/>
    <w:rsid w:val="00785B28"/>
    <w:rsid w:val="008261BF"/>
    <w:rsid w:val="00874DD7"/>
    <w:rsid w:val="00927242"/>
    <w:rsid w:val="00992070"/>
    <w:rsid w:val="00A73875"/>
    <w:rsid w:val="00AE3710"/>
    <w:rsid w:val="00B40E2F"/>
    <w:rsid w:val="00B41A56"/>
    <w:rsid w:val="00CE3EE8"/>
    <w:rsid w:val="00DB12B3"/>
    <w:rsid w:val="00EB6F4D"/>
    <w:rsid w:val="00ED7E95"/>
    <w:rsid w:val="00EF30B4"/>
    <w:rsid w:val="00F86971"/>
    <w:rsid w:val="00FA415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1EDF35A1"/>
  <w15:chartTrackingRefBased/>
  <w15:docId w15:val="{860B70A3-48D0-4359-AD8B-5CE32566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1044</Words>
  <Characters>5742</Characters>
  <Application>Microsoft Office Word</Application>
  <DocSecurity>0</DocSecurity>
  <Lines>47</Lines>
  <Paragraphs>13</Paragraphs>
  <ScaleCrop>false</ScaleCrop>
  <HeadingPairs>
    <vt:vector baseType="variant" size="2">
      <vt:variant>
        <vt:lpstr>Titre</vt:lpstr>
      </vt:variant>
      <vt:variant>
        <vt:i4>1</vt:i4>
      </vt:variant>
    </vt:vector>
  </HeadingPairs>
  <TitlesOfParts>
    <vt:vector baseType="lpstr" size="1">
      <vt:lpstr/>
    </vt:vector>
  </TitlesOfParts>
  <Company>SCRIBA</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2022-02-16T14:24:00Z</dcterms:created>
  <cp:lastPrinted>2022-02-11T13:57:00Z</cp:lastPrinted>
  <dcterms:modified xsi:type="dcterms:W3CDTF">2022-02-16T14:24:00Z</dcterms:modified>
  <cp:revision>2</cp:revision>
</cp:coreProperties>
</file>