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77FDAF4E" w14:textId="63DBD27F" w:rsidP="00115D10" w:rsidR="00115D10" w:rsidRDefault="00115D10">
      <w:pPr>
        <w:spacing w:line="240" w:lineRule="auto"/>
        <w:jc w:val="center"/>
        <w:rPr>
          <w:b/>
          <w:u w:val="single"/>
        </w:rPr>
      </w:pPr>
    </w:p>
    <w:p w14:paraId="6E504E25" w14:textId="05C1D464" w:rsidP="00115D10" w:rsidR="00550FAC" w:rsidRDefault="00B00A80" w:rsidRPr="00115D10">
      <w:pPr>
        <w:pBdr>
          <w:top w:color="auto" w:space="1" w:sz="4" w:val="single"/>
          <w:left w:color="auto" w:space="4" w:sz="4" w:val="single"/>
          <w:bottom w:color="auto" w:space="1" w:sz="4" w:val="single"/>
          <w:right w:color="auto" w:space="4" w:sz="4" w:val="single"/>
        </w:pBdr>
        <w:spacing w:line="240" w:lineRule="auto"/>
        <w:jc w:val="center"/>
        <w:rPr>
          <w:b/>
        </w:rPr>
      </w:pPr>
      <w:r w:rsidRPr="00115D10">
        <w:rPr>
          <w:b/>
        </w:rPr>
        <w:t>ACCORD COLLECTIF</w:t>
      </w:r>
    </w:p>
    <w:p w14:paraId="6E504E26" w14:textId="11A0BE0E" w:rsidP="00115D10" w:rsidR="00550FAC" w:rsidRDefault="00B00A80" w:rsidRPr="00115D10">
      <w:pPr>
        <w:pBdr>
          <w:top w:color="auto" w:space="1" w:sz="4" w:val="single"/>
          <w:left w:color="auto" w:space="4" w:sz="4" w:val="single"/>
          <w:bottom w:color="auto" w:space="1" w:sz="4" w:val="single"/>
          <w:right w:color="auto" w:space="4" w:sz="4" w:val="single"/>
        </w:pBdr>
        <w:spacing w:line="240" w:lineRule="auto"/>
        <w:jc w:val="center"/>
        <w:rPr>
          <w:b/>
        </w:rPr>
      </w:pPr>
      <w:r w:rsidRPr="00115D10">
        <w:rPr>
          <w:b/>
        </w:rPr>
        <w:t>Négociation annuelle obligatoire</w:t>
      </w:r>
      <w:r w:rsidR="00550FAC" w:rsidRPr="00115D10">
        <w:rPr>
          <w:b/>
        </w:rPr>
        <w:t xml:space="preserve"> </w:t>
      </w:r>
      <w:r w:rsidR="00915A92" w:rsidRPr="00115D10">
        <w:rPr>
          <w:b/>
        </w:rPr>
        <w:t>202</w:t>
      </w:r>
      <w:r w:rsidR="002847EB" w:rsidRPr="00115D10">
        <w:rPr>
          <w:b/>
        </w:rPr>
        <w:t>2</w:t>
      </w:r>
    </w:p>
    <w:p w14:paraId="5EA7D82F" w14:textId="77777777" w:rsidP="00115D10" w:rsidR="00115D10" w:rsidRDefault="00115D10">
      <w:pPr>
        <w:spacing w:line="240" w:lineRule="auto"/>
        <w:jc w:val="center"/>
        <w:rPr>
          <w:b/>
          <w:u w:val="single"/>
        </w:rPr>
      </w:pPr>
    </w:p>
    <w:p w14:paraId="6E504E28" w14:textId="77777777" w:rsidP="00D86733" w:rsidR="00B00A80" w:rsidRDefault="00550FAC" w:rsidRPr="00D86733">
      <w:pPr>
        <w:jc w:val="both"/>
        <w:rPr>
          <w:bCs/>
          <w:u w:val="single"/>
        </w:rPr>
      </w:pPr>
      <w:r w:rsidRPr="00D86733">
        <w:rPr>
          <w:bCs/>
          <w:u w:val="single"/>
        </w:rPr>
        <w:t>Entre les soussignés :</w:t>
      </w:r>
    </w:p>
    <w:p w14:paraId="7BFDCB96" w14:textId="217AD928" w:rsidP="00D86733" w:rsidR="00D86733" w:rsidRDefault="00D86733" w:rsidRPr="00D86733">
      <w:pPr>
        <w:spacing w:after="0" w:line="240" w:lineRule="auto"/>
        <w:jc w:val="both"/>
        <w:rPr>
          <w:rFonts w:cstheme="minorHAnsi"/>
          <w:bCs/>
        </w:rPr>
      </w:pPr>
      <w:r w:rsidRPr="00D86733">
        <w:rPr>
          <w:rFonts w:cstheme="minorHAnsi"/>
          <w:bCs/>
        </w:rPr>
        <w:t xml:space="preserve">La Direction de LES COURRIERS DE L’AUBE, dont le siège social est situé 46 Avenue Marie de Champagne 10 000 TROYES, représentée par Madame </w:t>
      </w:r>
      <w:r w:rsidR="005F0C04">
        <w:rPr>
          <w:rFonts w:cstheme="minorHAnsi"/>
          <w:bCs/>
        </w:rPr>
        <w:t xml:space="preserve">       </w:t>
      </w:r>
      <w:r w:rsidRPr="00D86733">
        <w:rPr>
          <w:rFonts w:cstheme="minorHAnsi"/>
          <w:bCs/>
        </w:rPr>
        <w:t xml:space="preserve"> en sa qualité de Directrice, </w:t>
      </w:r>
    </w:p>
    <w:p w14:paraId="6611AFBD" w14:textId="77777777" w:rsidP="00D86733" w:rsidR="00D86733" w:rsidRDefault="00D86733" w:rsidRPr="00D86733">
      <w:pPr>
        <w:spacing w:after="0" w:line="240" w:lineRule="auto"/>
        <w:jc w:val="both"/>
        <w:rPr>
          <w:rFonts w:cstheme="minorHAnsi"/>
          <w:bCs/>
        </w:rPr>
      </w:pPr>
    </w:p>
    <w:p w14:paraId="527829A9" w14:textId="24CB0CFC" w:rsidP="00D86733" w:rsidR="00D86733" w:rsidRDefault="00D86733">
      <w:pPr>
        <w:spacing w:after="0" w:line="240" w:lineRule="auto"/>
        <w:jc w:val="both"/>
        <w:rPr>
          <w:rFonts w:cstheme="minorHAnsi"/>
          <w:bCs/>
        </w:rPr>
      </w:pPr>
      <w:r w:rsidRPr="00D86733">
        <w:rPr>
          <w:rFonts w:cstheme="minorHAnsi"/>
          <w:bCs/>
        </w:rPr>
        <w:t xml:space="preserve">Et  </w:t>
      </w:r>
    </w:p>
    <w:p w14:paraId="1CBDE2FC" w14:textId="77777777" w:rsidP="00D86733" w:rsidR="00D86733" w:rsidRDefault="00D86733" w:rsidRPr="00D86733">
      <w:pPr>
        <w:spacing w:after="0" w:line="240" w:lineRule="auto"/>
        <w:jc w:val="both"/>
        <w:rPr>
          <w:rFonts w:cstheme="minorHAnsi"/>
          <w:bCs/>
        </w:rPr>
      </w:pPr>
    </w:p>
    <w:p w14:paraId="66E30F16" w14:textId="3A39D72B" w:rsidP="00D86733" w:rsidR="00D86733" w:rsidRDefault="00D86733" w:rsidRPr="00D86733">
      <w:pPr>
        <w:spacing w:after="0" w:line="240" w:lineRule="auto"/>
        <w:jc w:val="both"/>
        <w:rPr>
          <w:rFonts w:cstheme="minorHAnsi"/>
          <w:bCs/>
        </w:rPr>
      </w:pPr>
      <w:r w:rsidRPr="00D86733">
        <w:rPr>
          <w:rFonts w:cstheme="minorHAnsi"/>
          <w:bCs/>
        </w:rPr>
        <w:t xml:space="preserve">L’organisation syndicale C.F.T.C, représentée par Monsieur </w:t>
      </w:r>
      <w:r w:rsidR="005F0C04">
        <w:rPr>
          <w:rFonts w:cstheme="minorHAnsi"/>
          <w:bCs/>
        </w:rPr>
        <w:t xml:space="preserve">      </w:t>
      </w:r>
      <w:r w:rsidRPr="00D86733">
        <w:rPr>
          <w:rFonts w:cstheme="minorHAnsi"/>
          <w:bCs/>
        </w:rPr>
        <w:t xml:space="preserve"> en tant que délégué syndical, </w:t>
      </w:r>
    </w:p>
    <w:p w14:paraId="2FC69EE7" w14:textId="7BA82604" w:rsidP="00D86733" w:rsidR="00D86733" w:rsidRDefault="00D86733" w:rsidRPr="00D86733">
      <w:pPr>
        <w:spacing w:after="0" w:line="240" w:lineRule="auto"/>
        <w:jc w:val="both"/>
        <w:rPr>
          <w:rFonts w:cstheme="minorHAnsi"/>
          <w:bCs/>
        </w:rPr>
      </w:pPr>
    </w:p>
    <w:p w14:paraId="71CACA93" w14:textId="7CBB6C76" w:rsidP="00D86733" w:rsidR="00D86733" w:rsidRDefault="00D86733" w:rsidRPr="00D86733">
      <w:pPr>
        <w:spacing w:after="0" w:line="240" w:lineRule="auto"/>
        <w:jc w:val="both"/>
        <w:rPr>
          <w:rFonts w:cstheme="minorHAnsi"/>
          <w:bCs/>
        </w:rPr>
      </w:pPr>
      <w:r w:rsidRPr="00D86733">
        <w:rPr>
          <w:rFonts w:cstheme="minorHAnsi"/>
          <w:bCs/>
        </w:rPr>
        <w:t xml:space="preserve">L’organisation syndicale C.F.D.T, représentée par Monsieur </w:t>
      </w:r>
      <w:r w:rsidR="005F0C04">
        <w:rPr>
          <w:rFonts w:cstheme="minorHAnsi"/>
          <w:bCs/>
        </w:rPr>
        <w:t xml:space="preserve">     </w:t>
      </w:r>
      <w:r w:rsidRPr="00D86733">
        <w:rPr>
          <w:rFonts w:cstheme="minorHAnsi"/>
          <w:bCs/>
        </w:rPr>
        <w:t xml:space="preserve"> en tant que délégué syndical, </w:t>
      </w:r>
    </w:p>
    <w:p w14:paraId="0BCA4E42" w14:textId="07BB36F9" w:rsidP="00D86733" w:rsidR="00D86733" w:rsidRDefault="00D86733" w:rsidRPr="00D86733">
      <w:pPr>
        <w:spacing w:after="0" w:line="240" w:lineRule="auto"/>
        <w:jc w:val="both"/>
        <w:rPr>
          <w:rFonts w:cstheme="minorHAnsi"/>
          <w:bCs/>
        </w:rPr>
      </w:pPr>
    </w:p>
    <w:p w14:paraId="6B290055" w14:textId="7BD321F2" w:rsidP="00D86733" w:rsidR="00D86733" w:rsidRDefault="00D86733" w:rsidRPr="00D86733">
      <w:pPr>
        <w:spacing w:after="0" w:line="240" w:lineRule="auto"/>
        <w:jc w:val="both"/>
        <w:rPr>
          <w:rFonts w:cstheme="minorHAnsi"/>
          <w:bCs/>
        </w:rPr>
      </w:pPr>
      <w:r w:rsidRPr="00D86733">
        <w:rPr>
          <w:rFonts w:cstheme="minorHAnsi"/>
          <w:bCs/>
        </w:rPr>
        <w:t xml:space="preserve">L’organisation syndicale C.G.T représentée par Monsieur </w:t>
      </w:r>
      <w:r w:rsidR="005F0C04">
        <w:rPr>
          <w:rFonts w:cstheme="minorHAnsi"/>
          <w:bCs/>
        </w:rPr>
        <w:t xml:space="preserve">     </w:t>
      </w:r>
      <w:r w:rsidRPr="00D86733">
        <w:rPr>
          <w:rFonts w:cstheme="minorHAnsi"/>
          <w:bCs/>
        </w:rPr>
        <w:t xml:space="preserve"> en tant que délégué syndical, </w:t>
      </w:r>
    </w:p>
    <w:p w14:paraId="1EFEAC3A" w14:textId="7C66D6F5" w:rsidP="00D86733" w:rsidR="00D86733" w:rsidRDefault="00D86733" w:rsidRPr="00D86733">
      <w:pPr>
        <w:spacing w:after="0" w:line="240" w:lineRule="auto"/>
        <w:jc w:val="both"/>
        <w:rPr>
          <w:rFonts w:cstheme="minorHAnsi"/>
          <w:bCs/>
        </w:rPr>
      </w:pPr>
    </w:p>
    <w:p w14:paraId="615865E9" w14:textId="2D469ACB" w:rsidP="00D86733" w:rsidR="0037508C" w:rsidRDefault="00D86733" w:rsidRPr="00D86733">
      <w:pPr>
        <w:spacing w:after="0" w:line="240" w:lineRule="auto"/>
        <w:jc w:val="both"/>
        <w:rPr>
          <w:rFonts w:cstheme="minorHAnsi"/>
          <w:bCs/>
        </w:rPr>
      </w:pPr>
      <w:r w:rsidRPr="00D86733">
        <w:rPr>
          <w:rFonts w:cstheme="minorHAnsi"/>
          <w:bCs/>
        </w:rPr>
        <w:t>L’organisation syndicale FO</w:t>
      </w:r>
      <w:r>
        <w:rPr>
          <w:rFonts w:cstheme="minorHAnsi"/>
          <w:bCs/>
        </w:rPr>
        <w:t>,</w:t>
      </w:r>
      <w:r w:rsidRPr="00D86733">
        <w:rPr>
          <w:rFonts w:cstheme="minorHAnsi"/>
          <w:bCs/>
        </w:rPr>
        <w:t xml:space="preserve"> représentée par Monsieur </w:t>
      </w:r>
      <w:r w:rsidR="005F0C04">
        <w:rPr>
          <w:rFonts w:cstheme="minorHAnsi"/>
          <w:bCs/>
        </w:rPr>
        <w:t xml:space="preserve">    </w:t>
      </w:r>
      <w:r w:rsidRPr="00D86733">
        <w:rPr>
          <w:rFonts w:cstheme="minorHAnsi"/>
          <w:bCs/>
        </w:rPr>
        <w:t xml:space="preserve"> en tant que délégué syndical,</w:t>
      </w:r>
    </w:p>
    <w:p w14:paraId="1F74CABA" w14:textId="77777777" w:rsidP="00D86733" w:rsidR="00D86733" w:rsidRDefault="00D86733" w:rsidRPr="0037508C">
      <w:pPr>
        <w:spacing w:after="0" w:line="240" w:lineRule="auto"/>
        <w:rPr>
          <w:rFonts w:cstheme="minorHAnsi"/>
          <w:b/>
        </w:rPr>
      </w:pPr>
    </w:p>
    <w:p w14:paraId="6E504E2C" w14:textId="19C6CEFD" w:rsidP="00183A10" w:rsidR="00183A10" w:rsidRDefault="00183A10" w:rsidRPr="00FC2D49">
      <w:pPr>
        <w:rPr>
          <w:b/>
          <w:u w:val="single"/>
        </w:rPr>
      </w:pPr>
      <w:r w:rsidRPr="00FC2D49">
        <w:rPr>
          <w:b/>
          <w:u w:val="single"/>
        </w:rPr>
        <w:t>PREAMBULE</w:t>
      </w:r>
    </w:p>
    <w:p w14:paraId="545E2A0B" w14:textId="498C7621" w:rsidP="008C5FA9" w:rsidR="008C5FA9" w:rsidRDefault="008C5FA9" w:rsidRPr="00FC2D49">
      <w:pPr>
        <w:jc w:val="both"/>
      </w:pPr>
      <w:r w:rsidRPr="00FC2D49">
        <w:t>Conformément à l'article L. 2242-1 du Code du travail, les négociations annuelles o</w:t>
      </w:r>
      <w:r>
        <w:t>bligatoires pour l’exercice 202</w:t>
      </w:r>
      <w:r w:rsidR="002847EB">
        <w:t>2</w:t>
      </w:r>
      <w:r w:rsidRPr="00FC2D49">
        <w:t xml:space="preserve"> ont été engagées au sein </w:t>
      </w:r>
      <w:r w:rsidR="00D86733">
        <w:t>Les Courriers de l’Aube</w:t>
      </w:r>
      <w:r w:rsidRPr="00FC2D49">
        <w:t xml:space="preserve"> </w:t>
      </w:r>
      <w:r>
        <w:t>entre la Direction et le</w:t>
      </w:r>
      <w:r w:rsidR="00D86733">
        <w:t>s</w:t>
      </w:r>
      <w:r>
        <w:t xml:space="preserve"> </w:t>
      </w:r>
      <w:r w:rsidR="00D86733">
        <w:t>délégations syndicales</w:t>
      </w:r>
      <w:r w:rsidRPr="00FC2D49">
        <w:t xml:space="preserve"> le</w:t>
      </w:r>
      <w:r>
        <w:t xml:space="preserve"> </w:t>
      </w:r>
      <w:r w:rsidR="00D86733">
        <w:t>17</w:t>
      </w:r>
      <w:r>
        <w:t>/12/2021.</w:t>
      </w:r>
    </w:p>
    <w:p w14:paraId="3B7FD937" w14:textId="77777777" w:rsidP="008C5FA9" w:rsidR="008C5FA9" w:rsidRDefault="008C5FA9" w:rsidRPr="00FC2D49">
      <w:pPr>
        <w:jc w:val="both"/>
      </w:pPr>
      <w:r w:rsidRPr="00FC2D49">
        <w:t xml:space="preserve">Les thèmes suivants ont fait l’objet de négociation sur la rémunération, </w:t>
      </w:r>
      <w:r>
        <w:t xml:space="preserve">notamment les salaires effectifs y compris les écarts de rémunération entre les femmes et les hommes, </w:t>
      </w:r>
      <w:r w:rsidRPr="00FC2D49">
        <w:t>le temps de travail et le partage de la valeur ajoutée dans l'entreprise et la qualité de vie au travail</w:t>
      </w:r>
      <w:r>
        <w:t>, thèmes d’ordre public sur lesquels l’employeur est tenu de négocier.</w:t>
      </w:r>
    </w:p>
    <w:p w14:paraId="32BCD811" w14:textId="4E71540E" w:rsidP="008C5FA9" w:rsidR="008C5FA9" w:rsidRDefault="008C5FA9">
      <w:pPr>
        <w:jc w:val="both"/>
      </w:pPr>
      <w:r w:rsidRPr="00FC2D49">
        <w:t xml:space="preserve">A l’issue de plusieurs réunions entre les partenaires, réalisées respectivement les </w:t>
      </w:r>
      <w:r w:rsidR="0037508C" w:rsidRPr="0037508C">
        <w:t>6 Janvier 2022, 25 Janvier 2022 et 3 Février 2022</w:t>
      </w:r>
      <w:r w:rsidRPr="00845BE5">
        <w:t>,</w:t>
      </w:r>
      <w:r w:rsidRPr="00FC2D49">
        <w:t xml:space="preserve"> les parties sont parvenues à la signature du présent accord.</w:t>
      </w:r>
    </w:p>
    <w:p w14:paraId="6CB26D2F" w14:textId="77777777" w:rsidP="008C5FA9" w:rsidR="00115D10" w:rsidRDefault="00115D10" w:rsidRPr="00FC2D49">
      <w:pPr>
        <w:jc w:val="both"/>
      </w:pPr>
    </w:p>
    <w:p w14:paraId="51C9941B" w14:textId="77777777" w:rsidP="00185E84" w:rsidR="00185E84" w:rsidRDefault="00185E84">
      <w:pPr>
        <w:jc w:val="both"/>
        <w:rPr>
          <w:b/>
          <w:u w:val="single"/>
        </w:rPr>
      </w:pPr>
      <w:r w:rsidRPr="00B575B4">
        <w:rPr>
          <w:b/>
          <w:u w:val="single"/>
        </w:rPr>
        <w:t>Article 1 –</w:t>
      </w:r>
      <w:r>
        <w:rPr>
          <w:b/>
          <w:u w:val="single"/>
        </w:rPr>
        <w:t xml:space="preserve"> </w:t>
      </w:r>
      <w:r w:rsidRPr="00B575B4">
        <w:rPr>
          <w:b/>
          <w:u w:val="single"/>
        </w:rPr>
        <w:t>Mesures sur</w:t>
      </w:r>
      <w:r w:rsidRPr="00B575B4">
        <w:rPr>
          <w:u w:val="single"/>
        </w:rPr>
        <w:t xml:space="preserve"> </w:t>
      </w:r>
      <w:r w:rsidRPr="00B575B4">
        <w:rPr>
          <w:b/>
          <w:u w:val="single"/>
        </w:rPr>
        <w:t>la rémunération</w:t>
      </w:r>
      <w:r>
        <w:rPr>
          <w:b/>
          <w:u w:val="single"/>
        </w:rPr>
        <w:t xml:space="preserve"> et les salaires effectifs</w:t>
      </w:r>
    </w:p>
    <w:p w14:paraId="4AEC0CF8" w14:textId="23F3DB32" w:rsidP="00784E52" w:rsidR="00784E52" w:rsidRDefault="00784E52" w:rsidRPr="00784E52">
      <w:pPr>
        <w:jc w:val="both"/>
        <w:rPr>
          <w:bCs/>
        </w:rPr>
      </w:pPr>
      <w:r w:rsidRPr="00784E52">
        <w:rPr>
          <w:bCs/>
        </w:rPr>
        <w:t xml:space="preserve">Après discussion entre les parties, </w:t>
      </w:r>
      <w:r w:rsidR="002E4915">
        <w:rPr>
          <w:bCs/>
        </w:rPr>
        <w:t>la</w:t>
      </w:r>
      <w:r w:rsidRPr="00784E52">
        <w:rPr>
          <w:bCs/>
        </w:rPr>
        <w:t xml:space="preserve"> mesure suivante </w:t>
      </w:r>
      <w:r w:rsidR="002E4915">
        <w:rPr>
          <w:bCs/>
        </w:rPr>
        <w:t>a</w:t>
      </w:r>
      <w:r w:rsidRPr="00784E52">
        <w:rPr>
          <w:bCs/>
        </w:rPr>
        <w:t xml:space="preserve"> été adoptée :</w:t>
      </w:r>
    </w:p>
    <w:p w14:paraId="5CBA549E" w14:textId="32F87C73" w:rsidP="00784E52" w:rsidR="00784E52" w:rsidRDefault="00784E52" w:rsidRPr="00784E52">
      <w:pPr>
        <w:jc w:val="both"/>
        <w:rPr>
          <w:bCs/>
        </w:rPr>
      </w:pPr>
      <w:r w:rsidRPr="00784E52">
        <w:rPr>
          <w:bCs/>
        </w:rPr>
        <w:t>Augmentation d</w:t>
      </w:r>
      <w:r>
        <w:rPr>
          <w:bCs/>
        </w:rPr>
        <w:t xml:space="preserve">e 2,5 % des salaires brut de base </w:t>
      </w:r>
      <w:r w:rsidRPr="00784E52">
        <w:rPr>
          <w:bCs/>
        </w:rPr>
        <w:t xml:space="preserve">pour tous les salariés (hors cadres) </w:t>
      </w:r>
      <w:r>
        <w:rPr>
          <w:bCs/>
        </w:rPr>
        <w:t>à compter du 1</w:t>
      </w:r>
      <w:r w:rsidRPr="00784E52">
        <w:rPr>
          <w:bCs/>
          <w:vertAlign w:val="superscript"/>
        </w:rPr>
        <w:t>er</w:t>
      </w:r>
      <w:r>
        <w:rPr>
          <w:bCs/>
        </w:rPr>
        <w:t xml:space="preserve"> Janvier 2022.</w:t>
      </w:r>
    </w:p>
    <w:p w14:paraId="28A21333" w14:textId="00E9A4D5" w:rsidP="00784E52" w:rsidR="0037508C" w:rsidRDefault="0037508C">
      <w:pPr>
        <w:jc w:val="both"/>
        <w:rPr>
          <w:b/>
          <w:u w:val="single"/>
        </w:rPr>
      </w:pPr>
    </w:p>
    <w:p w14:paraId="1E6535EE" w14:textId="77777777" w:rsidP="00784E52" w:rsidR="005F0C04" w:rsidRDefault="005F0C04">
      <w:pPr>
        <w:jc w:val="both"/>
        <w:rPr>
          <w:b/>
          <w:u w:val="single"/>
        </w:rPr>
      </w:pPr>
    </w:p>
    <w:p w14:paraId="4990AE08" w14:textId="77777777" w:rsidP="00784E52" w:rsidR="00115D10" w:rsidRDefault="00115D10">
      <w:pPr>
        <w:jc w:val="both"/>
        <w:rPr>
          <w:b/>
          <w:u w:val="single"/>
        </w:rPr>
      </w:pPr>
    </w:p>
    <w:p w14:paraId="08296D2A" w14:textId="77777777" w:rsidP="00784E52" w:rsidR="00115D10" w:rsidRDefault="00115D10">
      <w:pPr>
        <w:jc w:val="both"/>
        <w:rPr>
          <w:b/>
          <w:u w:val="single"/>
        </w:rPr>
      </w:pPr>
    </w:p>
    <w:p w14:paraId="5C1E3210" w14:textId="7BABC820" w:rsidP="00784E52" w:rsidR="00333BC6" w:rsidRDefault="00333BC6">
      <w:pPr>
        <w:jc w:val="both"/>
        <w:rPr>
          <w:b/>
          <w:u w:val="single"/>
        </w:rPr>
      </w:pPr>
      <w:r>
        <w:rPr>
          <w:b/>
          <w:u w:val="single"/>
        </w:rPr>
        <w:lastRenderedPageBreak/>
        <w:t xml:space="preserve">Article </w:t>
      </w:r>
      <w:r w:rsidR="00784E52">
        <w:rPr>
          <w:b/>
          <w:u w:val="single"/>
        </w:rPr>
        <w:t>2</w:t>
      </w:r>
      <w:r w:rsidRPr="00FC2D49">
        <w:rPr>
          <w:b/>
          <w:u w:val="single"/>
        </w:rPr>
        <w:t xml:space="preserve"> – </w:t>
      </w:r>
      <w:r>
        <w:rPr>
          <w:b/>
          <w:u w:val="single"/>
        </w:rPr>
        <w:t>L’insertion professionnelle et le maintien dans l’emploi des travailleurs handicapés</w:t>
      </w:r>
    </w:p>
    <w:p w14:paraId="0D73884D" w14:textId="384D8959" w:rsidP="00784E52" w:rsidR="00333BC6" w:rsidRDefault="00333BC6">
      <w:pPr>
        <w:jc w:val="both"/>
        <w:rPr>
          <w:bCs/>
        </w:rPr>
      </w:pPr>
      <w:r w:rsidRPr="00133613">
        <w:rPr>
          <w:bCs/>
        </w:rPr>
        <w:t>Les parties</w:t>
      </w:r>
      <w:r>
        <w:rPr>
          <w:bCs/>
        </w:rPr>
        <w:t xml:space="preserve"> réaffirment le principe de non-discrimination à l’accès à l’emploi des personnes handicapées. Soucieuse de remplir son obligation, la société mettra toutes les mesures en place de façon à favoriser l’embauche de personnes handicapées. Les parties présentes à la négociation rappellent aussi l’importance de ce sujet et appelant les salariés reconnus handicapés ou bénéficiant d’une rente invalidité à se faire connaitre auprès de leur direction.</w:t>
      </w:r>
    </w:p>
    <w:p w14:paraId="2440A873" w14:textId="119AF1CD" w:rsidP="00784E52" w:rsidR="00333BC6" w:rsidRDefault="00333BC6">
      <w:pPr>
        <w:jc w:val="both"/>
        <w:rPr>
          <w:bCs/>
        </w:rPr>
      </w:pPr>
      <w:r>
        <w:rPr>
          <w:bCs/>
        </w:rPr>
        <w:t>La direction s’engage à étudier et mettre en œuvre tout aménagement des conditions de travail pour les salariés qui se retrouveraient en difficulté de santé ou en situation de handicap dans la mesure où ces aménagements seront compatibles avec l’activité et le fonctionnement de l’entreprise.</w:t>
      </w:r>
    </w:p>
    <w:p w14:paraId="5F8AF946" w14:textId="24BD7A15" w:rsidP="00333BC6" w:rsidR="00333BC6" w:rsidRDefault="00333BC6">
      <w:pPr>
        <w:jc w:val="both"/>
        <w:rPr>
          <w:b/>
          <w:u w:val="single"/>
        </w:rPr>
      </w:pPr>
      <w:r>
        <w:rPr>
          <w:b/>
          <w:u w:val="single"/>
        </w:rPr>
        <w:t xml:space="preserve">Article </w:t>
      </w:r>
      <w:r w:rsidR="00784E52">
        <w:rPr>
          <w:b/>
          <w:u w:val="single"/>
        </w:rPr>
        <w:t>3</w:t>
      </w:r>
      <w:r w:rsidRPr="00FC2D49">
        <w:rPr>
          <w:b/>
          <w:u w:val="single"/>
        </w:rPr>
        <w:t xml:space="preserve"> –</w:t>
      </w:r>
      <w:r>
        <w:rPr>
          <w:b/>
          <w:u w:val="single"/>
        </w:rPr>
        <w:t xml:space="preserve"> L’égalité professionnelle et qualité de vie au travail</w:t>
      </w:r>
    </w:p>
    <w:p w14:paraId="7189E6CA" w14:textId="77777777" w:rsidP="00333BC6" w:rsidR="00333BC6" w:rsidRDefault="00333BC6">
      <w:pPr>
        <w:jc w:val="both"/>
        <w:rPr>
          <w:bCs/>
        </w:rPr>
      </w:pPr>
      <w:r>
        <w:rPr>
          <w:bCs/>
        </w:rPr>
        <w:t>Les parties réaffirment que la Société assure pour un même travail ou pour un travail de valeur égale, l’égalité de traitement, de condition de travail d’emploi et de rémunération entre les hommes et les femmes, ainsi qu’entre les temps complets et les temps partiels.</w:t>
      </w:r>
    </w:p>
    <w:p w14:paraId="5267D6F5" w14:textId="77777777" w:rsidP="00333BC6" w:rsidR="00333BC6" w:rsidRDefault="00333BC6">
      <w:pPr>
        <w:jc w:val="both"/>
        <w:rPr>
          <w:bCs/>
        </w:rPr>
      </w:pPr>
      <w:r>
        <w:rPr>
          <w:bCs/>
        </w:rPr>
        <w:t>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 temps complet ou temps partiel.</w:t>
      </w:r>
    </w:p>
    <w:p w14:paraId="74AE4D57" w14:textId="77777777" w:rsidP="00333BC6" w:rsidR="00333BC6" w:rsidRDefault="00333BC6">
      <w:pPr>
        <w:jc w:val="both"/>
        <w:rPr>
          <w:bCs/>
        </w:rPr>
      </w:pPr>
      <w:r>
        <w:rPr>
          <w:bCs/>
        </w:rPr>
        <w:t>Par ailleurs, les parties sont conscientes de l’importance d’être toujours très attentives à l’égalité entre tous concernant les conditions d’accès à l’emploi, à la formation professionnelle et à la promotion professionnelle.</w:t>
      </w:r>
    </w:p>
    <w:p w14:paraId="5DDA08BA" w14:textId="77777777" w:rsidP="00333BC6" w:rsidR="00333BC6" w:rsidRDefault="00333BC6">
      <w:pPr>
        <w:jc w:val="both"/>
        <w:rPr>
          <w:bCs/>
        </w:rPr>
      </w:pPr>
      <w:r>
        <w:rPr>
          <w:bCs/>
        </w:rPr>
        <w:t>La direction s’engage à assurer l’égalité professionnelle entre les femmes et les hommes en termes de classification, rémunération, évolution de carrière et accès à la formation.</w:t>
      </w:r>
    </w:p>
    <w:p w14:paraId="108DA6CF" w14:textId="77777777" w:rsidP="00333BC6" w:rsidR="00333BC6" w:rsidRDefault="00333BC6" w:rsidRPr="005C5FFC">
      <w:pPr>
        <w:jc w:val="both"/>
        <w:rPr>
          <w:bCs/>
        </w:rPr>
      </w:pPr>
      <w:r>
        <w:rPr>
          <w:bCs/>
        </w:rPr>
        <w:t>La direction s’engage à assurer et sensibiliser l’ensemble des salariés sur l’articulation entre la vie professionnelle et vie privée dans le cadre du droit à la déconnexion.</w:t>
      </w:r>
    </w:p>
    <w:p w14:paraId="25450182" w14:textId="2EDC98D1" w:rsidP="00333BC6" w:rsidR="00333BC6" w:rsidRDefault="00333BC6">
      <w:pPr>
        <w:jc w:val="both"/>
        <w:rPr>
          <w:b/>
          <w:u w:val="single"/>
        </w:rPr>
      </w:pPr>
      <w:r>
        <w:rPr>
          <w:b/>
          <w:u w:val="single"/>
        </w:rPr>
        <w:t xml:space="preserve">Article </w:t>
      </w:r>
      <w:r w:rsidR="00784E52">
        <w:rPr>
          <w:b/>
          <w:u w:val="single"/>
        </w:rPr>
        <w:t>4</w:t>
      </w:r>
      <w:r>
        <w:rPr>
          <w:b/>
          <w:u w:val="single"/>
        </w:rPr>
        <w:t xml:space="preserve"> </w:t>
      </w:r>
      <w:r w:rsidRPr="00FC2D49">
        <w:rPr>
          <w:b/>
          <w:u w:val="single"/>
        </w:rPr>
        <w:t>– Durée de l’accord</w:t>
      </w:r>
    </w:p>
    <w:p w14:paraId="36C2E6FD" w14:textId="50DFEEA1" w:rsidP="00333BC6" w:rsidR="00333BC6" w:rsidRDefault="00333BC6" w:rsidRPr="002B69E8">
      <w:pPr>
        <w:jc w:val="both"/>
      </w:pPr>
      <w:r>
        <w:t>L</w:t>
      </w:r>
      <w:r w:rsidRPr="00B575B4">
        <w:t xml:space="preserve">e présent accord est conclu pour une durée </w:t>
      </w:r>
      <w:r w:rsidR="002B0C39">
        <w:t>in</w:t>
      </w:r>
      <w:r w:rsidRPr="00B575B4">
        <w:t>déterminée à compter de la signature.</w:t>
      </w:r>
      <w:r w:rsidRPr="00FC2D49">
        <w:t xml:space="preserve"> </w:t>
      </w:r>
    </w:p>
    <w:p w14:paraId="6E245079" w14:textId="17E6692C" w:rsidP="00333BC6" w:rsidR="00333BC6" w:rsidRDefault="00333BC6" w:rsidRPr="00FC2D49">
      <w:pPr>
        <w:jc w:val="both"/>
        <w:rPr>
          <w:b/>
          <w:u w:val="single"/>
        </w:rPr>
      </w:pPr>
      <w:r>
        <w:rPr>
          <w:b/>
          <w:u w:val="single"/>
        </w:rPr>
        <w:t xml:space="preserve">Article </w:t>
      </w:r>
      <w:r w:rsidR="00784E52">
        <w:rPr>
          <w:b/>
          <w:u w:val="single"/>
        </w:rPr>
        <w:t>5</w:t>
      </w:r>
      <w:r>
        <w:rPr>
          <w:b/>
          <w:u w:val="single"/>
        </w:rPr>
        <w:t xml:space="preserve"> </w:t>
      </w:r>
      <w:r w:rsidRPr="00FC2D49">
        <w:rPr>
          <w:b/>
          <w:u w:val="single"/>
        </w:rPr>
        <w:t>– Révision</w:t>
      </w:r>
    </w:p>
    <w:p w14:paraId="023026A0" w14:textId="4C984C56" w:rsidP="00333BC6" w:rsidR="00333BC6" w:rsidRDefault="00333BC6">
      <w:pPr>
        <w:jc w:val="both"/>
      </w:pPr>
      <w:r w:rsidRPr="00FC2D49">
        <w:t>Le présent accord peut faire l’objet, à tout moment, d’une révision à la demande de l’une des parties signataires, dans le respect des conditions de validité applicables à la conclusion des accords d’entreprise, l’ensemble des organisations syndicales représentatives participants alors à la négociation de l’avenant</w:t>
      </w:r>
      <w:r w:rsidR="00115D10">
        <w:t>.</w:t>
      </w:r>
    </w:p>
    <w:p w14:paraId="09B55E7B" w14:textId="0DF642FE" w:rsidP="00333BC6" w:rsidR="00115D10" w:rsidRDefault="00115D10">
      <w:pPr>
        <w:jc w:val="both"/>
      </w:pPr>
    </w:p>
    <w:p w14:paraId="3B74C77E" w14:textId="77777777" w:rsidP="00333BC6" w:rsidR="00115D10" w:rsidRDefault="00115D10" w:rsidRPr="001F6A3A">
      <w:pPr>
        <w:jc w:val="both"/>
      </w:pPr>
    </w:p>
    <w:p w14:paraId="06960E6A" w14:textId="77777777" w:rsidP="00333BC6" w:rsidR="00115D10" w:rsidRDefault="00115D10">
      <w:pPr>
        <w:jc w:val="both"/>
        <w:rPr>
          <w:b/>
          <w:u w:val="single"/>
        </w:rPr>
      </w:pPr>
    </w:p>
    <w:p w14:paraId="18A8D66C" w14:textId="77777777" w:rsidP="00333BC6" w:rsidR="00115D10" w:rsidRDefault="00115D10">
      <w:pPr>
        <w:jc w:val="both"/>
        <w:rPr>
          <w:b/>
          <w:u w:val="single"/>
        </w:rPr>
      </w:pPr>
    </w:p>
    <w:p w14:paraId="0C467490" w14:textId="45B3AAB6" w:rsidP="00333BC6" w:rsidR="00333BC6" w:rsidRDefault="00333BC6" w:rsidRPr="00FC2D49">
      <w:pPr>
        <w:jc w:val="both"/>
        <w:rPr>
          <w:b/>
          <w:u w:val="single"/>
        </w:rPr>
      </w:pPr>
      <w:r>
        <w:rPr>
          <w:b/>
          <w:u w:val="single"/>
        </w:rPr>
        <w:t xml:space="preserve">Article </w:t>
      </w:r>
      <w:r w:rsidR="00784E52">
        <w:rPr>
          <w:b/>
          <w:u w:val="single"/>
        </w:rPr>
        <w:t>6</w:t>
      </w:r>
      <w:r w:rsidRPr="00FC2D49">
        <w:rPr>
          <w:b/>
          <w:u w:val="single"/>
        </w:rPr>
        <w:t xml:space="preserve"> – Publicité </w:t>
      </w:r>
    </w:p>
    <w:p w14:paraId="05F260C8" w14:textId="13072C42" w:rsidP="00333BC6" w:rsidR="00333BC6" w:rsidRDefault="00333BC6">
      <w:pPr>
        <w:jc w:val="both"/>
      </w:pPr>
      <w:r w:rsidRPr="00FC2D49">
        <w:t xml:space="preserve">Le présent accord est établi en un nombre suffisant d’exemplaires pour remise à chacune des parties signataires et </w:t>
      </w:r>
      <w:r>
        <w:t xml:space="preserve">sera déposé sur la plateforme « </w:t>
      </w:r>
      <w:proofErr w:type="spellStart"/>
      <w:r>
        <w:t>TéléAccords</w:t>
      </w:r>
      <w:proofErr w:type="spellEnd"/>
      <w:r>
        <w:t xml:space="preserve"> » (www.teleaccords.travail-emploi.gouv.fr) accessible depuis le site par l’Entreprise.</w:t>
      </w:r>
    </w:p>
    <w:p w14:paraId="3E77800F" w14:textId="18AAF33B" w:rsidP="00333BC6" w:rsidR="00333BC6" w:rsidRDefault="00333BC6">
      <w:pPr>
        <w:jc w:val="both"/>
      </w:pPr>
      <w:r>
        <w:t>Conformément à l'article D. 2231-2, un exemplaire de l'accord est également remis au greffe du conseil de prud'hommes du lieu de conclusion.</w:t>
      </w:r>
    </w:p>
    <w:p w14:paraId="09789EDD" w14:textId="4001035A" w:rsidP="00333BC6" w:rsidR="00333BC6" w:rsidRDefault="00333BC6">
      <w:pPr>
        <w:jc w:val="both"/>
      </w:pPr>
      <w:r w:rsidRPr="00FC2D49">
        <w:t>Il est notifié à l’ensemble des organisations syndicales représentatives dans l’entreprise. Les formalités de dépôt seront effectuées au plus tôt 8 jours après cette notification.</w:t>
      </w:r>
    </w:p>
    <w:p w14:paraId="01EA68E5" w14:textId="77777777" w:rsidP="00333BC6" w:rsidR="00D86733" w:rsidRDefault="00D86733" w:rsidRPr="00FC2D49">
      <w:pPr>
        <w:jc w:val="both"/>
      </w:pPr>
    </w:p>
    <w:p w14:paraId="737347F1" w14:textId="69AF2413" w:rsidP="00333BC6" w:rsidR="00333BC6" w:rsidRDefault="00333BC6">
      <w:pPr>
        <w:shd w:color="auto" w:fill="FFFFFF" w:val="clear"/>
        <w:spacing w:after="0" w:line="240" w:lineRule="auto"/>
        <w:jc w:val="both"/>
        <w:rPr>
          <w:rFonts w:cs="Arial" w:eastAsia="Times New Roman"/>
          <w:lang w:eastAsia="fr-FR"/>
        </w:rPr>
      </w:pPr>
      <w:r>
        <w:rPr>
          <w:rFonts w:cs="Arial" w:eastAsia="Times New Roman"/>
          <w:lang w:eastAsia="fr-FR"/>
        </w:rPr>
        <w:t xml:space="preserve">Fait à </w:t>
      </w:r>
      <w:r w:rsidR="00D86733">
        <w:rPr>
          <w:rFonts w:cs="Arial" w:eastAsia="Times New Roman"/>
          <w:lang w:eastAsia="fr-FR"/>
        </w:rPr>
        <w:t>Troyes</w:t>
      </w:r>
      <w:r w:rsidRPr="00FC2D49">
        <w:rPr>
          <w:rFonts w:cs="Arial" w:eastAsia="Times New Roman"/>
          <w:lang w:eastAsia="fr-FR"/>
        </w:rPr>
        <w:t xml:space="preserve">, </w:t>
      </w:r>
      <w:r>
        <w:rPr>
          <w:rFonts w:cs="Arial" w:eastAsia="Times New Roman"/>
          <w:lang w:eastAsia="fr-FR"/>
        </w:rPr>
        <w:t xml:space="preserve">le </w:t>
      </w:r>
      <w:r w:rsidR="00D86733">
        <w:rPr>
          <w:rFonts w:cs="Arial" w:eastAsia="Times New Roman"/>
          <w:lang w:eastAsia="fr-FR"/>
        </w:rPr>
        <w:t>03/02</w:t>
      </w:r>
      <w:r>
        <w:rPr>
          <w:rFonts w:cs="Arial" w:eastAsia="Times New Roman"/>
          <w:lang w:eastAsia="fr-FR"/>
        </w:rPr>
        <w:t xml:space="preserve">/2022 </w:t>
      </w:r>
      <w:r w:rsidRPr="00D57710">
        <w:rPr>
          <w:rFonts w:cs="Arial" w:eastAsia="Times New Roman"/>
          <w:lang w:eastAsia="fr-FR"/>
        </w:rPr>
        <w:t xml:space="preserve">(en </w:t>
      </w:r>
      <w:r w:rsidR="00115D10">
        <w:rPr>
          <w:rFonts w:cs="Arial" w:eastAsia="Times New Roman"/>
          <w:lang w:eastAsia="fr-FR"/>
        </w:rPr>
        <w:t>6</w:t>
      </w:r>
      <w:r w:rsidRPr="00D57710">
        <w:rPr>
          <w:rFonts w:cs="Arial" w:eastAsia="Times New Roman"/>
          <w:lang w:eastAsia="fr-FR"/>
        </w:rPr>
        <w:t xml:space="preserve"> exemplaires)</w:t>
      </w:r>
    </w:p>
    <w:p w14:paraId="008499D7" w14:textId="77777777" w:rsidP="00333BC6" w:rsidR="00D86733" w:rsidRDefault="00D86733" w:rsidRPr="00FC2D49">
      <w:pPr>
        <w:shd w:color="auto" w:fill="FFFFFF" w:val="clear"/>
        <w:spacing w:after="0" w:line="240" w:lineRule="auto"/>
        <w:jc w:val="both"/>
        <w:rPr>
          <w:rFonts w:cs="Arial" w:eastAsia="Times New Roman"/>
          <w:lang w:eastAsia="fr-FR"/>
        </w:rPr>
      </w:pPr>
    </w:p>
    <w:p w14:paraId="289BE994" w14:textId="77777777" w:rsidP="00333BC6" w:rsidR="00333BC6" w:rsidRDefault="00333BC6" w:rsidRPr="007A0174">
      <w:pPr>
        <w:shd w:color="auto" w:fill="FFFFFF" w:val="clear"/>
        <w:spacing w:after="0" w:line="240" w:lineRule="auto"/>
        <w:rPr>
          <w:rFonts w:cs="Arial" w:eastAsia="Times New Roman"/>
          <w:color w:val="333333"/>
          <w:sz w:val="20"/>
          <w:szCs w:val="20"/>
          <w:lang w:eastAsia="fr-FR"/>
        </w:rPr>
      </w:pPr>
    </w:p>
    <w:p w14:paraId="6E504E45" w14:textId="7CD23BC6" w:rsidP="00D86733" w:rsidR="007A0174" w:rsidRDefault="007A0174" w:rsidRPr="007A0174">
      <w:pPr>
        <w:spacing w:after="0" w:line="240" w:lineRule="auto"/>
        <w:jc w:val="both"/>
        <w:rPr>
          <w:rFonts w:cs="Arial" w:eastAsia="Times New Roman"/>
          <w:sz w:val="20"/>
          <w:szCs w:val="20"/>
          <w:lang w:eastAsia="fr-FR"/>
        </w:rPr>
      </w:pPr>
      <w:r w:rsidRPr="007A0174">
        <w:rPr>
          <w:rFonts w:cs="Arial" w:eastAsia="Times New Roman"/>
          <w:sz w:val="20"/>
          <w:szCs w:val="20"/>
          <w:lang w:eastAsia="fr-FR"/>
        </w:rPr>
        <w:br/>
      </w:r>
    </w:p>
    <w:tbl>
      <w:tblPr>
        <w:tblStyle w:val="Grilledutableau"/>
        <w:tblW w:type="auto" w:w="0"/>
        <w:tblLook w:firstColumn="1" w:firstRow="1" w:lastColumn="0" w:lastRow="0" w:noHBand="0" w:noVBand="1" w:val="04A0"/>
      </w:tblPr>
      <w:tblGrid>
        <w:gridCol w:w="9062"/>
      </w:tblGrid>
      <w:tr w14:paraId="4F81ED9F" w14:textId="77777777" w:rsidR="00D86733" w:rsidTr="004A4AA1">
        <w:tc>
          <w:tcPr>
            <w:tcW w:type="dxa" w:w="9402"/>
          </w:tcPr>
          <w:p w14:paraId="1522BFAB" w14:textId="77777777" w:rsidP="004A4AA1" w:rsidR="00D86733" w:rsidRDefault="00D86733" w:rsidRPr="004B1054">
            <w:pPr>
              <w:pStyle w:val="Retraitcorpsdetexte"/>
              <w:ind w:left="142"/>
              <w:rPr>
                <w:b/>
                <w:sz w:val="22"/>
                <w:szCs w:val="22"/>
                <w:u w:val="single"/>
              </w:rPr>
            </w:pPr>
            <w:r w:rsidRPr="004B1054">
              <w:rPr>
                <w:b/>
                <w:sz w:val="22"/>
                <w:szCs w:val="22"/>
                <w:u w:val="single"/>
              </w:rPr>
              <w:t>Pour l’Entreprise :</w:t>
            </w:r>
            <w:r w:rsidRPr="004B1054">
              <w:rPr>
                <w:b/>
                <w:sz w:val="22"/>
                <w:szCs w:val="22"/>
              </w:rPr>
              <w:t xml:space="preserve"> </w:t>
            </w:r>
            <w:r w:rsidRPr="004B1054">
              <w:rPr>
                <w:b/>
                <w:sz w:val="22"/>
                <w:szCs w:val="22"/>
              </w:rPr>
              <w:tab/>
            </w:r>
            <w:r w:rsidRPr="004B1054">
              <w:rPr>
                <w:b/>
                <w:sz w:val="22"/>
                <w:szCs w:val="22"/>
              </w:rPr>
              <w:tab/>
            </w:r>
            <w:r w:rsidRPr="004B1054">
              <w:rPr>
                <w:b/>
                <w:sz w:val="22"/>
                <w:szCs w:val="22"/>
              </w:rPr>
              <w:tab/>
            </w:r>
            <w:r w:rsidRPr="004B1054">
              <w:rPr>
                <w:b/>
                <w:sz w:val="22"/>
                <w:szCs w:val="22"/>
              </w:rPr>
              <w:tab/>
            </w:r>
            <w:r w:rsidRPr="004B1054">
              <w:rPr>
                <w:b/>
                <w:sz w:val="22"/>
                <w:szCs w:val="22"/>
              </w:rPr>
              <w:tab/>
              <w:t xml:space="preserve"> </w:t>
            </w:r>
            <w:proofErr w:type="gramStart"/>
            <w:r w:rsidRPr="004B1054">
              <w:rPr>
                <w:b/>
                <w:sz w:val="22"/>
                <w:szCs w:val="22"/>
              </w:rPr>
              <w:t xml:space="preserve">   </w:t>
            </w:r>
            <w:r w:rsidRPr="004B1054">
              <w:rPr>
                <w:sz w:val="22"/>
                <w:szCs w:val="22"/>
              </w:rPr>
              <w:t>(</w:t>
            </w:r>
            <w:proofErr w:type="gramEnd"/>
            <w:r w:rsidRPr="004B1054">
              <w:rPr>
                <w:i/>
                <w:sz w:val="22"/>
                <w:szCs w:val="22"/>
              </w:rPr>
              <w:t>signature et cachet de l’Entreprise</w:t>
            </w:r>
            <w:r w:rsidRPr="004B1054">
              <w:rPr>
                <w:sz w:val="22"/>
                <w:szCs w:val="22"/>
              </w:rPr>
              <w:t>)</w:t>
            </w:r>
          </w:p>
          <w:p w14:paraId="711FC43B" w14:textId="49996E79" w:rsidP="004A4AA1" w:rsidR="00D86733" w:rsidRDefault="00D86733">
            <w:pPr>
              <w:tabs>
                <w:tab w:pos="1134" w:val="left"/>
              </w:tabs>
              <w:rPr>
                <w:rFonts w:cs="Times New Roman"/>
              </w:rPr>
            </w:pPr>
            <w:r w:rsidRPr="004B1054">
              <w:rPr>
                <w:rFonts w:cs="Times New Roman"/>
              </w:rPr>
              <w:t>Représentée par</w:t>
            </w:r>
            <w:r>
              <w:rPr>
                <w:rFonts w:cs="Times New Roman"/>
              </w:rPr>
              <w:t xml:space="preserve"> </w:t>
            </w:r>
            <w:r w:rsidR="005F0C04">
              <w:rPr>
                <w:rFonts w:cs="Times New Roman"/>
              </w:rPr>
              <w:t xml:space="preserve"> la directrice</w:t>
            </w:r>
            <w:bookmarkStart w:id="0" w:name="_GoBack"/>
            <w:bookmarkEnd w:id="0"/>
          </w:p>
          <w:p w14:paraId="6AB805B7" w14:textId="77777777" w:rsidP="004A4AA1" w:rsidR="00D86733" w:rsidRDefault="00D86733">
            <w:pPr>
              <w:tabs>
                <w:tab w:pos="1134" w:val="left"/>
              </w:tabs>
              <w:rPr>
                <w:rFonts w:cs="Times New Roman"/>
              </w:rPr>
            </w:pPr>
          </w:p>
          <w:p w14:paraId="30C0281B" w14:textId="77777777" w:rsidP="004A4AA1" w:rsidR="00D86733" w:rsidRDefault="00D86733">
            <w:pPr>
              <w:tabs>
                <w:tab w:pos="1134" w:val="left"/>
              </w:tabs>
              <w:rPr>
                <w:rFonts w:cs="Times New Roman"/>
              </w:rPr>
            </w:pPr>
          </w:p>
          <w:p w14:paraId="56CF597E" w14:textId="77777777" w:rsidP="004A4AA1" w:rsidR="00D86733" w:rsidRDefault="00D86733" w:rsidRPr="004B1054">
            <w:pPr>
              <w:tabs>
                <w:tab w:pos="1134" w:val="left"/>
              </w:tabs>
              <w:rPr>
                <w:rFonts w:cs="Times New Roman"/>
              </w:rPr>
            </w:pPr>
          </w:p>
          <w:p w14:paraId="6BA90DC3" w14:textId="77777777" w:rsidP="004A4AA1" w:rsidR="00D86733" w:rsidRDefault="00D86733"/>
        </w:tc>
      </w:tr>
      <w:tr w14:paraId="2A1B5235" w14:textId="77777777" w:rsidR="00D86733" w:rsidTr="004A4AA1">
        <w:tc>
          <w:tcPr>
            <w:tcW w:type="dxa" w:w="9402"/>
          </w:tcPr>
          <w:p w14:paraId="4685C94C" w14:textId="77777777" w:rsidP="004A4AA1" w:rsidR="00D86733" w:rsidRDefault="00D86733">
            <w:r>
              <w:t>Pour la CFDT</w:t>
            </w:r>
          </w:p>
          <w:p w14:paraId="15884EF7" w14:textId="77777777" w:rsidP="004A4AA1" w:rsidR="00D86733" w:rsidRDefault="00D86733"/>
          <w:p w14:paraId="294A11DA" w14:textId="77777777" w:rsidP="004A4AA1" w:rsidR="00D86733" w:rsidRDefault="00D86733"/>
          <w:p w14:paraId="199BB3E9" w14:textId="77777777" w:rsidP="004A4AA1" w:rsidR="00D86733" w:rsidRDefault="00D86733"/>
          <w:p w14:paraId="0551B1B6" w14:textId="77777777" w:rsidP="004A4AA1" w:rsidR="00D86733" w:rsidRDefault="00D86733"/>
        </w:tc>
      </w:tr>
      <w:tr w14:paraId="32A72EEC" w14:textId="77777777" w:rsidR="00D86733" w:rsidTr="004A4AA1">
        <w:tc>
          <w:tcPr>
            <w:tcW w:type="dxa" w:w="9402"/>
          </w:tcPr>
          <w:p w14:paraId="752D92D8" w14:textId="77777777" w:rsidP="004A4AA1" w:rsidR="00D86733" w:rsidRDefault="00D86733">
            <w:r>
              <w:t>Pour la CFTC</w:t>
            </w:r>
          </w:p>
          <w:p w14:paraId="70674F45" w14:textId="77777777" w:rsidP="004A4AA1" w:rsidR="00D86733" w:rsidRDefault="00D86733"/>
          <w:p w14:paraId="4658EBFF" w14:textId="77777777" w:rsidP="004A4AA1" w:rsidR="00D86733" w:rsidRDefault="00D86733"/>
          <w:p w14:paraId="5C627F0F" w14:textId="77777777" w:rsidP="004A4AA1" w:rsidR="00D86733" w:rsidRDefault="00D86733"/>
          <w:p w14:paraId="49B15218" w14:textId="77777777" w:rsidP="004A4AA1" w:rsidR="00D86733" w:rsidRDefault="00D86733"/>
        </w:tc>
      </w:tr>
      <w:tr w14:paraId="68E68619" w14:textId="77777777" w:rsidR="00D86733" w:rsidTr="004A4AA1">
        <w:tc>
          <w:tcPr>
            <w:tcW w:type="dxa" w:w="9402"/>
          </w:tcPr>
          <w:p w14:paraId="52BFE328" w14:textId="77777777" w:rsidP="004A4AA1" w:rsidR="00D86733" w:rsidRDefault="00D86733">
            <w:r>
              <w:t>Pour la CGT</w:t>
            </w:r>
          </w:p>
          <w:p w14:paraId="267A640D" w14:textId="77777777" w:rsidP="004A4AA1" w:rsidR="00D86733" w:rsidRDefault="00D86733"/>
          <w:p w14:paraId="405D1D7D" w14:textId="77777777" w:rsidP="004A4AA1" w:rsidR="00D86733" w:rsidRDefault="00D86733"/>
          <w:p w14:paraId="4F412B49" w14:textId="77777777" w:rsidP="004A4AA1" w:rsidR="00D86733" w:rsidRDefault="00D86733"/>
          <w:p w14:paraId="1226786C" w14:textId="77777777" w:rsidP="004A4AA1" w:rsidR="00D86733" w:rsidRDefault="00D86733"/>
        </w:tc>
      </w:tr>
      <w:tr w14:paraId="7C7BB596" w14:textId="77777777" w:rsidR="00D86733" w:rsidTr="004A4AA1">
        <w:tc>
          <w:tcPr>
            <w:tcW w:type="dxa" w:w="9402"/>
          </w:tcPr>
          <w:p w14:paraId="6EB35621" w14:textId="77777777" w:rsidP="004A4AA1" w:rsidR="00D86733" w:rsidRDefault="00D86733">
            <w:r>
              <w:t>Pour la FO</w:t>
            </w:r>
          </w:p>
          <w:p w14:paraId="70FC2327" w14:textId="77777777" w:rsidP="004A4AA1" w:rsidR="00D86733" w:rsidRDefault="00D86733"/>
          <w:p w14:paraId="13DD700E" w14:textId="77777777" w:rsidP="004A4AA1" w:rsidR="00D86733" w:rsidRDefault="00D86733"/>
          <w:p w14:paraId="31207751" w14:textId="77777777" w:rsidP="004A4AA1" w:rsidR="00D86733" w:rsidRDefault="00D86733"/>
          <w:p w14:paraId="458E3B0A" w14:textId="77777777" w:rsidP="004A4AA1" w:rsidR="00D86733" w:rsidRDefault="00D86733"/>
        </w:tc>
      </w:tr>
    </w:tbl>
    <w:p w14:paraId="6E504E51" w14:textId="77777777" w:rsidP="007A0174" w:rsidR="007A0174" w:rsidRDefault="007A0174" w:rsidRPr="007A0174">
      <w:pPr>
        <w:spacing w:after="0" w:line="240" w:lineRule="auto"/>
        <w:rPr>
          <w:rFonts w:cs="Arial" w:eastAsia="Times New Roman"/>
          <w:sz w:val="24"/>
          <w:szCs w:val="24"/>
          <w:lang w:eastAsia="fr-FR"/>
        </w:rPr>
      </w:pPr>
    </w:p>
    <w:p w14:paraId="6E504E52" w14:textId="77777777" w:rsidP="00183A10" w:rsidR="005B553B" w:rsidRDefault="005F0C04" w:rsidRPr="007A0174"/>
    <w:sectPr w:rsidR="005B553B" w:rsidRPr="007A0174">
      <w:headerReference r:id="rId8" w:type="default"/>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4BC5" w14:textId="77777777" w:rsidR="00C507A4" w:rsidRDefault="00C507A4" w:rsidP="00183A10">
      <w:pPr>
        <w:spacing w:after="0" w:line="240" w:lineRule="auto"/>
      </w:pPr>
      <w:r>
        <w:separator/>
      </w:r>
    </w:p>
  </w:endnote>
  <w:endnote w:type="continuationSeparator" w:id="0">
    <w:p w14:paraId="6A9843AE" w14:textId="77777777" w:rsidR="00C507A4" w:rsidRDefault="00C507A4" w:rsidP="0018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270748389"/>
      <w:docPartObj>
        <w:docPartGallery w:val="Page Numbers (Bottom of Page)"/>
        <w:docPartUnique/>
      </w:docPartObj>
    </w:sdtPr>
    <w:sdtEndPr/>
    <w:sdtContent>
      <w:p w14:paraId="6E504E5A" w14:textId="77777777" w:rsidR="00D563DE" w:rsidRDefault="00D563DE">
        <w:pPr>
          <w:pStyle w:val="Pieddepage"/>
          <w:jc w:val="right"/>
        </w:pPr>
        <w:r>
          <w:fldChar w:fldCharType="begin"/>
        </w:r>
        <w:r>
          <w:instrText>PAGE   \* MERGEFORMAT</w:instrText>
        </w:r>
        <w:r>
          <w:fldChar w:fldCharType="separate"/>
        </w:r>
        <w:r w:rsidR="0081210F">
          <w:rPr>
            <w:noProof/>
          </w:rPr>
          <w:t>2</w:t>
        </w:r>
        <w:r>
          <w:fldChar w:fldCharType="end"/>
        </w:r>
      </w:p>
    </w:sdtContent>
  </w:sdt>
  <w:p w14:paraId="6E504E5B" w14:textId="77777777" w:rsidR="00D563DE" w:rsidRDefault="00D563D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3E824C1E" w14:textId="77777777" w:rsidP="00183A10" w:rsidR="00C507A4" w:rsidRDefault="00C507A4">
      <w:pPr>
        <w:spacing w:after="0" w:line="240" w:lineRule="auto"/>
      </w:pPr>
      <w:r>
        <w:separator/>
      </w:r>
    </w:p>
  </w:footnote>
  <w:footnote w:id="0" w:type="continuationSeparator">
    <w:p w14:paraId="7DF58812" w14:textId="77777777" w:rsidP="00183A10" w:rsidR="00C507A4" w:rsidRDefault="00C507A4">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E504E59" w14:textId="0B4F90C8" w:rsidP="00B00A80" w:rsidR="00EF5679" w:rsidRDefault="00D86733" w:rsidRPr="00BD18D2">
    <w:pPr>
      <w:pStyle w:val="Pieddepage"/>
      <w:rPr>
        <w:caps/>
        <w:noProof/>
        <w:lang w:eastAsia="fr-FR"/>
      </w:rPr>
    </w:pPr>
    <w:r>
      <w:rPr>
        <w:caps/>
        <w:noProof/>
        <w:lang w:eastAsia="fr-FR"/>
      </w:rPr>
      <w:drawing>
        <wp:inline distB="0" distL="0" distR="0" distT="0" wp14:anchorId="0671FCA9" wp14:editId="540E42ED">
          <wp:extent cx="2084472" cy="371475"/>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2125369" cy="378763"/>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37A0A0E"/>
    <w:multiLevelType w:val="hybridMultilevel"/>
    <w:tmpl w:val="894CB0FC"/>
    <w:lvl w:ilvl="0" w:tplc="BAF4C11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5BA259D"/>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4D557A5B"/>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521A68EF"/>
    <w:multiLevelType w:val="hybridMultilevel"/>
    <w:tmpl w:val="CDE8C32A"/>
    <w:lvl w:ilvl="0" w:tplc="691484EC">
      <w:start w:val="3"/>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64DB0236"/>
    <w:multiLevelType w:val="hybridMultilevel"/>
    <w:tmpl w:val="7DD259A0"/>
    <w:lvl w:ilvl="0" w:tplc="50D0AE84">
      <w:start w:val="1"/>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7C0F144B"/>
    <w:multiLevelType w:val="multilevel"/>
    <w:tmpl w:val="67EC3E8E"/>
    <w:lvl w:ilvl="0">
      <w:start w:val="1"/>
      <w:numFmt w:val="decimal"/>
      <w:lvlText w:val="%1"/>
      <w:lvlJc w:val="left"/>
      <w:pPr>
        <w:ind w:hanging="555" w:left="555"/>
      </w:pPr>
      <w:rPr>
        <w:rFonts w:hint="default"/>
      </w:rPr>
    </w:lvl>
    <w:lvl w:ilvl="1">
      <w:start w:val="1"/>
      <w:numFmt w:val="decimal"/>
      <w:lvlText w:val="%1.%2"/>
      <w:lvlJc w:val="left"/>
      <w:pPr>
        <w:ind w:hanging="720" w:left="1211"/>
      </w:pPr>
      <w:rPr>
        <w:rFonts w:hint="default"/>
      </w:rPr>
    </w:lvl>
    <w:lvl w:ilvl="2">
      <w:start w:val="2"/>
      <w:numFmt w:val="decimal"/>
      <w:lvlText w:val="%1.%2.%3"/>
      <w:lvlJc w:val="left"/>
      <w:pPr>
        <w:ind w:hanging="720" w:left="720"/>
      </w:pPr>
      <w:rPr>
        <w:rFonts w:hint="default"/>
      </w:rPr>
    </w:lvl>
    <w:lvl w:ilvl="3">
      <w:start w:val="1"/>
      <w:numFmt w:val="decimal"/>
      <w:lvlText w:val="%1.%2.%3.%4"/>
      <w:lvlJc w:val="left"/>
      <w:pPr>
        <w:ind w:hanging="1080" w:left="2553"/>
      </w:pPr>
      <w:rPr>
        <w:rFonts w:hint="default"/>
      </w:rPr>
    </w:lvl>
    <w:lvl w:ilvl="4">
      <w:start w:val="1"/>
      <w:numFmt w:val="decimal"/>
      <w:lvlText w:val="%1.%2.%3.%4.%5"/>
      <w:lvlJc w:val="left"/>
      <w:pPr>
        <w:ind w:hanging="1440" w:left="3404"/>
      </w:pPr>
      <w:rPr>
        <w:rFonts w:hint="default"/>
      </w:rPr>
    </w:lvl>
    <w:lvl w:ilvl="5">
      <w:start w:val="1"/>
      <w:numFmt w:val="decimal"/>
      <w:lvlText w:val="%1.%2.%3.%4.%5.%6"/>
      <w:lvlJc w:val="left"/>
      <w:pPr>
        <w:ind w:hanging="1440" w:left="3895"/>
      </w:pPr>
      <w:rPr>
        <w:rFonts w:hint="default"/>
      </w:rPr>
    </w:lvl>
    <w:lvl w:ilvl="6">
      <w:start w:val="1"/>
      <w:numFmt w:val="decimal"/>
      <w:lvlText w:val="%1.%2.%3.%4.%5.%6.%7"/>
      <w:lvlJc w:val="left"/>
      <w:pPr>
        <w:ind w:hanging="1800" w:left="4746"/>
      </w:pPr>
      <w:rPr>
        <w:rFonts w:hint="default"/>
      </w:rPr>
    </w:lvl>
    <w:lvl w:ilvl="7">
      <w:start w:val="1"/>
      <w:numFmt w:val="decimal"/>
      <w:lvlText w:val="%1.%2.%3.%4.%5.%6.%7.%8"/>
      <w:lvlJc w:val="left"/>
      <w:pPr>
        <w:ind w:hanging="2160" w:left="5597"/>
      </w:pPr>
      <w:rPr>
        <w:rFonts w:hint="default"/>
      </w:rPr>
    </w:lvl>
    <w:lvl w:ilvl="8">
      <w:start w:val="1"/>
      <w:numFmt w:val="decimal"/>
      <w:lvlText w:val="%1.%2.%3.%4.%5.%6.%7.%8.%9"/>
      <w:lvlJc w:val="left"/>
      <w:pPr>
        <w:ind w:hanging="2160" w:left="6088"/>
      </w:pPr>
      <w:rPr>
        <w:rFonts w:hint="default"/>
      </w:rPr>
    </w:lvl>
  </w:abstractNum>
  <w:abstractNum w15:restartNumberingAfterBreak="0" w:abstractNumId="6">
    <w:nsid w:val="7E717B90"/>
    <w:multiLevelType w:val="hybridMultilevel"/>
    <w:tmpl w:val="3646840A"/>
    <w:lvl w:ilvl="0" w:tplc="D432FA6A">
      <w:start w:val="1"/>
      <w:numFmt w:val="bullet"/>
      <w:lvlText w:val="-"/>
      <w:lvlJc w:val="left"/>
      <w:pPr>
        <w:ind w:hanging="360" w:left="720"/>
      </w:pPr>
      <w:rPr>
        <w:rFonts w:ascii="Calibri" w:cs="Calibri" w:eastAsiaTheme="minorHAnsi" w:hAnsi="Calibri" w:hint="default"/>
        <w:b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6"/>
  </w:num>
  <w:num w:numId="8">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10"/>
    <w:rsid w:val="00014351"/>
    <w:rsid w:val="000147F2"/>
    <w:rsid w:val="0002496A"/>
    <w:rsid w:val="00024EF5"/>
    <w:rsid w:val="000308A4"/>
    <w:rsid w:val="00036903"/>
    <w:rsid w:val="0004142F"/>
    <w:rsid w:val="000755E7"/>
    <w:rsid w:val="000A555E"/>
    <w:rsid w:val="000B2914"/>
    <w:rsid w:val="000C26DD"/>
    <w:rsid w:val="000D248E"/>
    <w:rsid w:val="000F0D81"/>
    <w:rsid w:val="000F220F"/>
    <w:rsid w:val="000F47B0"/>
    <w:rsid w:val="00111F22"/>
    <w:rsid w:val="00115D10"/>
    <w:rsid w:val="00156114"/>
    <w:rsid w:val="00163779"/>
    <w:rsid w:val="00167573"/>
    <w:rsid w:val="00183A10"/>
    <w:rsid w:val="00183FB5"/>
    <w:rsid w:val="00185E84"/>
    <w:rsid w:val="001A1B0C"/>
    <w:rsid w:val="002138D8"/>
    <w:rsid w:val="00222427"/>
    <w:rsid w:val="00246AD7"/>
    <w:rsid w:val="00255E77"/>
    <w:rsid w:val="002847EB"/>
    <w:rsid w:val="002B0C39"/>
    <w:rsid w:val="002B69E8"/>
    <w:rsid w:val="002E1DD1"/>
    <w:rsid w:val="002E4915"/>
    <w:rsid w:val="00333BC6"/>
    <w:rsid w:val="00334719"/>
    <w:rsid w:val="0037508C"/>
    <w:rsid w:val="003D58A9"/>
    <w:rsid w:val="003E64C8"/>
    <w:rsid w:val="00404654"/>
    <w:rsid w:val="00454871"/>
    <w:rsid w:val="00550FAC"/>
    <w:rsid w:val="00594D65"/>
    <w:rsid w:val="005C401E"/>
    <w:rsid w:val="005D4410"/>
    <w:rsid w:val="005F0C04"/>
    <w:rsid w:val="006403B6"/>
    <w:rsid w:val="0069134A"/>
    <w:rsid w:val="006940D8"/>
    <w:rsid w:val="006F5CD6"/>
    <w:rsid w:val="00735A4D"/>
    <w:rsid w:val="0076088C"/>
    <w:rsid w:val="00784E52"/>
    <w:rsid w:val="007A0174"/>
    <w:rsid w:val="0081210F"/>
    <w:rsid w:val="008356CB"/>
    <w:rsid w:val="00845BE5"/>
    <w:rsid w:val="008A53BB"/>
    <w:rsid w:val="008C5FA9"/>
    <w:rsid w:val="008C72BD"/>
    <w:rsid w:val="008D61E4"/>
    <w:rsid w:val="00915A92"/>
    <w:rsid w:val="00943EE0"/>
    <w:rsid w:val="009742D0"/>
    <w:rsid w:val="00990B60"/>
    <w:rsid w:val="009A15BF"/>
    <w:rsid w:val="00A401F9"/>
    <w:rsid w:val="00A469DF"/>
    <w:rsid w:val="00B00A80"/>
    <w:rsid w:val="00B575B4"/>
    <w:rsid w:val="00B57AEB"/>
    <w:rsid w:val="00B65AD9"/>
    <w:rsid w:val="00B66D5F"/>
    <w:rsid w:val="00BB2C03"/>
    <w:rsid w:val="00BC5C55"/>
    <w:rsid w:val="00BD18D2"/>
    <w:rsid w:val="00BD4321"/>
    <w:rsid w:val="00BD79CC"/>
    <w:rsid w:val="00BE4992"/>
    <w:rsid w:val="00C202EF"/>
    <w:rsid w:val="00C507A4"/>
    <w:rsid w:val="00CC1B5E"/>
    <w:rsid w:val="00CD71B3"/>
    <w:rsid w:val="00CE0203"/>
    <w:rsid w:val="00CE579B"/>
    <w:rsid w:val="00CF1427"/>
    <w:rsid w:val="00CF23D7"/>
    <w:rsid w:val="00CF3BF5"/>
    <w:rsid w:val="00D546A1"/>
    <w:rsid w:val="00D563DE"/>
    <w:rsid w:val="00D56677"/>
    <w:rsid w:val="00D57710"/>
    <w:rsid w:val="00D72BF0"/>
    <w:rsid w:val="00D85DFE"/>
    <w:rsid w:val="00D86733"/>
    <w:rsid w:val="00DA3A53"/>
    <w:rsid w:val="00DC341D"/>
    <w:rsid w:val="00DD253E"/>
    <w:rsid w:val="00E26236"/>
    <w:rsid w:val="00E60A74"/>
    <w:rsid w:val="00E629BE"/>
    <w:rsid w:val="00E677A6"/>
    <w:rsid w:val="00E947BE"/>
    <w:rsid w:val="00EF1A74"/>
    <w:rsid w:val="00EF5679"/>
    <w:rsid w:val="00F426DC"/>
    <w:rsid w:val="00F66F2F"/>
    <w:rsid w:val="00F85E7F"/>
    <w:rsid w:val="00F8666B"/>
    <w:rsid w:val="00FC2D49"/>
    <w:rsid w:val="00FC3245"/>
    <w:rsid w:val="00FE2670"/>
    <w:rsid w:val="00FE4E8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6385" v:ext="edit"/>
    <o:shapelayout v:ext="edit">
      <o:idmap data="1" v:ext="edit"/>
    </o:shapelayout>
  </w:shapeDefaults>
  <w:decimalSymbol w:val=","/>
  <w:listSeparator w:val=";"/>
  <w14:docId w14:val="6E504E25"/>
  <w15:docId w15:val="{DD423CDC-603E-48D6-8890-AF336E06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56114"/>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83A10"/>
    <w:pPr>
      <w:tabs>
        <w:tab w:pos="4536" w:val="center"/>
        <w:tab w:pos="9072" w:val="right"/>
      </w:tabs>
      <w:spacing w:after="0" w:line="240" w:lineRule="auto"/>
    </w:pPr>
  </w:style>
  <w:style w:customStyle="1" w:styleId="En-tteCar" w:type="character">
    <w:name w:val="En-tête Car"/>
    <w:basedOn w:val="Policepardfaut"/>
    <w:link w:val="En-tte"/>
    <w:uiPriority w:val="99"/>
    <w:rsid w:val="00183A10"/>
  </w:style>
  <w:style w:styleId="Pieddepage" w:type="paragraph">
    <w:name w:val="footer"/>
    <w:basedOn w:val="Normal"/>
    <w:link w:val="PieddepageCar"/>
    <w:uiPriority w:val="99"/>
    <w:unhideWhenUsed/>
    <w:rsid w:val="00183A1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183A10"/>
  </w:style>
  <w:style w:styleId="Textedebulles" w:type="paragraph">
    <w:name w:val="Balloon Text"/>
    <w:basedOn w:val="Normal"/>
    <w:link w:val="TextedebullesCar"/>
    <w:uiPriority w:val="99"/>
    <w:semiHidden/>
    <w:unhideWhenUsed/>
    <w:rsid w:val="00183A10"/>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183A10"/>
    <w:rPr>
      <w:rFonts w:ascii="Tahoma" w:cs="Tahoma" w:hAnsi="Tahoma"/>
      <w:sz w:val="16"/>
      <w:szCs w:val="16"/>
    </w:rPr>
  </w:style>
  <w:style w:styleId="Paragraphedeliste" w:type="paragraph">
    <w:name w:val="List Paragraph"/>
    <w:basedOn w:val="Normal"/>
    <w:uiPriority w:val="34"/>
    <w:qFormat/>
    <w:rsid w:val="00DD253E"/>
    <w:pPr>
      <w:ind w:left="720"/>
      <w:contextualSpacing/>
    </w:pPr>
  </w:style>
  <w:style w:styleId="Retraitcorpsdetexte" w:type="paragraph">
    <w:name w:val="Body Text Indent"/>
    <w:basedOn w:val="Normal"/>
    <w:link w:val="RetraitcorpsdetexteCar"/>
    <w:rsid w:val="00D86733"/>
    <w:pPr>
      <w:spacing w:after="120" w:line="240" w:lineRule="auto"/>
      <w:ind w:left="283"/>
    </w:pPr>
    <w:rPr>
      <w:rFonts w:ascii="Times New Roman" w:cs="Times New Roman" w:eastAsia="Times New Roman" w:hAnsi="Times New Roman"/>
      <w:sz w:val="24"/>
      <w:szCs w:val="24"/>
      <w:lang w:eastAsia="fr-FR"/>
    </w:rPr>
  </w:style>
  <w:style w:customStyle="1" w:styleId="RetraitcorpsdetexteCar" w:type="character">
    <w:name w:val="Retrait corps de texte Car"/>
    <w:basedOn w:val="Policepardfaut"/>
    <w:link w:val="Retraitcorpsdetexte"/>
    <w:rsid w:val="00D86733"/>
    <w:rPr>
      <w:rFonts w:ascii="Times New Roman" w:cs="Times New Roman" w:eastAsia="Times New Roman" w:hAnsi="Times New Roman"/>
      <w:sz w:val="24"/>
      <w:szCs w:val="24"/>
      <w:lang w:eastAsia="fr-FR"/>
    </w:rPr>
  </w:style>
  <w:style w:styleId="Grilledutableau" w:type="table">
    <w:name w:val="Table Grid"/>
    <w:basedOn w:val="TableauNormal"/>
    <w:uiPriority w:val="39"/>
    <w:rsid w:val="00D86733"/>
    <w:pPr>
      <w:spacing w:after="0" w:line="240" w:lineRule="auto"/>
      <w:jc w:val="both"/>
    </w:pPr>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38575">
      <w:bodyDiv w:val="1"/>
      <w:marLeft w:val="0"/>
      <w:marRight w:val="0"/>
      <w:marTop w:val="0"/>
      <w:marBottom w:val="0"/>
      <w:divBdr>
        <w:top w:val="none" w:sz="0" w:space="0" w:color="auto"/>
        <w:left w:val="none" w:sz="0" w:space="0" w:color="auto"/>
        <w:bottom w:val="none" w:sz="0" w:space="0" w:color="auto"/>
        <w:right w:val="none" w:sz="0" w:space="0" w:color="auto"/>
      </w:divBdr>
    </w:div>
    <w:div w:id="16203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13C4-20FA-40A7-BC88-F03B27AA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4349</Characters>
  <Application>Microsoft Office Word</Application>
  <DocSecurity>0</DocSecurity>
  <Lines>36</Lines>
  <Paragraphs>10</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2022-02-28T09:43:00Z</dcterms:created>
  <cp:lastPrinted>2022-02-09T14:21:00Z</cp:lastPrinted>
  <dcterms:modified xsi:type="dcterms:W3CDTF">2022-02-28T09:43:00Z</dcterms:modified>
  <cp:revision>2</cp:revision>
</cp:coreProperties>
</file>