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sz w:val="28"/>
          <w:szCs w:val="28"/>
        </w:rPr>
      </w:pPr>
      <w:r>
        <w:rPr>
          <w:rFonts w:cs="Book Antiqua" w:ascii="Book Antiqua" w:hAnsi="Book Antiqua"/>
          <w:b/>
          <w:sz w:val="28"/>
          <w:szCs w:val="28"/>
        </w:rPr>
        <w:t>NEGOCIATION ANNUELLE OBLIGATOIRE SUR LES SALAIRES, LA DUREE EFFECTIVE ET L’ORGANISATION DU TEMPS DE TRAVAIL ANNEE 2022</w:t>
      </w:r>
    </w:p>
    <w:p>
      <w:pPr>
        <w:pStyle w:val="Normal"/>
        <w:jc w:val="center"/>
        <w:rPr>
          <w:rFonts w:ascii="Book Antiqua" w:hAnsi="Book Antiqua" w:cs="Book Antiqua"/>
          <w:b/>
          <w:b/>
          <w:sz w:val="28"/>
          <w:szCs w:val="28"/>
        </w:rPr>
      </w:pPr>
      <w:r>
        <w:rPr>
          <w:rFonts w:cs="Book Antiqua" w:ascii="Book Antiqua" w:hAnsi="Book Antiqua"/>
          <w:b/>
          <w:sz w:val="28"/>
          <w:szCs w:val="28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sz w:val="28"/>
          <w:szCs w:val="28"/>
        </w:rPr>
      </w:pPr>
      <w:r>
        <w:rPr>
          <w:rFonts w:cs="Book Antiqua" w:ascii="Book Antiqua" w:hAnsi="Book Antiqua"/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sz w:val="28"/>
          <w:szCs w:val="28"/>
        </w:rPr>
      </w:pPr>
      <w:r>
        <w:rPr>
          <w:rFonts w:cs="Book Antiqua" w:ascii="Book Antiqua" w:hAnsi="Book Antiqua"/>
          <w:b/>
          <w:sz w:val="28"/>
          <w:szCs w:val="28"/>
        </w:rPr>
        <w:t>PROCES VERBAL D’ACCORD</w:t>
      </w:r>
    </w:p>
    <w:p>
      <w:pPr>
        <w:pStyle w:val="Normal"/>
        <w:rPr>
          <w:rFonts w:ascii="Book Antiqua" w:hAnsi="Book Antiqua" w:cs="Book Antiqua"/>
          <w:b/>
          <w:b/>
          <w:sz w:val="32"/>
          <w:szCs w:val="32"/>
        </w:rPr>
      </w:pPr>
      <w:r>
        <w:rPr>
          <w:rFonts w:cs="Book Antiqua" w:ascii="Book Antiqua" w:hAnsi="Book Antiqua"/>
          <w:b/>
          <w:sz w:val="32"/>
          <w:szCs w:val="32"/>
        </w:rPr>
      </w:r>
    </w:p>
    <w:p>
      <w:pPr>
        <w:pStyle w:val="Normal"/>
        <w:rPr>
          <w:rFonts w:ascii="Book Antiqua" w:hAnsi="Book Antiqua" w:cs="Book Antiqua"/>
          <w:b/>
          <w:b/>
          <w:sz w:val="32"/>
          <w:szCs w:val="32"/>
        </w:rPr>
      </w:pPr>
      <w:r>
        <w:rPr>
          <w:rFonts w:cs="Book Antiqua" w:ascii="Book Antiqua" w:hAnsi="Book Antiqua"/>
          <w:b/>
          <w:sz w:val="32"/>
          <w:szCs w:val="32"/>
        </w:rPr>
      </w:r>
    </w:p>
    <w:p>
      <w:pPr>
        <w:pStyle w:val="Normal"/>
        <w:rPr>
          <w:rFonts w:ascii="Book Antiqua" w:hAnsi="Book Antiqua" w:cs="Book Antiqua"/>
          <w:sz w:val="28"/>
          <w:szCs w:val="28"/>
        </w:rPr>
      </w:pPr>
      <w:r>
        <w:rPr>
          <w:rFonts w:cs="Book Antiqua" w:ascii="Book Antiqua" w:hAnsi="Book Antiqua"/>
          <w:sz w:val="28"/>
          <w:szCs w:val="28"/>
        </w:rPr>
      </w:r>
    </w:p>
    <w:p>
      <w:pPr>
        <w:pStyle w:val="Normal"/>
        <w:rPr>
          <w:rFonts w:ascii="Book Antiqua" w:hAnsi="Book Antiqua" w:cs="Book Antiqua"/>
          <w:sz w:val="28"/>
          <w:szCs w:val="28"/>
        </w:rPr>
      </w:pPr>
      <w:r>
        <w:rPr>
          <w:rFonts w:cs="Book Antiqua" w:ascii="Book Antiqua" w:hAnsi="Book Antiqua"/>
          <w:sz w:val="28"/>
          <w:szCs w:val="28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Les parties se sont rencontrées le 16 juin 2022 afin de définir le calendrier et les documents nécessaires à la tenue des négociations. Les parties se sont ensuite réunies pour une deuxième réunion le 20 juin 2022.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A l’issue de la négociation annuelle obligatoire prévue aux articles L2242-1 et suivants du code du Travail, il a été convenu ce qui suit : 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Entre : 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La société CALBERSON ROUSSILLON enregistrée au registre du commerce sous le numéro    B681 850 129, dont le siège social est situé à Zone de Lannolier 1, 80 rue Philippe Lauth – 110000 CARCASSONNE : 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Représentée par XXXXXXXXXXXXXXXXXXX, agissant en qualité de Président Directeur Général assisté de XXXXXXXXXXXXXXXXXXXXX agissant en qualité de Responsable Ressources Humaines.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Et,  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L’’organisation syndicale CFTC représentée par xxxxxxxxxxxxxxxxxxxxx assistée de xxxxxxxxxxxxxxxxxxxxx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Les rapports et documents suivants ont été remis, discutés et commentés :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Les effectifs par catégorie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La répartition de l’effectif par sexe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Répartition par ancienneté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La pyramide d’age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La masse salariale et les charges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Nombre d’embauche sur l’année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Nombre de départ sur l’année réparti par motif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Le nombre de salariés promus par catégorie et par sexe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Le rapport égalité homme femme concernant l’emploi, les conditions de travail, la formation, l’évolution des salaires  mini/moyen/maxi selon les classifications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L’évolution des salaires sur les 5 dernières années par catégorie et par sexe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La situation de l’intérim dans la société par agence en volume d’heures, ETP et motif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La situation des salariés à temps partiel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La grille des primes d’ancienneté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L’absentéisme par type d’absence et par catégorie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Les contrats de travail à durée déterminée, en alternance, à temps partiel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Les travailleurs handicapés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Un bilan sur les jours de congé pour enfant malade pris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Le tableau de l’évolution de l’indice des prix INSEE.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caps/>
          <w:sz w:val="22"/>
          <w:szCs w:val="22"/>
        </w:rPr>
      </w:pPr>
      <w:r>
        <w:rPr>
          <w:rFonts w:cs="Book Antiqua" w:ascii="Book Antiqua" w:hAnsi="Book Antiqua"/>
          <w:b/>
          <w:caps/>
          <w:sz w:val="22"/>
          <w:szCs w:val="22"/>
        </w:rPr>
        <w:t>Après négociations, les parties en présence se sont entendues sur les dispositions suivantes :</w:t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b/>
          <w:b/>
          <w:caps/>
          <w:sz w:val="22"/>
          <w:szCs w:val="22"/>
        </w:rPr>
      </w:pPr>
      <w:r>
        <w:rPr>
          <w:rFonts w:cs="Book Antiqua" w:ascii="Book Antiqua" w:hAnsi="Book Antiqua"/>
          <w:b/>
          <w:caps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Article 1 – CADRE JURIDIQUE</w:t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Les dispositions suivantes s’appliquent à l’ensemble des salariés de CALBERSON Roussillon présents dans l’entreprise depuis plus de 6 mois au jour de la signature du présent accord,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sz w:val="22"/>
          <w:szCs w:val="22"/>
        </w:rPr>
        <w:t>Les dispositions du présent accord prendront effet au 1</w:t>
      </w:r>
      <w:r>
        <w:rPr>
          <w:rFonts w:cs="Book Antiqua" w:ascii="Book Antiqua" w:hAnsi="Book Antiqua"/>
          <w:sz w:val="22"/>
          <w:szCs w:val="22"/>
          <w:vertAlign w:val="superscript"/>
        </w:rPr>
        <w:t>er</w:t>
      </w:r>
      <w:r>
        <w:rPr>
          <w:rFonts w:cs="Book Antiqua" w:ascii="Book Antiqua" w:hAnsi="Book Antiqua"/>
          <w:sz w:val="22"/>
          <w:szCs w:val="22"/>
        </w:rPr>
        <w:t xml:space="preserve"> juillet 2022.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Les parties conviennent de se rencontrer dès qu’une disposition du présent accord ne serait plus en conformité avec les prescriptions légales et/ou conventionnelles.</w:t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Article 2 – MODALITES DE L’ACCORD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Après discussions et négociations les parties ont abouti à l’accord suivant :</w:t>
      </w:r>
    </w:p>
    <w:p>
      <w:pPr>
        <w:pStyle w:val="Normal"/>
        <w:keepNext w:val="true"/>
        <w:numPr>
          <w:ilvl w:val="0"/>
          <w:numId w:val="0"/>
        </w:numPr>
        <w:ind w:lef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jc w:val="both"/>
        <w:rPr/>
      </w:pPr>
      <w:r>
        <w:rPr>
          <w:rFonts w:cs="Book Antiqua" w:ascii="Book Antiqua" w:hAnsi="Book Antiqua"/>
          <w:b/>
          <w:sz w:val="22"/>
          <w:szCs w:val="22"/>
        </w:rPr>
        <w:t>Augmentation générale des salaires de base bruts de 2,2 %</w:t>
      </w:r>
      <w:r>
        <w:rPr>
          <w:rFonts w:cs="Book Antiqua" w:ascii="Book Antiqua" w:hAnsi="Book Antiqua"/>
          <w:sz w:val="22"/>
          <w:szCs w:val="22"/>
        </w:rPr>
        <w:t xml:space="preserve"> pour tous les salariés présents, ayant plus de six mois d’ancienneté (hors cadre) sur la base d’un emploi à temps plein.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L’augmentation du salaire des cadres fera l’objet d’une revue individuelle.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jc w:val="both"/>
        <w:rPr/>
      </w:pPr>
      <w:r>
        <w:rPr>
          <w:rFonts w:cs="Book Antiqua" w:ascii="Book Antiqua" w:hAnsi="Book Antiqua"/>
          <w:b/>
          <w:sz w:val="22"/>
          <w:szCs w:val="22"/>
        </w:rPr>
        <w:t xml:space="preserve">Une Prime exceptionnelle de 150 € </w:t>
      </w:r>
      <w:r>
        <w:rPr>
          <w:rFonts w:cs="Book Antiqua" w:ascii="Book Antiqua" w:hAnsi="Book Antiqua"/>
          <w:bCs/>
          <w:sz w:val="22"/>
          <w:szCs w:val="22"/>
        </w:rPr>
        <w:t xml:space="preserve"> sera versée sur les salaires de juillet 2022 à tous les salariés présents au 30 juin 2022.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</w:r>
    </w:p>
    <w:p>
      <w:pPr>
        <w:pStyle w:val="Normal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jc w:val="both"/>
        <w:rPr/>
      </w:pPr>
      <w:bookmarkStart w:id="0" w:name="_Hlk12615774"/>
      <w:bookmarkEnd w:id="0"/>
      <w:r>
        <w:rPr>
          <w:rFonts w:cs="Book Antiqua" w:ascii="Book Antiqua" w:hAnsi="Book Antiqua"/>
          <w:b/>
          <w:sz w:val="22"/>
          <w:szCs w:val="22"/>
        </w:rPr>
        <w:t>Budget CSE Œuvres sociales</w:t>
      </w:r>
      <w:r>
        <w:rPr>
          <w:rFonts w:cs="Book Antiqua" w:ascii="Book Antiqua" w:hAnsi="Book Antiqua"/>
          <w:sz w:val="22"/>
          <w:szCs w:val="22"/>
        </w:rPr>
        <w:t>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sz w:val="22"/>
          <w:szCs w:val="22"/>
        </w:rPr>
      </w:pPr>
      <w:bookmarkStart w:id="1" w:name="_Hlk12615774"/>
      <w:bookmarkEnd w:id="1"/>
      <w:r>
        <w:rPr>
          <w:rFonts w:cs="Book Antiqua" w:ascii="Book Antiqua" w:hAnsi="Book Antiqua"/>
          <w:sz w:val="22"/>
          <w:szCs w:val="22"/>
        </w:rPr>
        <w:t xml:space="preserve">Il est décidé de doter le budget œuvre sociale du CSE, d’une enveloppe supplémentaire et exceptionnelle de 7700 €. Cette somme devra servir des actions bénéficiant à l’ensemble des collaborateurs.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Cette mesure n’est pas reconductible.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/>
      </w:pPr>
      <w:r>
        <w:rPr>
          <w:rFonts w:cs="Book Antiqua" w:ascii="Book Antiqua" w:hAnsi="Book Antiqua"/>
          <w:sz w:val="22"/>
          <w:szCs w:val="22"/>
        </w:rPr>
        <w:t xml:space="preserve">4 </w:t>
      </w:r>
      <w:r>
        <w:rPr>
          <w:rFonts w:cs="Book Antiqua" w:ascii="Book Antiqua" w:hAnsi="Book Antiqua"/>
          <w:b/>
          <w:bCs/>
          <w:sz w:val="22"/>
          <w:szCs w:val="22"/>
        </w:rPr>
        <w:t>Planning NAO</w:t>
      </w:r>
      <w:r>
        <w:rPr>
          <w:rFonts w:cs="Book Antiqua" w:ascii="Book Antiqua" w:hAnsi="Book Antiqua"/>
          <w:sz w:val="22"/>
          <w:szCs w:val="22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En raison des incertitudes liées aux circonstances exceptionnelles actuelles en Europe et la forte inflation qui en en découle il a été décidé après discussion,  de modifier le calendrier habituel des négociations annuelles obligatoires de la société GEODIS D&amp;E ROUSSILLON  afin de prévoir l’ouverture de celles-ci pour l’année 2023 , dès le mois de mars.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1" w:color="000000"/>
        </w:pBdr>
        <w:shd w:fill="D8D8D8" w:val="clear"/>
        <w:ind w:left="360" w:right="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Cs/>
          <w:color w:val="002060"/>
          <w:sz w:val="22"/>
          <w:szCs w:val="22"/>
        </w:rPr>
      </w:pPr>
      <w:r>
        <w:rPr>
          <w:rFonts w:cs="Calibri" w:ascii="Calibri" w:hAnsi="Calibri"/>
          <w:bCs/>
          <w:color w:val="002060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color w:val="002060"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color w:val="002060"/>
          <w:sz w:val="22"/>
          <w:szCs w:val="22"/>
          <w:u w:val="single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Article 3 – DUREE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Heading2"/>
        <w:numPr>
          <w:ilvl w:val="1"/>
          <w:numId w:val="1"/>
        </w:numPr>
        <w:rPr>
          <w:rFonts w:ascii="Book Antiqua" w:hAnsi="Book Antiqua" w:cs="Book Antiqua"/>
          <w:b w:val="false"/>
          <w:b w:val="false"/>
          <w:bCs w:val="false"/>
          <w:u w:val="none"/>
        </w:rPr>
      </w:pPr>
      <w:r>
        <w:rPr>
          <w:rFonts w:cs="Book Antiqua" w:ascii="Book Antiqua" w:hAnsi="Book Antiqua"/>
          <w:b w:val="false"/>
          <w:bCs w:val="false"/>
          <w:u w:val="none"/>
        </w:rPr>
        <w:t>Le présent accord est conclu pour une durée indéterminée. Il pourra être dénoncé dans les conditions prévues à l’article 4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Article 4 – DENONCIATION DE L’ACCORD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Heading2"/>
        <w:numPr>
          <w:ilvl w:val="1"/>
          <w:numId w:val="1"/>
        </w:numPr>
        <w:rPr>
          <w:rFonts w:ascii="Book Antiqua" w:hAnsi="Book Antiqua" w:cs="Book Antiqua"/>
          <w:b w:val="false"/>
          <w:b w:val="false"/>
          <w:bCs w:val="false"/>
          <w:u w:val="none"/>
        </w:rPr>
      </w:pPr>
      <w:r>
        <w:rPr>
          <w:rFonts w:cs="Book Antiqua" w:ascii="Book Antiqua" w:hAnsi="Book Antiqua"/>
          <w:b w:val="false"/>
          <w:bCs w:val="false"/>
          <w:u w:val="none"/>
        </w:rPr>
        <w:t>L’accord et ses avenants éventuels peuvent être dénoncés par l’une ou l’autre des parties signataires avec un préavis de 3 mois sur notification écrite par lettre recommandée avec accusé de réception à l’autre partie. Dans ce cas, la Direction et les partenaires sociaux signataires se réuniront pendant la durée du préavis pour discuter les possibilités d’un nouvel accord.</w:t>
      </w:r>
    </w:p>
    <w:p>
      <w:pPr>
        <w:pStyle w:val="Heading2"/>
        <w:numPr>
          <w:ilvl w:val="1"/>
          <w:numId w:val="1"/>
        </w:numPr>
        <w:rPr>
          <w:rFonts w:ascii="Book Antiqua" w:hAnsi="Book Antiqua" w:cs="Book Antiqua"/>
          <w:b w:val="false"/>
          <w:b w:val="false"/>
          <w:bCs w:val="false"/>
          <w:u w:val="none"/>
        </w:rPr>
      </w:pPr>
      <w:r>
        <w:rPr>
          <w:rFonts w:cs="Book Antiqua" w:ascii="Book Antiqua" w:hAnsi="Book Antiqua"/>
          <w:b w:val="false"/>
          <w:bCs w:val="false"/>
          <w:u w:val="none"/>
        </w:rPr>
      </w:r>
    </w:p>
    <w:p>
      <w:pPr>
        <w:pStyle w:val="Heading2"/>
        <w:numPr>
          <w:ilvl w:val="1"/>
          <w:numId w:val="1"/>
        </w:numPr>
        <w:rPr>
          <w:rFonts w:ascii="Book Antiqua" w:hAnsi="Book Antiqua" w:cs="Book Antiqua"/>
          <w:b w:val="false"/>
          <w:b w:val="false"/>
          <w:bCs w:val="false"/>
          <w:u w:val="none"/>
        </w:rPr>
      </w:pPr>
      <w:r>
        <w:rPr>
          <w:rFonts w:cs="Book Antiqua" w:ascii="Book Antiqua" w:hAnsi="Book Antiqua"/>
          <w:b w:val="false"/>
          <w:bCs w:val="false"/>
          <w:u w:val="none"/>
        </w:rPr>
        <w:t>S’il s’avérait que les dispositions légales, réglementaires ou conventionnelles remettaient en cause de manière importante le dispositif mis en place, la Direction et les partenaires sociaux signataires pourraient être amenés à revoir les dispositions de cet accord ou à les dénoncer.</w:t>
      </w:r>
    </w:p>
    <w:p>
      <w:pPr>
        <w:pStyle w:val="Heading2"/>
        <w:numPr>
          <w:ilvl w:val="1"/>
          <w:numId w:val="1"/>
        </w:numPr>
        <w:rPr>
          <w:rFonts w:ascii="Book Antiqua" w:hAnsi="Book Antiqua" w:cs="Book Antiqua"/>
          <w:b w:val="false"/>
          <w:b w:val="false"/>
          <w:bCs w:val="false"/>
          <w:u w:val="none"/>
        </w:rPr>
      </w:pPr>
      <w:r>
        <w:rPr>
          <w:rFonts w:cs="Book Antiqua" w:ascii="Book Antiqua" w:hAnsi="Book Antiqua"/>
          <w:b w:val="false"/>
          <w:bCs w:val="false"/>
          <w:u w:val="none"/>
        </w:rPr>
      </w:r>
    </w:p>
    <w:p>
      <w:pPr>
        <w:pStyle w:val="Heading2"/>
        <w:numPr>
          <w:ilvl w:val="1"/>
          <w:numId w:val="1"/>
        </w:numPr>
        <w:rPr>
          <w:rFonts w:ascii="Book Antiqua" w:hAnsi="Book Antiqua" w:cs="Book Antiqua"/>
          <w:b w:val="false"/>
          <w:b w:val="false"/>
          <w:bCs w:val="false"/>
          <w:u w:val="none"/>
        </w:rPr>
      </w:pPr>
      <w:r>
        <w:rPr>
          <w:rFonts w:cs="Book Antiqua" w:ascii="Book Antiqua" w:hAnsi="Book Antiqua"/>
          <w:b w:val="false"/>
          <w:bCs w:val="false"/>
          <w:u w:val="none"/>
        </w:rPr>
        <w:t>L’accord constitue un tout indivisible qui ne saurait être mis en œuvre de manière fractionnée ou faire l’objet d’une dénonciation partielle.</w:t>
      </w:r>
    </w:p>
    <w:p>
      <w:pPr>
        <w:pStyle w:val="Heading2"/>
        <w:numPr>
          <w:ilvl w:val="1"/>
          <w:numId w:val="1"/>
        </w:numPr>
        <w:rPr>
          <w:rFonts w:ascii="Book Antiqua" w:hAnsi="Book Antiqua" w:cs="Book Antiqua"/>
          <w:b w:val="false"/>
          <w:b w:val="false"/>
          <w:bCs w:val="false"/>
          <w:u w:val="none"/>
        </w:rPr>
      </w:pPr>
      <w:r>
        <w:rPr>
          <w:rFonts w:cs="Book Antiqua" w:ascii="Book Antiqua" w:hAnsi="Book Antiqua"/>
          <w:b w:val="false"/>
          <w:bCs w:val="false"/>
          <w:u w:val="none"/>
        </w:rPr>
      </w:r>
    </w:p>
    <w:p>
      <w:pPr>
        <w:pStyle w:val="Heading2"/>
        <w:numPr>
          <w:ilvl w:val="1"/>
          <w:numId w:val="1"/>
        </w:numPr>
        <w:tabs>
          <w:tab w:val="left" w:pos="6663" w:leader="none"/>
        </w:tabs>
        <w:rPr>
          <w:rFonts w:ascii="Book Antiqua" w:hAnsi="Book Antiqua" w:cs="Book Antiqua"/>
          <w:b w:val="false"/>
          <w:b w:val="false"/>
          <w:bCs w:val="false"/>
          <w:u w:val="none"/>
        </w:rPr>
      </w:pPr>
      <w:r>
        <w:rPr>
          <w:rFonts w:cs="Book Antiqua" w:ascii="Book Antiqua" w:hAnsi="Book Antiqua"/>
          <w:b w:val="false"/>
          <w:bCs w:val="false"/>
          <w:u w:val="none"/>
        </w:rPr>
        <w:t>Les parties au présent accord reconnaissent que ce dernier au regard de l’intérêt de l’ensemble des salariés met en place un dispositif plus avantageux que ceux pouvant exister à ce jour au sein de l’entreprise et s’impose donc de plein droit à l’ensemble des salariés concernés.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Fait à Narbonne, le 20 juin 2022                                 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Pour la Société </w:t>
        <w:tab/>
        <w:tab/>
        <w:tab/>
        <w:tab/>
        <w:tab/>
        <w:t xml:space="preserve">Pour la CFTC 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  <w:tab/>
        <w:tab/>
        <w:tab/>
        <w:tab/>
        <w:tab/>
      </w:r>
    </w:p>
    <w:p>
      <w:pPr>
        <w:pStyle w:val="Normal"/>
        <w:jc w:val="both"/>
        <w:rPr/>
      </w:pPr>
      <w:r>
        <w:rPr>
          <w:rFonts w:cs="Book Antiqua" w:ascii="Book Antiqua" w:hAnsi="Book Antiqua"/>
          <w:b/>
          <w:sz w:val="22"/>
          <w:szCs w:val="22"/>
        </w:rPr>
        <w:tab/>
        <w:tab/>
        <w:tab/>
        <w:tab/>
        <w:t xml:space="preserve">                                     </w:t>
      </w:r>
      <w:r>
        <w:rPr>
          <w:rFonts w:cs="Book Antiqua" w:ascii="Book Antiqua" w:hAnsi="Book Antiqua"/>
          <w:b/>
          <w:bCs/>
          <w:sz w:val="22"/>
          <w:szCs w:val="22"/>
        </w:rPr>
        <w:t xml:space="preserve"> </w:t>
      </w:r>
    </w:p>
    <w:p>
      <w:pPr>
        <w:pStyle w:val="Normal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  <w:tab/>
        <w:tab/>
        <w:tab/>
        <w:tab/>
        <w:tab/>
        <w:tab/>
        <w:tab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Sans Unicode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0"/>
    <w:family w:val="swiss"/>
    <w:pitch w:val="variable"/>
  </w:font>
  <w:font w:name="Book Antiqua">
    <w:charset w:val="00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750" w:hanging="39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Lucida Sans Unicode" w:hAnsi="Lucida Sans Unicode" w:cs="Lucida Sans Unicode"/>
      <w:b/>
      <w:bCs/>
      <w:sz w:val="22"/>
      <w:szCs w:val="22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Lucida Sans Unicode" w:hAnsi="Lucida Sans Unicode" w:eastAsia="Times New Roman" w:cs="Lucida Sans Unicod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TextedebullesCar">
    <w:name w:val="Texte de bulles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Lgende">
    <w:name w:val="Légende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2022-06-28T14:19:01Z</dcterms:created>
  <dc:creator/>
  <dc:description/>
  <dc:language>en-GB</dc:language>
  <cp:lastModifiedBy/>
  <cp:revision>1</cp:revision>
  <dc:subject/>
  <dc:title>NEGOCIATION ANNUELLE OBLIGATOIRE SUR LES SALAIRES EFFECTIFS , LA DUREE EFFECTIVE ET L’ORGANISATION DU TEMPS DE TRAVAIL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0x010100872F2EC7AE880E448AD6551450FA2714</vt:lpwstr>
  </property>
</Properties>
</file>