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5CE3EA1" w14:textId="77777777" w:rsidP="00B539FB" w:rsidR="00833C01" w:rsidRDefault="00B539F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</w:pPr>
      <w:r>
        <w:t>PROTOCOLE D’ACCORD RELATIF A LA NEGOCIATION ANNUELLE SUR LES SALAIRES</w:t>
      </w:r>
    </w:p>
    <w:p w14:paraId="14457E3B" w14:textId="5E383370" w:rsidP="00B539FB" w:rsidR="00B539FB" w:rsidRDefault="003712F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</w:pPr>
      <w:r>
        <w:t>POUR L’ANNEE 20</w:t>
      </w:r>
      <w:r w:rsidR="00302B17">
        <w:t>2</w:t>
      </w:r>
      <w:r w:rsidR="005F5135">
        <w:t>2</w:t>
      </w:r>
    </w:p>
    <w:p w14:paraId="49086BCF" w14:textId="77777777" w:rsidR="00B539FB" w:rsidRDefault="00B539FB"/>
    <w:p w14:paraId="631CBDE3" w14:textId="77777777" w:rsidP="009532D2" w:rsidR="00B539FB" w:rsidRDefault="00B539FB" w:rsidRPr="00261776">
      <w:pPr>
        <w:jc w:val="both"/>
        <w:rPr>
          <w:b/>
        </w:rPr>
      </w:pPr>
      <w:r w:rsidRPr="00261776">
        <w:rPr>
          <w:b/>
        </w:rPr>
        <w:t xml:space="preserve">Entre : </w:t>
      </w:r>
    </w:p>
    <w:p w14:paraId="60AD9790" w14:textId="65C86F86" w:rsidP="009532D2" w:rsidR="00B539FB" w:rsidRDefault="00B539FB">
      <w:pPr>
        <w:jc w:val="both"/>
      </w:pPr>
      <w:r>
        <w:t xml:space="preserve">La Société EUROFOS </w:t>
      </w:r>
      <w:r w:rsidR="00E50031">
        <w:t>SARL</w:t>
      </w:r>
      <w:r w:rsidR="00261776">
        <w:t xml:space="preserve">, située Terminal à conteneurs – Môle </w:t>
      </w:r>
      <w:proofErr w:type="spellStart"/>
      <w:r w:rsidR="00261776">
        <w:t>Graveleau</w:t>
      </w:r>
      <w:proofErr w:type="spellEnd"/>
      <w:r w:rsidR="00261776">
        <w:t xml:space="preserve"> – BP CS 50 002 – 13230 Port</w:t>
      </w:r>
      <w:r w:rsidR="00F259E3">
        <w:t>-</w:t>
      </w:r>
      <w:r w:rsidR="00261776">
        <w:t>Saint</w:t>
      </w:r>
      <w:r w:rsidR="00F259E3">
        <w:t>-</w:t>
      </w:r>
      <w:r w:rsidR="00261776">
        <w:t>Louis</w:t>
      </w:r>
      <w:r w:rsidR="00F259E3">
        <w:t>-</w:t>
      </w:r>
      <w:r w:rsidR="00261776">
        <w:t>du</w:t>
      </w:r>
      <w:r w:rsidR="00F259E3">
        <w:t>-</w:t>
      </w:r>
      <w:r w:rsidR="00261776">
        <w:t xml:space="preserve">Rhône, </w:t>
      </w:r>
      <w:r w:rsidR="00261776" w:rsidRPr="002C2052">
        <w:t xml:space="preserve">représentée par </w:t>
      </w:r>
      <w:r w:rsidR="00B303B7">
        <w:t>XXXXXXXXXX</w:t>
      </w:r>
      <w:r w:rsidR="00261776" w:rsidRPr="002C2052">
        <w:t>, Gérant,</w:t>
      </w:r>
      <w:r w:rsidR="00261776">
        <w:t xml:space="preserve"> </w:t>
      </w:r>
    </w:p>
    <w:p w14:paraId="7E9C50F1" w14:textId="77777777" w:rsidP="009532D2" w:rsidR="00261776" w:rsidRDefault="00261776" w:rsidRPr="00261776">
      <w:pPr>
        <w:jc w:val="both"/>
        <w:rPr>
          <w:b/>
        </w:rPr>
      </w:pPr>
      <w:r w:rsidRPr="00261776">
        <w:rPr>
          <w:b/>
        </w:rPr>
        <w:t xml:space="preserve">Et, </w:t>
      </w:r>
    </w:p>
    <w:p w14:paraId="443FCC46" w14:textId="0A3D7A1A" w:rsidP="009532D2" w:rsidR="00261776" w:rsidRDefault="00B303B7">
      <w:pPr>
        <w:jc w:val="both"/>
      </w:pPr>
      <w:r>
        <w:t>XXXXXXXXXXXXX</w:t>
      </w:r>
      <w:r w:rsidR="00261776">
        <w:t xml:space="preserve">, Délégué Syndical du Syndicat </w:t>
      </w:r>
      <w:r w:rsidR="001732D8">
        <w:t>G</w:t>
      </w:r>
      <w:r w:rsidR="00261776">
        <w:t xml:space="preserve">énéral CGT des ouvriers dockers et des personnels de la manutention portuaire du </w:t>
      </w:r>
      <w:r w:rsidR="00E50031">
        <w:t>G</w:t>
      </w:r>
      <w:r w:rsidR="00261776">
        <w:t xml:space="preserve">olfe de </w:t>
      </w:r>
      <w:r w:rsidR="00302B17">
        <w:t>F</w:t>
      </w:r>
      <w:r w:rsidR="00261776">
        <w:t>os.</w:t>
      </w:r>
    </w:p>
    <w:p w14:paraId="5E8C7630" w14:textId="77777777" w:rsidP="009532D2" w:rsidR="00261776" w:rsidRDefault="00261776" w:rsidRPr="00261776">
      <w:pPr>
        <w:jc w:val="both"/>
        <w:rPr>
          <w:b/>
          <w:u w:val="single"/>
        </w:rPr>
      </w:pPr>
      <w:r w:rsidRPr="00261776">
        <w:rPr>
          <w:b/>
          <w:u w:val="single"/>
        </w:rPr>
        <w:t xml:space="preserve">Préambule : </w:t>
      </w:r>
    </w:p>
    <w:p w14:paraId="4D9F0AB2" w14:textId="3617FFFF" w:rsidP="009532D2" w:rsidR="00261776" w:rsidRDefault="00261776">
      <w:pPr>
        <w:jc w:val="both"/>
      </w:pPr>
      <w:r>
        <w:t xml:space="preserve">La négociation </w:t>
      </w:r>
      <w:r w:rsidR="00962E32">
        <w:t xml:space="preserve">annuelle </w:t>
      </w:r>
      <w:r>
        <w:t>obligatoire 20</w:t>
      </w:r>
      <w:r w:rsidR="004D44D6">
        <w:t>2</w:t>
      </w:r>
      <w:r w:rsidR="005F5135">
        <w:t>2</w:t>
      </w:r>
      <w:r>
        <w:t xml:space="preserve"> a eu lieu conformément aux dispositions de la législation en vigueur.</w:t>
      </w:r>
    </w:p>
    <w:p w14:paraId="696A20C9" w14:textId="1CC75A6A" w:rsidP="009532D2" w:rsidR="00261776" w:rsidRDefault="00261776" w:rsidRPr="004143C3">
      <w:pPr>
        <w:jc w:val="both"/>
      </w:pPr>
      <w:r>
        <w:t xml:space="preserve">Elle s’est déroulée au cours d’une réunion paritaire fixée </w:t>
      </w:r>
      <w:r w:rsidRPr="00033783">
        <w:t xml:space="preserve">le </w:t>
      </w:r>
      <w:r w:rsidR="00AB1BAB" w:rsidRPr="00033783">
        <w:rPr>
          <w:color w:themeColor="text1" w:val="000000"/>
        </w:rPr>
        <w:t>28 janvier 2022</w:t>
      </w:r>
      <w:r w:rsidR="00B044AE" w:rsidRPr="00033783">
        <w:rPr>
          <w:color w:themeColor="text1" w:val="000000"/>
        </w:rPr>
        <w:t>,</w:t>
      </w:r>
      <w:r w:rsidR="00B044AE">
        <w:rPr>
          <w:color w:themeColor="text1" w:val="000000"/>
        </w:rPr>
        <w:t xml:space="preserve"> qui s’est poursuivie de divers échanges entre la Direction et l’Organisation Syndicale.</w:t>
      </w:r>
    </w:p>
    <w:p w14:paraId="27789BDC" w14:textId="77777777" w:rsidP="009532D2" w:rsidR="00962E32" w:rsidRDefault="00962E32">
      <w:pPr>
        <w:jc w:val="both"/>
      </w:pPr>
      <w:r>
        <w:t>Conformément aux évolutions induites par la loi 2015-994 du 17 août 2015 dite loi Rebsamen, les deux thèmes obligatoires ont été évoqués lors de cette réunion de négociation.</w:t>
      </w:r>
    </w:p>
    <w:p w14:paraId="58FFFC6B" w14:textId="77777777" w:rsidP="009C2B2F" w:rsidR="009C2B2F" w:rsidRDefault="009C2B2F">
      <w:pPr>
        <w:pStyle w:val="Paragraphedeliste"/>
        <w:numPr>
          <w:ilvl w:val="0"/>
          <w:numId w:val="1"/>
        </w:numPr>
        <w:jc w:val="both"/>
      </w:pPr>
      <w:r>
        <w:t>Rémunération, temps de travail et partage de la valeur ajoutée</w:t>
      </w:r>
    </w:p>
    <w:p w14:paraId="6F83893B" w14:textId="77777777" w:rsidP="009C2B2F" w:rsidR="009C2B2F" w:rsidRDefault="009C2B2F">
      <w:pPr>
        <w:pStyle w:val="Paragraphedeliste"/>
        <w:numPr>
          <w:ilvl w:val="0"/>
          <w:numId w:val="1"/>
        </w:numPr>
        <w:jc w:val="both"/>
      </w:pPr>
      <w:r>
        <w:t>Egalité professionnelle entre les femmes et les hommes et la qualité de vie au travail</w:t>
      </w:r>
    </w:p>
    <w:p w14:paraId="2434A002" w14:textId="77777777" w:rsidP="009532D2" w:rsidR="008213B5" w:rsidRDefault="00261776">
      <w:pPr>
        <w:jc w:val="both"/>
      </w:pPr>
      <w:r>
        <w:t xml:space="preserve">Dans le cadre de cette négociation annuelle obligatoire, les éléments </w:t>
      </w:r>
      <w:r w:rsidR="008213B5">
        <w:t xml:space="preserve">conclus par les partenaires sociaux ont été les suivants : </w:t>
      </w:r>
    </w:p>
    <w:p w14:paraId="11EB4512" w14:textId="77777777" w:rsidP="009532D2" w:rsidR="00465952" w:rsidRDefault="00465952">
      <w:pPr>
        <w:jc w:val="both"/>
      </w:pPr>
    </w:p>
    <w:p w14:paraId="09C57CF0" w14:textId="0BCE0CDC" w:rsidP="009532D2" w:rsidR="008213B5" w:rsidRDefault="008213B5">
      <w:pPr>
        <w:tabs>
          <w:tab w:pos="1125" w:val="left"/>
        </w:tabs>
        <w:jc w:val="both"/>
        <w:rPr>
          <w:b/>
          <w:u w:val="single"/>
        </w:rPr>
      </w:pPr>
      <w:r w:rsidRPr="008213B5">
        <w:rPr>
          <w:b/>
          <w:u w:val="single"/>
        </w:rPr>
        <w:t>Article 1 – Augmentation des salaires pour les différentes catégories de personnels de l’entreprise</w:t>
      </w:r>
    </w:p>
    <w:p w14:paraId="7ACFFB68" w14:textId="77777777" w:rsidP="009532D2" w:rsidR="007C5589" w:rsidRDefault="007C5589" w:rsidRPr="008213B5">
      <w:pPr>
        <w:tabs>
          <w:tab w:pos="1125" w:val="left"/>
        </w:tabs>
        <w:jc w:val="both"/>
        <w:rPr>
          <w:b/>
          <w:u w:val="single"/>
        </w:rPr>
      </w:pPr>
    </w:p>
    <w:p w14:paraId="7856BBE8" w14:textId="10C7D668" w:rsidP="009532D2" w:rsidR="008213B5" w:rsidRDefault="008213B5" w:rsidRPr="008213B5">
      <w:pPr>
        <w:tabs>
          <w:tab w:pos="1125" w:val="left"/>
        </w:tabs>
        <w:jc w:val="both"/>
        <w:rPr>
          <w:b/>
          <w:u w:val="single"/>
        </w:rPr>
      </w:pPr>
      <w:r w:rsidRPr="008213B5">
        <w:rPr>
          <w:b/>
          <w:u w:val="single"/>
        </w:rPr>
        <w:t xml:space="preserve">Employés </w:t>
      </w:r>
      <w:bookmarkStart w:id="0" w:name="_Hlk98245163"/>
      <w:r w:rsidR="005F5135">
        <w:rPr>
          <w:b/>
          <w:u w:val="single"/>
        </w:rPr>
        <w:t>des unités « </w:t>
      </w:r>
      <w:r w:rsidRPr="008213B5">
        <w:rPr>
          <w:b/>
          <w:u w:val="single"/>
        </w:rPr>
        <w:t xml:space="preserve">administratifs </w:t>
      </w:r>
      <w:r w:rsidR="005F5135">
        <w:rPr>
          <w:b/>
          <w:u w:val="single"/>
        </w:rPr>
        <w:t>de l’E</w:t>
      </w:r>
      <w:r w:rsidR="00450C5A">
        <w:rPr>
          <w:b/>
          <w:u w:val="single"/>
        </w:rPr>
        <w:t>x</w:t>
      </w:r>
      <w:r w:rsidR="005F5135">
        <w:rPr>
          <w:b/>
          <w:u w:val="single"/>
        </w:rPr>
        <w:t>ploitation » et « Administratifs Support »</w:t>
      </w:r>
      <w:bookmarkEnd w:id="0"/>
    </w:p>
    <w:p w14:paraId="110FCD81" w14:textId="3C861F05" w:rsidP="005F5135" w:rsidR="002641DC" w:rsidRDefault="00450C5A" w:rsidRPr="00503A76">
      <w:pPr>
        <w:tabs>
          <w:tab w:pos="1125" w:val="left"/>
        </w:tabs>
        <w:jc w:val="both"/>
      </w:pPr>
      <w:r>
        <w:t>L’ensemble des salariés non cadre</w:t>
      </w:r>
      <w:r w:rsidR="00503A76">
        <w:t>s</w:t>
      </w:r>
      <w:r>
        <w:t xml:space="preserve"> </w:t>
      </w:r>
      <w:r w:rsidRPr="00450C5A">
        <w:t xml:space="preserve">des unités « </w:t>
      </w:r>
      <w:r w:rsidR="00AF2C1B">
        <w:t>A</w:t>
      </w:r>
      <w:r w:rsidRPr="00450C5A">
        <w:t>dministratifs de l’Exploitation » et « Administratifs Support »</w:t>
      </w:r>
      <w:r>
        <w:t xml:space="preserve"> bénéficient des grilles de salaires ayant fait l’objet d’accords en date du 1</w:t>
      </w:r>
      <w:r w:rsidRPr="00450C5A">
        <w:rPr>
          <w:vertAlign w:val="superscript"/>
        </w:rPr>
        <w:t>er</w:t>
      </w:r>
      <w:r>
        <w:t xml:space="preserve"> septembre 2021. Les salariés bénéficient à compter du 1</w:t>
      </w:r>
      <w:r w:rsidRPr="001D1512">
        <w:rPr>
          <w:vertAlign w:val="superscript"/>
        </w:rPr>
        <w:t>er</w:t>
      </w:r>
      <w:r>
        <w:t xml:space="preserve"> janvier </w:t>
      </w:r>
      <w:r w:rsidRPr="00503A76">
        <w:t>202</w:t>
      </w:r>
      <w:r w:rsidR="0086439D" w:rsidRPr="00503A76">
        <w:t>2</w:t>
      </w:r>
      <w:r w:rsidRPr="00503A76">
        <w:t xml:space="preserve"> </w:t>
      </w:r>
      <w:r w:rsidR="006C0375" w:rsidRPr="00503A76">
        <w:t xml:space="preserve">d’une revalorisation de </w:t>
      </w:r>
      <w:r w:rsidR="00503A76" w:rsidRPr="00503A76">
        <w:t>3%</w:t>
      </w:r>
      <w:r w:rsidR="00503A76">
        <w:t xml:space="preserve"> de la part SBMH de </w:t>
      </w:r>
      <w:r w:rsidR="00503A76" w:rsidRPr="00503A76">
        <w:t>leur salaire de base.</w:t>
      </w:r>
      <w:r w:rsidRPr="00503A76">
        <w:t xml:space="preserve"> La revalorisation sera effective sur le bulletin de salaire du mois</w:t>
      </w:r>
      <w:r w:rsidR="0086439D" w:rsidRPr="00503A76">
        <w:t xml:space="preserve"> de mars</w:t>
      </w:r>
      <w:r w:rsidRPr="00503A76">
        <w:t xml:space="preserve"> 202</w:t>
      </w:r>
      <w:r w:rsidR="0086439D" w:rsidRPr="00503A76">
        <w:t>2</w:t>
      </w:r>
      <w:r w:rsidR="005010AC" w:rsidRPr="00503A76">
        <w:t xml:space="preserve"> ou avril 2022</w:t>
      </w:r>
      <w:r w:rsidRPr="00503A76">
        <w:t xml:space="preserve">. Un rappel </w:t>
      </w:r>
      <w:r w:rsidRPr="00033783">
        <w:t>de salaire sera également effectué pour appliquer l’augmentation sur les salaires rétroactivement au 1</w:t>
      </w:r>
      <w:r w:rsidRPr="00033783">
        <w:rPr>
          <w:vertAlign w:val="superscript"/>
        </w:rPr>
        <w:t>e</w:t>
      </w:r>
      <w:r w:rsidRPr="00033783">
        <w:t xml:space="preserve"> janvier 202</w:t>
      </w:r>
      <w:r w:rsidR="0086439D" w:rsidRPr="00033783">
        <w:t>2</w:t>
      </w:r>
      <w:r w:rsidR="00503A76">
        <w:t>.</w:t>
      </w:r>
      <w:r w:rsidRPr="0086439D">
        <w:rPr>
          <w:b/>
        </w:rPr>
        <w:tab/>
      </w:r>
    </w:p>
    <w:p w14:paraId="5091DB36" w14:textId="4836BF7B" w:rsidP="005F5135" w:rsidR="005F5135" w:rsidRDefault="005F5135" w:rsidRPr="008213B5">
      <w:pPr>
        <w:tabs>
          <w:tab w:pos="1125" w:val="left"/>
        </w:tabs>
        <w:jc w:val="both"/>
        <w:rPr>
          <w:b/>
          <w:u w:val="single"/>
        </w:rPr>
      </w:pPr>
      <w:r w:rsidRPr="008213B5">
        <w:rPr>
          <w:b/>
          <w:u w:val="single"/>
        </w:rPr>
        <w:t>Cadres</w:t>
      </w:r>
    </w:p>
    <w:p w14:paraId="1A9AD868" w14:textId="3BB306DB" w:rsidP="00033783" w:rsidR="00033783" w:rsidRDefault="005F5135" w:rsidRPr="009E3ECA">
      <w:pPr>
        <w:tabs>
          <w:tab w:pos="1125" w:val="left"/>
        </w:tabs>
        <w:jc w:val="both"/>
      </w:pPr>
      <w:r>
        <w:t xml:space="preserve">Il est conclu une augmentation de </w:t>
      </w:r>
      <w:r w:rsidR="0086439D">
        <w:t>3</w:t>
      </w:r>
      <w:r>
        <w:t xml:space="preserve"> % sur les salaires bruts de base de l’ensemble des salariés cadres</w:t>
      </w:r>
      <w:r w:rsidR="00503A76">
        <w:t>.</w:t>
      </w:r>
    </w:p>
    <w:p w14:paraId="15F6D623" w14:textId="2F0F791B" w:rsidP="009703BE" w:rsidR="002641DC" w:rsidRDefault="005F5135" w:rsidRPr="009703BE">
      <w:pPr>
        <w:tabs>
          <w:tab w:pos="1125" w:val="left"/>
        </w:tabs>
        <w:jc w:val="both"/>
      </w:pPr>
      <w:r w:rsidRPr="00B044AE">
        <w:t xml:space="preserve">La revalorisation de salaire sera effective sur le bulletin de paie du mois </w:t>
      </w:r>
      <w:r w:rsidRPr="00033783">
        <w:t>de mars 202</w:t>
      </w:r>
      <w:r w:rsidR="0086439D" w:rsidRPr="00033783">
        <w:t>2</w:t>
      </w:r>
      <w:r w:rsidR="00503A76">
        <w:t xml:space="preserve"> ou avril 2022</w:t>
      </w:r>
      <w:r w:rsidRPr="00B044AE">
        <w:t xml:space="preserve"> </w:t>
      </w:r>
      <w:r w:rsidR="00820513">
        <w:t xml:space="preserve">au plus tard </w:t>
      </w:r>
      <w:r w:rsidRPr="00B044AE">
        <w:t xml:space="preserve">ainsi qu’un rappel de salaire </w:t>
      </w:r>
      <w:r w:rsidR="005C6517">
        <w:t>pour l’application rétroactive de la revalorisation au 1</w:t>
      </w:r>
      <w:r w:rsidR="005C6517" w:rsidRPr="005C6517">
        <w:rPr>
          <w:vertAlign w:val="superscript"/>
        </w:rPr>
        <w:t>er</w:t>
      </w:r>
      <w:r w:rsidR="005C6517">
        <w:t xml:space="preserve"> janvier 2022.</w:t>
      </w:r>
    </w:p>
    <w:p w14:paraId="66B389A8" w14:textId="38B610D8" w:rsidP="009532D2" w:rsidR="008213B5" w:rsidRDefault="008213B5" w:rsidRPr="008213B5">
      <w:pPr>
        <w:tabs>
          <w:tab w:pos="1125" w:val="left"/>
        </w:tabs>
        <w:jc w:val="both"/>
        <w:rPr>
          <w:b/>
          <w:u w:val="single"/>
        </w:rPr>
      </w:pPr>
      <w:r w:rsidRPr="008213B5">
        <w:rPr>
          <w:b/>
          <w:u w:val="single"/>
        </w:rPr>
        <w:lastRenderedPageBreak/>
        <w:t>Ouvriers dockers d’exploitation</w:t>
      </w:r>
    </w:p>
    <w:p w14:paraId="10B4E7F9" w14:textId="75E8B7B4" w:rsidP="009532D2" w:rsidR="008213B5" w:rsidRDefault="008213B5">
      <w:pPr>
        <w:tabs>
          <w:tab w:pos="1125" w:val="left"/>
        </w:tabs>
        <w:jc w:val="both"/>
      </w:pPr>
      <w:r>
        <w:t>Pour les ouvriers dockers de l’entreprise</w:t>
      </w:r>
      <w:r w:rsidR="00087C38">
        <w:t>,</w:t>
      </w:r>
      <w:r w:rsidR="00347B17">
        <w:t xml:space="preserve"> </w:t>
      </w:r>
      <w:r>
        <w:t xml:space="preserve">les salaires et primes de la grille </w:t>
      </w:r>
      <w:r w:rsidR="006C0375">
        <w:t>SEMFOS</w:t>
      </w:r>
      <w:r w:rsidR="00087C38">
        <w:t xml:space="preserve"> restent identiques</w:t>
      </w:r>
      <w:r w:rsidR="00717484">
        <w:t xml:space="preserve"> par rapport </w:t>
      </w:r>
      <w:r w:rsidR="008111B6">
        <w:t>à</w:t>
      </w:r>
      <w:r w:rsidR="007A38A3">
        <w:t xml:space="preserve"> </w:t>
      </w:r>
      <w:r w:rsidR="00717484">
        <w:t>l’année 2021.</w:t>
      </w:r>
    </w:p>
    <w:p w14:paraId="0A3BE956" w14:textId="571DF148" w:rsidP="009532D2" w:rsidR="00347B17" w:rsidRDefault="0004332F">
      <w:pPr>
        <w:tabs>
          <w:tab w:pos="1125" w:val="left"/>
        </w:tabs>
        <w:jc w:val="both"/>
      </w:pPr>
      <w:r>
        <w:t>Toutefois, l</w:t>
      </w:r>
      <w:r w:rsidR="00347B17">
        <w:t>es primes suivantes sont revalorisées :</w:t>
      </w:r>
    </w:p>
    <w:p w14:paraId="136EC6F7" w14:textId="39590FA3" w:rsidP="009703BE" w:rsidR="009703BE" w:rsidRDefault="00A8782C" w:rsidRPr="00482BDA">
      <w:pPr>
        <w:pStyle w:val="Paragraphedeliste"/>
        <w:numPr>
          <w:ilvl w:val="0"/>
          <w:numId w:val="2"/>
        </w:numPr>
      </w:pPr>
      <w:r>
        <w:t xml:space="preserve">Revalorisation de la prime conduite </w:t>
      </w:r>
      <w:proofErr w:type="spellStart"/>
      <w:r>
        <w:t>straddle</w:t>
      </w:r>
      <w:proofErr w:type="spellEnd"/>
      <w:r>
        <w:t xml:space="preserve"> (uniquement au Navire) de 6.50 €</w:t>
      </w:r>
    </w:p>
    <w:p w14:paraId="44AB88FA" w14:textId="77777777" w:rsidP="009703BE" w:rsidR="009703BE" w:rsidRDefault="009703BE" w:rsidRPr="00482BDA">
      <w:pPr>
        <w:pStyle w:val="Paragraphedeliste"/>
      </w:pPr>
    </w:p>
    <w:p w14:paraId="03B2AFF9" w14:textId="720EBD00" w:rsidP="009703BE" w:rsidR="009703BE" w:rsidRDefault="009703BE" w:rsidRPr="00482BDA">
      <w:pPr>
        <w:pStyle w:val="Paragraphedeliste"/>
        <w:numPr>
          <w:ilvl w:val="0"/>
          <w:numId w:val="2"/>
        </w:numPr>
      </w:pPr>
      <w:r w:rsidRPr="00482BDA">
        <w:t>Revalorisation du forfait contremaitre, CNI, Coordinateur exploitation </w:t>
      </w:r>
      <w:r w:rsidR="009A7AC0">
        <w:t>de 17.05 à 21.06 euros en shift normal et de 28.48 à 32.15 euros en Overtime</w:t>
      </w:r>
    </w:p>
    <w:p w14:paraId="79158C11" w14:textId="77777777" w:rsidP="009703BE" w:rsidR="009703BE" w:rsidRDefault="009703BE" w:rsidRPr="00482BDA">
      <w:pPr>
        <w:pStyle w:val="Paragraphedeliste"/>
      </w:pPr>
    </w:p>
    <w:p w14:paraId="4AAB533F" w14:textId="0DF3E778" w:rsidP="009703BE" w:rsidR="009703BE" w:rsidRDefault="009703BE" w:rsidRPr="00482BDA">
      <w:pPr>
        <w:pStyle w:val="Paragraphedeliste"/>
        <w:numPr>
          <w:ilvl w:val="0"/>
          <w:numId w:val="2"/>
        </w:numPr>
      </w:pPr>
      <w:r w:rsidRPr="00482BDA">
        <w:t>Augmentation de la « prime de CNI » pour la passer à 16,00 € pour tous les shifts en lieu et place des 15,87 € en O</w:t>
      </w:r>
      <w:r w:rsidR="00A8782C">
        <w:t>vertime</w:t>
      </w:r>
      <w:r w:rsidRPr="00482BDA">
        <w:t xml:space="preserve"> et 13,71 € en JN. </w:t>
      </w:r>
    </w:p>
    <w:p w14:paraId="4FA611BF" w14:textId="40CEFEB6" w:rsidP="009532D2" w:rsidR="00465952" w:rsidRDefault="008213B5">
      <w:pPr>
        <w:tabs>
          <w:tab w:pos="1125" w:val="left"/>
        </w:tabs>
        <w:jc w:val="both"/>
      </w:pPr>
      <w:r>
        <w:t>Ce</w:t>
      </w:r>
      <w:r w:rsidR="008111B6">
        <w:t>s</w:t>
      </w:r>
      <w:r>
        <w:t xml:space="preserve"> revalorisation</w:t>
      </w:r>
      <w:r w:rsidR="008111B6">
        <w:t xml:space="preserve">s </w:t>
      </w:r>
      <w:r w:rsidR="00CC7A0A">
        <w:t>ser</w:t>
      </w:r>
      <w:r w:rsidR="008111B6">
        <w:t>ont</w:t>
      </w:r>
      <w:r w:rsidR="00DE1097">
        <w:t xml:space="preserve"> </w:t>
      </w:r>
      <w:r>
        <w:t>effective</w:t>
      </w:r>
      <w:r w:rsidR="008111B6">
        <w:t>s</w:t>
      </w:r>
      <w:r>
        <w:t xml:space="preserve"> à compter du bulletin du mois </w:t>
      </w:r>
      <w:r w:rsidR="0086439D" w:rsidRPr="006F58F1">
        <w:t>de mars 2022</w:t>
      </w:r>
      <w:r w:rsidR="005010AC">
        <w:t xml:space="preserve"> ou avril 2022 au plus tard</w:t>
      </w:r>
      <w:r w:rsidRPr="006F58F1">
        <w:t>.</w:t>
      </w:r>
    </w:p>
    <w:p w14:paraId="7562C13C" w14:textId="600E68A7" w:rsidP="009532D2" w:rsidR="00952174" w:rsidRDefault="004C4992">
      <w:pPr>
        <w:tabs>
          <w:tab w:pos="1125" w:val="left"/>
        </w:tabs>
        <w:jc w:val="both"/>
      </w:pPr>
      <w:r>
        <w:t xml:space="preserve">Un rappel de salaire sera également effectué pour appliquer </w:t>
      </w:r>
      <w:r w:rsidR="006F58F1">
        <w:t xml:space="preserve">ces revalorisations </w:t>
      </w:r>
      <w:r>
        <w:t>rétroactivement au 1</w:t>
      </w:r>
      <w:r w:rsidRPr="004C4992">
        <w:rPr>
          <w:vertAlign w:val="superscript"/>
        </w:rPr>
        <w:t>e</w:t>
      </w:r>
      <w:r>
        <w:t xml:space="preserve"> janvier 202</w:t>
      </w:r>
      <w:r w:rsidR="0086439D">
        <w:t>2</w:t>
      </w:r>
      <w:r w:rsidR="008F32C5">
        <w:t>.</w:t>
      </w:r>
    </w:p>
    <w:p w14:paraId="207774CE" w14:textId="7FA5CCB5" w:rsidP="009532D2" w:rsidR="00FF769F" w:rsidRDefault="006D56B5">
      <w:pPr>
        <w:tabs>
          <w:tab w:pos="1125" w:val="left"/>
        </w:tabs>
        <w:jc w:val="both"/>
      </w:pPr>
      <w:r>
        <w:t>Enfin</w:t>
      </w:r>
      <w:r w:rsidR="005B16F3">
        <w:t>,</w:t>
      </w:r>
      <w:r>
        <w:t xml:space="preserve"> des discussions sont en cours entre les entreprise</w:t>
      </w:r>
      <w:r w:rsidR="005B16F3">
        <w:t>s</w:t>
      </w:r>
      <w:r>
        <w:t xml:space="preserve"> de la </w:t>
      </w:r>
      <w:r w:rsidR="00BE20B0">
        <w:t>P</w:t>
      </w:r>
      <w:r>
        <w:t xml:space="preserve">lace </w:t>
      </w:r>
      <w:r w:rsidR="00BE20B0">
        <w:t>P</w:t>
      </w:r>
      <w:r>
        <w:t xml:space="preserve">ortuaire et l’Organisation </w:t>
      </w:r>
      <w:r w:rsidR="005B16F3">
        <w:t>S</w:t>
      </w:r>
      <w:r>
        <w:t xml:space="preserve">yndicale concernant </w:t>
      </w:r>
      <w:r w:rsidR="005B16F3">
        <w:t>l’attribution d’une</w:t>
      </w:r>
      <w:r>
        <w:t xml:space="preserve"> prime annuelle pour reconnaitre</w:t>
      </w:r>
      <w:r w:rsidR="005010AC">
        <w:t xml:space="preserve"> et </w:t>
      </w:r>
      <w:r>
        <w:t>valoriser le présentéisme</w:t>
      </w:r>
      <w:r w:rsidR="00FF769F">
        <w:t xml:space="preserve"> des salariés dockers</w:t>
      </w:r>
      <w:r>
        <w:t xml:space="preserve">. </w:t>
      </w:r>
      <w:r w:rsidR="00FF769F">
        <w:t>Les modalités de calculs et d’attribution seront précisées et communiquées ultérieurement.</w:t>
      </w:r>
    </w:p>
    <w:p w14:paraId="76AD727A" w14:textId="57EDB378" w:rsidP="009532D2" w:rsidR="008213B5" w:rsidRDefault="009532D2" w:rsidRPr="009532D2">
      <w:pPr>
        <w:tabs>
          <w:tab w:pos="1125" w:val="left"/>
        </w:tabs>
        <w:jc w:val="both"/>
        <w:rPr>
          <w:b/>
          <w:u w:val="single"/>
        </w:rPr>
      </w:pPr>
      <w:r w:rsidRPr="009532D2">
        <w:rPr>
          <w:b/>
          <w:u w:val="single"/>
        </w:rPr>
        <w:t>L’ensemble des catégories professionnelles non cadre de la direction technique</w:t>
      </w:r>
      <w:r w:rsidRPr="00503A76">
        <w:rPr>
          <w:b/>
        </w:rPr>
        <w:t> :</w:t>
      </w:r>
      <w:r w:rsidRPr="009532D2">
        <w:rPr>
          <w:b/>
          <w:u w:val="single"/>
        </w:rPr>
        <w:t xml:space="preserve"> </w:t>
      </w:r>
    </w:p>
    <w:p w14:paraId="34EC10C9" w14:textId="54844372" w:rsidP="00620BD6" w:rsidR="00C86DF3" w:rsidRDefault="002C2052">
      <w:pPr>
        <w:tabs>
          <w:tab w:pos="1125" w:val="left"/>
        </w:tabs>
        <w:jc w:val="both"/>
      </w:pPr>
      <w:r>
        <w:t xml:space="preserve">Pour l’année 2022, </w:t>
      </w:r>
      <w:r w:rsidR="00FF769F">
        <w:t>il a été décidé de geler les salaires pour</w:t>
      </w:r>
      <w:r w:rsidR="009532D2">
        <w:t xml:space="preserve"> </w:t>
      </w:r>
      <w:r w:rsidR="00FF769F">
        <w:t>l’ensemble d</w:t>
      </w:r>
      <w:r w:rsidR="009532D2">
        <w:t xml:space="preserve">es salariés </w:t>
      </w:r>
      <w:r w:rsidR="005C6517">
        <w:t>soumis aux grilles</w:t>
      </w:r>
      <w:r w:rsidR="009532D2">
        <w:t xml:space="preserve"> </w:t>
      </w:r>
      <w:r w:rsidR="005C6517">
        <w:t xml:space="preserve">de la </w:t>
      </w:r>
      <w:r w:rsidR="004A7B1D">
        <w:t>D</w:t>
      </w:r>
      <w:r w:rsidR="009532D2">
        <w:t xml:space="preserve">irection </w:t>
      </w:r>
      <w:r w:rsidR="004A7B1D">
        <w:t>T</w:t>
      </w:r>
      <w:r w:rsidR="009532D2">
        <w:t>echnique</w:t>
      </w:r>
      <w:r w:rsidR="005C6517">
        <w:t xml:space="preserve"> (accord du 9 mars 2015)</w:t>
      </w:r>
      <w:r w:rsidR="00C86DF3">
        <w:t>.</w:t>
      </w:r>
    </w:p>
    <w:p w14:paraId="74432C47" w14:textId="0B6798B6" w:rsidP="00620BD6" w:rsidR="00620BD6" w:rsidRDefault="00C86DF3">
      <w:pPr>
        <w:tabs>
          <w:tab w:pos="1125" w:val="left"/>
        </w:tabs>
        <w:jc w:val="both"/>
      </w:pPr>
      <w:r>
        <w:t>L’accord d’</w:t>
      </w:r>
      <w:r w:rsidR="00FF769F">
        <w:t xml:space="preserve">intéressement pour cette population </w:t>
      </w:r>
      <w:r>
        <w:t xml:space="preserve">sera revu </w:t>
      </w:r>
      <w:r w:rsidR="00FF769F">
        <w:t xml:space="preserve">avec une évolution à la hausse du plafond </w:t>
      </w:r>
      <w:r w:rsidR="00166B86">
        <w:t>individuel</w:t>
      </w:r>
      <w:r w:rsidR="00FF769F">
        <w:t xml:space="preserve"> annuel d’intéressement </w:t>
      </w:r>
      <w:r w:rsidR="00620BD6">
        <w:t>qui évolue de 4500 euros par an à 7800 euros par an. Cette disposition fera l’objet d’un avenant à l’accord d’intéressement d’ici le 30 juin 2022 au plus tard et emportera un effet rétroactif au 1</w:t>
      </w:r>
      <w:r w:rsidR="00620BD6" w:rsidRPr="00620BD6">
        <w:rPr>
          <w:vertAlign w:val="superscript"/>
        </w:rPr>
        <w:t>er</w:t>
      </w:r>
      <w:r w:rsidR="00620BD6">
        <w:t xml:space="preserve"> janvier 2022.</w:t>
      </w:r>
    </w:p>
    <w:p w14:paraId="51AF646F" w14:textId="4F3A0B48" w:rsidP="009532D2" w:rsidR="002641DC" w:rsidRDefault="00620BD6">
      <w:pPr>
        <w:tabs>
          <w:tab w:pos="1125" w:val="left"/>
        </w:tabs>
        <w:jc w:val="both"/>
      </w:pPr>
      <w:r>
        <w:t>Par ailleurs, il a été convenu de la nécessité de revoir les accords maintenance actuellement en vigueur au sein d’EUROFOS avec notamment une revue des grilles de salaire par type de fonction</w:t>
      </w:r>
      <w:r w:rsidR="00C86DF3">
        <w:t xml:space="preserve"> qui ne correspond</w:t>
      </w:r>
      <w:r w:rsidR="00ED7AFD">
        <w:t>ent</w:t>
      </w:r>
      <w:r w:rsidR="00C86DF3">
        <w:t xml:space="preserve"> plus au contexte actuel de la Direction technique</w:t>
      </w:r>
      <w:r>
        <w:t>, une mise à jour de certains planning</w:t>
      </w:r>
      <w:r w:rsidR="00ED7AFD">
        <w:t>s</w:t>
      </w:r>
      <w:r>
        <w:t xml:space="preserve"> et </w:t>
      </w:r>
      <w:r w:rsidR="00C86DF3">
        <w:t xml:space="preserve">du </w:t>
      </w:r>
      <w:r>
        <w:t>système d’organisation du travail (ex : astreintes, jours de non affectation, etc.). Cette négociation se tiendra à compter d</w:t>
      </w:r>
      <w:r w:rsidR="002C2052">
        <w:t>u mois d’</w:t>
      </w:r>
      <w:r>
        <w:t>avril 2022.</w:t>
      </w:r>
    </w:p>
    <w:p w14:paraId="2E427C28" w14:textId="77777777" w:rsidP="009532D2" w:rsidR="002C2052" w:rsidRDefault="002C2052" w:rsidRPr="002C2052">
      <w:pPr>
        <w:tabs>
          <w:tab w:pos="1125" w:val="left"/>
        </w:tabs>
        <w:jc w:val="both"/>
      </w:pPr>
    </w:p>
    <w:p w14:paraId="5A337A55" w14:textId="75BF1610" w:rsidP="009532D2" w:rsidR="00B044AE" w:rsidRDefault="002C2052">
      <w:pPr>
        <w:tabs>
          <w:tab w:pos="1125" w:val="left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Article 2 - </w:t>
      </w:r>
      <w:r w:rsidR="00ED4933" w:rsidRPr="002641D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</w:t>
      </w:r>
      <w:r w:rsidR="00ED4933" w:rsidRPr="002641DC">
        <w:rPr>
          <w:b/>
          <w:bCs/>
          <w:u w:val="single"/>
        </w:rPr>
        <w:t>édailles du travail</w:t>
      </w:r>
    </w:p>
    <w:p w14:paraId="2FF7A707" w14:textId="7B591B7A" w:rsidP="005C6517" w:rsidR="002641DC" w:rsidRDefault="002C2052">
      <w:pPr>
        <w:jc w:val="both"/>
      </w:pPr>
      <w:r w:rsidRPr="00FB4AF6">
        <w:t>Il est convenu qu’au-delà d’une ancienneté portuaire de 15 ans, les médailles du travail pour l’ensemble des salariés (mainteneurs, administratifs et dockers) ne seront plus proratisées, à compter de la session de juillet 2022.</w:t>
      </w:r>
    </w:p>
    <w:p w14:paraId="24800983" w14:textId="1695C49B" w:rsidP="002C2052" w:rsidR="002C2052" w:rsidRDefault="002C2052"/>
    <w:p w14:paraId="0AA422FD" w14:textId="77777777" w:rsidP="002C2052" w:rsidR="00C86DF3" w:rsidRDefault="00C86DF3" w:rsidRPr="002C2052"/>
    <w:p w14:paraId="3CFDE292" w14:textId="2D4F9988" w:rsidP="003619CB" w:rsidR="003619CB" w:rsidRDefault="003619CB" w:rsidRPr="009532D2">
      <w:pPr>
        <w:tabs>
          <w:tab w:pos="1125" w:val="left"/>
        </w:tabs>
        <w:jc w:val="both"/>
        <w:rPr>
          <w:b/>
          <w:u w:val="single"/>
        </w:rPr>
      </w:pPr>
      <w:r w:rsidRPr="009532D2">
        <w:rPr>
          <w:b/>
          <w:u w:val="single"/>
        </w:rPr>
        <w:lastRenderedPageBreak/>
        <w:t xml:space="preserve">Article </w:t>
      </w:r>
      <w:r w:rsidR="002C2052">
        <w:rPr>
          <w:b/>
          <w:u w:val="single"/>
        </w:rPr>
        <w:t>3</w:t>
      </w:r>
      <w:r w:rsidRPr="009532D2">
        <w:rPr>
          <w:b/>
          <w:u w:val="single"/>
        </w:rPr>
        <w:t xml:space="preserve"> – </w:t>
      </w:r>
      <w:r>
        <w:rPr>
          <w:b/>
          <w:u w:val="single"/>
        </w:rPr>
        <w:t>Temps de travail et partage de la valeur ajoutée</w:t>
      </w:r>
      <w:r w:rsidRPr="009532D2">
        <w:rPr>
          <w:b/>
          <w:u w:val="single"/>
        </w:rPr>
        <w:t xml:space="preserve"> : </w:t>
      </w:r>
    </w:p>
    <w:p w14:paraId="3D42AF06" w14:textId="55DEEB9F" w:rsidP="009532D2" w:rsidR="002641DC" w:rsidRDefault="003619CB">
      <w:pPr>
        <w:tabs>
          <w:tab w:pos="1125" w:val="left"/>
        </w:tabs>
        <w:jc w:val="both"/>
      </w:pPr>
      <w:r>
        <w:t>Les termes relatifs au temps de travail restent inchangés à ce jour</w:t>
      </w:r>
      <w:r w:rsidR="00B044AE">
        <w:t xml:space="preserve"> pour l’ensemble des salariés de l’entreprise</w:t>
      </w:r>
      <w:r>
        <w:t xml:space="preserve">. </w:t>
      </w:r>
    </w:p>
    <w:p w14:paraId="640216F0" w14:textId="77777777" w:rsidP="009532D2" w:rsidR="00C86DF3" w:rsidRDefault="00C86DF3">
      <w:pPr>
        <w:tabs>
          <w:tab w:pos="1125" w:val="left"/>
        </w:tabs>
        <w:jc w:val="both"/>
      </w:pPr>
    </w:p>
    <w:p w14:paraId="2DA114EA" w14:textId="67E7D772" w:rsidP="003619CB" w:rsidR="003619CB" w:rsidRDefault="003619CB" w:rsidRPr="009532D2">
      <w:pPr>
        <w:tabs>
          <w:tab w:pos="1125" w:val="left"/>
        </w:tabs>
        <w:jc w:val="both"/>
        <w:rPr>
          <w:b/>
          <w:u w:val="single"/>
        </w:rPr>
      </w:pPr>
      <w:r>
        <w:rPr>
          <w:b/>
          <w:u w:val="single"/>
        </w:rPr>
        <w:t xml:space="preserve">Article </w:t>
      </w:r>
      <w:r w:rsidR="002C2052">
        <w:rPr>
          <w:b/>
          <w:u w:val="single"/>
        </w:rPr>
        <w:t>4</w:t>
      </w:r>
      <w:r w:rsidRPr="009532D2">
        <w:rPr>
          <w:b/>
          <w:u w:val="single"/>
        </w:rPr>
        <w:t xml:space="preserve"> – </w:t>
      </w:r>
      <w:r>
        <w:rPr>
          <w:b/>
          <w:u w:val="single"/>
        </w:rPr>
        <w:t>Egalité entre femmes et hommes et qualité de vie au travail</w:t>
      </w:r>
      <w:r w:rsidRPr="009532D2">
        <w:rPr>
          <w:b/>
          <w:u w:val="single"/>
        </w:rPr>
        <w:t xml:space="preserve"> : </w:t>
      </w:r>
    </w:p>
    <w:p w14:paraId="5D7FAAFB" w14:textId="122CC382" w:rsidP="009532D2" w:rsidR="002641DC" w:rsidRDefault="0037150A">
      <w:pPr>
        <w:tabs>
          <w:tab w:pos="1125" w:val="left"/>
        </w:tabs>
        <w:jc w:val="both"/>
      </w:pPr>
      <w:r>
        <w:t>Le 28 février 202</w:t>
      </w:r>
      <w:r w:rsidR="001E7DB7">
        <w:t>2</w:t>
      </w:r>
      <w:r>
        <w:t xml:space="preserve">, </w:t>
      </w:r>
      <w:r w:rsidR="003619CB">
        <w:t>l’entreprise EUROFOS</w:t>
      </w:r>
      <w:r w:rsidR="001732D8">
        <w:t xml:space="preserve"> a publié un résultat de </w:t>
      </w:r>
      <w:r w:rsidR="004F60FD">
        <w:t>76</w:t>
      </w:r>
      <w:r w:rsidR="003619CB">
        <w:t xml:space="preserve"> </w:t>
      </w:r>
      <w:r>
        <w:t>au titre de au titre de l’Index Egalité Femmes/Hommes 2022 pour</w:t>
      </w:r>
      <w:r w:rsidR="001732D8">
        <w:t xml:space="preserve"> l’année 202</w:t>
      </w:r>
      <w:r w:rsidR="004F60FD">
        <w:t>1</w:t>
      </w:r>
      <w:r w:rsidR="001732D8">
        <w:t>.</w:t>
      </w:r>
      <w:r w:rsidR="00C112CE">
        <w:t xml:space="preserve"> Afin de favoriser une plus  grande égalité entre les femmes et les hommes de l’entreprise</w:t>
      </w:r>
      <w:r w:rsidR="00B044AE">
        <w:t xml:space="preserve"> et </w:t>
      </w:r>
      <w:r w:rsidR="00BE20B0">
        <w:t xml:space="preserve">pour </w:t>
      </w:r>
      <w:r w:rsidR="00B044AE">
        <w:t>améliorer la valeur de cet index</w:t>
      </w:r>
      <w:r w:rsidR="00C112CE">
        <w:t xml:space="preserve">, une réflexion paritaire </w:t>
      </w:r>
      <w:r w:rsidR="00B044AE">
        <w:t>est</w:t>
      </w:r>
      <w:r w:rsidR="00C112CE">
        <w:t xml:space="preserve"> engagée</w:t>
      </w:r>
      <w:r w:rsidR="000B6601">
        <w:t xml:space="preserve"> pour fixer des objectifs de progression</w:t>
      </w:r>
      <w:r w:rsidR="00445350">
        <w:t xml:space="preserve">. Ces objectifs </w:t>
      </w:r>
      <w:r w:rsidR="001E7DB7">
        <w:t>seront présentés en CSE et publiés sur les site internet d’Eurofos avant le 1</w:t>
      </w:r>
      <w:r w:rsidR="001E7DB7" w:rsidRPr="001E7DB7">
        <w:rPr>
          <w:vertAlign w:val="superscript"/>
        </w:rPr>
        <w:t>er</w:t>
      </w:r>
      <w:r w:rsidR="001E7DB7">
        <w:t xml:space="preserve"> septembre 2022.</w:t>
      </w:r>
    </w:p>
    <w:p w14:paraId="5A550434" w14:textId="77777777" w:rsidP="009532D2" w:rsidR="002C2052" w:rsidRDefault="002C2052">
      <w:pPr>
        <w:tabs>
          <w:tab w:pos="1125" w:val="left"/>
        </w:tabs>
        <w:jc w:val="both"/>
      </w:pPr>
    </w:p>
    <w:p w14:paraId="37E6E2CA" w14:textId="2F97A564" w:rsidP="009532D2" w:rsidR="009532D2" w:rsidRDefault="00B96146" w:rsidRPr="009532D2">
      <w:pPr>
        <w:tabs>
          <w:tab w:pos="1125" w:val="left"/>
        </w:tabs>
        <w:jc w:val="both"/>
        <w:rPr>
          <w:b/>
          <w:u w:val="single"/>
        </w:rPr>
      </w:pPr>
      <w:r>
        <w:rPr>
          <w:b/>
          <w:u w:val="single"/>
        </w:rPr>
        <w:t xml:space="preserve">Article </w:t>
      </w:r>
      <w:r w:rsidR="002C2052">
        <w:rPr>
          <w:b/>
          <w:u w:val="single"/>
        </w:rPr>
        <w:t>5</w:t>
      </w:r>
      <w:r w:rsidR="009532D2" w:rsidRPr="009532D2">
        <w:rPr>
          <w:b/>
          <w:u w:val="single"/>
        </w:rPr>
        <w:t xml:space="preserve"> – Date d’effet : </w:t>
      </w:r>
    </w:p>
    <w:p w14:paraId="2F972884" w14:textId="12DCA385" w:rsidP="009532D2" w:rsidR="009532D2" w:rsidRDefault="009532D2">
      <w:pPr>
        <w:tabs>
          <w:tab w:pos="1125" w:val="left"/>
        </w:tabs>
        <w:jc w:val="both"/>
      </w:pPr>
      <w:r>
        <w:t xml:space="preserve">Le présent accord s’entend </w:t>
      </w:r>
      <w:r w:rsidR="00FD5C6B">
        <w:t xml:space="preserve">à compter du </w:t>
      </w:r>
      <w:r>
        <w:t xml:space="preserve"> 1</w:t>
      </w:r>
      <w:r w:rsidRPr="009532D2">
        <w:rPr>
          <w:vertAlign w:val="superscript"/>
        </w:rPr>
        <w:t>er</w:t>
      </w:r>
      <w:r w:rsidR="00FD5C6B">
        <w:t xml:space="preserve"> janvier </w:t>
      </w:r>
      <w:r w:rsidR="00E50031">
        <w:t>202</w:t>
      </w:r>
      <w:r w:rsidR="00ED4933">
        <w:t>2</w:t>
      </w:r>
      <w:r w:rsidR="00203BF3">
        <w:t xml:space="preserve"> </w:t>
      </w:r>
      <w:r>
        <w:t>pour les calcul</w:t>
      </w:r>
      <w:r w:rsidR="00B96146">
        <w:t>s de revalorisations salariales</w:t>
      </w:r>
      <w:r w:rsidR="007518B1">
        <w:t xml:space="preserve"> et prend fin au 31 décembre 202</w:t>
      </w:r>
      <w:r w:rsidR="00ED4933">
        <w:t>2</w:t>
      </w:r>
      <w:r w:rsidR="007518B1">
        <w:t>.</w:t>
      </w:r>
    </w:p>
    <w:p w14:paraId="7BCDF5B3" w14:textId="77777777" w:rsidP="009532D2" w:rsidR="002641DC" w:rsidRDefault="002641DC">
      <w:pPr>
        <w:tabs>
          <w:tab w:pos="1125" w:val="left"/>
        </w:tabs>
        <w:jc w:val="both"/>
      </w:pPr>
    </w:p>
    <w:p w14:paraId="18005203" w14:textId="00F88F46" w:rsidP="009532D2" w:rsidR="009532D2" w:rsidRDefault="00B96146" w:rsidRPr="009532D2">
      <w:pPr>
        <w:tabs>
          <w:tab w:pos="1125" w:val="left"/>
        </w:tabs>
        <w:jc w:val="both"/>
        <w:rPr>
          <w:b/>
          <w:u w:val="single"/>
        </w:rPr>
      </w:pPr>
      <w:r>
        <w:rPr>
          <w:b/>
          <w:u w:val="single"/>
        </w:rPr>
        <w:t xml:space="preserve">Article </w:t>
      </w:r>
      <w:r w:rsidR="002C2052">
        <w:rPr>
          <w:b/>
          <w:u w:val="single"/>
        </w:rPr>
        <w:t>6</w:t>
      </w:r>
      <w:r w:rsidR="00B044AE">
        <w:rPr>
          <w:b/>
          <w:u w:val="single"/>
        </w:rPr>
        <w:t xml:space="preserve"> </w:t>
      </w:r>
      <w:r w:rsidR="009532D2" w:rsidRPr="009532D2">
        <w:rPr>
          <w:b/>
          <w:u w:val="single"/>
        </w:rPr>
        <w:t xml:space="preserve">– Notification et délai d’opposition : </w:t>
      </w:r>
    </w:p>
    <w:p w14:paraId="285459F3" w14:textId="5A9D3284" w:rsidP="009532D2" w:rsidR="009532D2" w:rsidRDefault="009532D2">
      <w:pPr>
        <w:tabs>
          <w:tab w:pos="1125" w:val="left"/>
        </w:tabs>
        <w:jc w:val="both"/>
      </w:pPr>
      <w:r>
        <w:t>Après signature du présent accord, celui-ci sera notifié à l’organisation syndicale représentative et sera déposé à l’issue du délai d’opposition en vigueur.</w:t>
      </w:r>
    </w:p>
    <w:p w14:paraId="6E141D03" w14:textId="77777777" w:rsidP="009532D2" w:rsidR="002641DC" w:rsidRDefault="002641DC">
      <w:pPr>
        <w:tabs>
          <w:tab w:pos="1125" w:val="left"/>
        </w:tabs>
        <w:jc w:val="both"/>
      </w:pPr>
    </w:p>
    <w:p w14:paraId="470B82A3" w14:textId="15657891" w:rsidP="009532D2" w:rsidR="009532D2" w:rsidRDefault="00B96146" w:rsidRPr="00661DE7">
      <w:pPr>
        <w:tabs>
          <w:tab w:pos="1125" w:val="left"/>
        </w:tabs>
        <w:jc w:val="both"/>
        <w:rPr>
          <w:b/>
          <w:u w:val="single"/>
        </w:rPr>
      </w:pPr>
      <w:r>
        <w:rPr>
          <w:b/>
          <w:u w:val="single"/>
        </w:rPr>
        <w:t xml:space="preserve">Article </w:t>
      </w:r>
      <w:r w:rsidR="002C2052">
        <w:rPr>
          <w:b/>
          <w:u w:val="single"/>
        </w:rPr>
        <w:t>7</w:t>
      </w:r>
      <w:r w:rsidR="009532D2" w:rsidRPr="00661DE7">
        <w:rPr>
          <w:b/>
          <w:u w:val="single"/>
        </w:rPr>
        <w:t xml:space="preserve"> – Modalité de dépôt de l’accord : </w:t>
      </w:r>
    </w:p>
    <w:p w14:paraId="1F9F8C5F" w14:textId="3C591EF5" w:rsidP="009532D2" w:rsidR="005D41C4" w:rsidRDefault="005D41C4">
      <w:pPr>
        <w:tabs>
          <w:tab w:pos="1125" w:val="left"/>
        </w:tabs>
        <w:jc w:val="both"/>
      </w:pPr>
      <w:r>
        <w:t xml:space="preserve">Conformément au </w:t>
      </w:r>
      <w:r w:rsidR="00ED4933">
        <w:t>C</w:t>
      </w:r>
      <w:r>
        <w:t xml:space="preserve">ode du </w:t>
      </w:r>
      <w:r w:rsidR="00ED4933">
        <w:t>T</w:t>
      </w:r>
      <w:r>
        <w:t>ravail (articles R2231-1 à R2231-9) et à l’ordonnance n°2017-1385 du 22 septembre 2017, le présent accord, à</w:t>
      </w:r>
      <w:r w:rsidR="009532D2">
        <w:t xml:space="preserve"> l’initiative de la partie la plus diligente, sera déposé</w:t>
      </w:r>
      <w:r>
        <w:t xml:space="preserve"> sur la plateforme en ligne </w:t>
      </w:r>
      <w:proofErr w:type="spellStart"/>
      <w:r>
        <w:t>TéléAccords</w:t>
      </w:r>
      <w:proofErr w:type="spellEnd"/>
      <w:r>
        <w:t xml:space="preserve"> qui transmettra ensuite </w:t>
      </w:r>
      <w:r w:rsidR="009532D2">
        <w:t>à la DIRECCTE</w:t>
      </w:r>
      <w:r>
        <w:t>.</w:t>
      </w:r>
      <w:r w:rsidR="009532D2">
        <w:t xml:space="preserve"> </w:t>
      </w:r>
    </w:p>
    <w:p w14:paraId="46D8D43B" w14:textId="078FDA2D" w:rsidP="009532D2" w:rsidR="009532D2" w:rsidRDefault="005D41C4">
      <w:pPr>
        <w:tabs>
          <w:tab w:pos="1125" w:val="left"/>
        </w:tabs>
        <w:jc w:val="both"/>
      </w:pPr>
      <w:r>
        <w:t>Un exemplaire original sera également transmis par voie postale</w:t>
      </w:r>
      <w:r w:rsidR="00CE1E35">
        <w:t xml:space="preserve"> </w:t>
      </w:r>
      <w:r w:rsidR="009532D2">
        <w:t>au greffe du Conseil des Prud’hommes</w:t>
      </w:r>
      <w:r w:rsidR="00ED4933">
        <w:t xml:space="preserve"> d’Arles.</w:t>
      </w:r>
    </w:p>
    <w:p w14:paraId="0752AC5C" w14:textId="77777777" w:rsidP="009532D2" w:rsidR="009532D2" w:rsidRDefault="009532D2">
      <w:pPr>
        <w:tabs>
          <w:tab w:pos="1125" w:val="left"/>
        </w:tabs>
        <w:jc w:val="both"/>
      </w:pPr>
    </w:p>
    <w:p w14:paraId="09AAFF7F" w14:textId="5C5D12E2" w:rsidP="009532D2" w:rsidR="009532D2" w:rsidRDefault="009532D2">
      <w:pPr>
        <w:tabs>
          <w:tab w:pos="1125" w:val="left"/>
        </w:tabs>
        <w:jc w:val="both"/>
      </w:pPr>
      <w:r>
        <w:t xml:space="preserve">Fait en </w:t>
      </w:r>
      <w:r w:rsidR="00FD5C6B">
        <w:t>4</w:t>
      </w:r>
      <w:r>
        <w:t xml:space="preserve"> exemplaires à Port Saint Louis du Rhône</w:t>
      </w:r>
      <w:r w:rsidRPr="007518B1">
        <w:rPr>
          <w:color w:themeColor="text1" w:val="000000"/>
        </w:rPr>
        <w:t xml:space="preserve">, </w:t>
      </w:r>
      <w:r w:rsidR="00FD5C6B" w:rsidRPr="007518B1">
        <w:rPr>
          <w:color w:themeColor="text1" w:val="000000"/>
        </w:rPr>
        <w:t xml:space="preserve">le </w:t>
      </w:r>
      <w:r w:rsidR="002C2052" w:rsidRPr="002C2052">
        <w:rPr>
          <w:color w:themeColor="text1" w:val="000000"/>
        </w:rPr>
        <w:t>2</w:t>
      </w:r>
      <w:r w:rsidR="00ED4933" w:rsidRPr="002C2052">
        <w:rPr>
          <w:color w:themeColor="text1" w:val="000000"/>
        </w:rPr>
        <w:t>/03/2022.</w:t>
      </w:r>
    </w:p>
    <w:p w14:paraId="001855DA" w14:textId="77777777" w:rsidP="009532D2" w:rsidR="009532D2" w:rsidRDefault="009532D2">
      <w:pPr>
        <w:tabs>
          <w:tab w:pos="1125" w:val="left"/>
        </w:tabs>
        <w:jc w:val="both"/>
      </w:pPr>
    </w:p>
    <w:p w14:paraId="40A22DD7" w14:textId="77777777" w:rsidP="009532D2" w:rsidR="00261776" w:rsidRDefault="009532D2">
      <w:pPr>
        <w:tabs>
          <w:tab w:pos="1125" w:val="left"/>
        </w:tabs>
        <w:spacing w:after="0"/>
        <w:jc w:val="both"/>
      </w:pPr>
      <w:r>
        <w:t>Pour l’organisation syndicale CGT des ouvriers</w:t>
      </w:r>
      <w:r w:rsidR="008213B5">
        <w:tab/>
      </w:r>
      <w:r>
        <w:tab/>
      </w:r>
      <w:r>
        <w:tab/>
      </w:r>
      <w:r>
        <w:tab/>
        <w:t>Pour l’entreprise</w:t>
      </w:r>
    </w:p>
    <w:p w14:paraId="28C559F0" w14:textId="77777777" w:rsidP="009532D2" w:rsidR="009532D2" w:rsidRDefault="009532D2">
      <w:pPr>
        <w:tabs>
          <w:tab w:pos="1125" w:val="left"/>
        </w:tabs>
        <w:spacing w:after="0"/>
        <w:jc w:val="both"/>
      </w:pPr>
      <w:r>
        <w:t>Dockers et des personnels de la Manutention portuaire</w:t>
      </w:r>
    </w:p>
    <w:p w14:paraId="36182295" w14:textId="65FEEC12" w:rsidP="009532D2" w:rsidR="009532D2" w:rsidRDefault="009532D2">
      <w:pPr>
        <w:tabs>
          <w:tab w:pos="1125" w:val="left"/>
        </w:tabs>
        <w:spacing w:after="0"/>
        <w:jc w:val="both"/>
      </w:pPr>
      <w:r>
        <w:t xml:space="preserve">Du </w:t>
      </w:r>
      <w:r w:rsidR="00E50031">
        <w:t>G</w:t>
      </w:r>
      <w:r>
        <w:t xml:space="preserve">olfe de </w:t>
      </w:r>
      <w:r w:rsidR="00E50031">
        <w:t>F</w:t>
      </w:r>
      <w:r>
        <w:t>os.</w:t>
      </w:r>
    </w:p>
    <w:p w14:paraId="56F3722A" w14:textId="77777777" w:rsidP="009532D2" w:rsidR="00913C95" w:rsidRDefault="00913C95">
      <w:pPr>
        <w:tabs>
          <w:tab w:pos="1125" w:val="left"/>
        </w:tabs>
        <w:spacing w:after="0"/>
        <w:jc w:val="both"/>
      </w:pPr>
    </w:p>
    <w:p w14:paraId="546F8C66" w14:textId="3F3A3EC5" w:rsidP="00913C95" w:rsidR="00913C95" w:rsidRDefault="00B303B7" w:rsidRPr="002C2052">
      <w:pPr>
        <w:tabs>
          <w:tab w:pos="1125" w:val="left"/>
        </w:tabs>
        <w:spacing w:after="0"/>
        <w:jc w:val="both"/>
      </w:pPr>
      <w:r>
        <w:t>XXXXXXXXXXXXXXX</w:t>
      </w:r>
      <w:r w:rsidR="009532D2">
        <w:t xml:space="preserve">, </w:t>
      </w:r>
      <w:r w:rsidR="00913C95">
        <w:tab/>
      </w:r>
      <w:r w:rsidR="00913C95">
        <w:tab/>
      </w:r>
      <w:r w:rsidR="00913C95">
        <w:tab/>
      </w:r>
      <w:r w:rsidR="00913C95">
        <w:tab/>
      </w:r>
      <w:r w:rsidR="00913C95">
        <w:tab/>
      </w:r>
      <w:r w:rsidR="00913C95">
        <w:tab/>
      </w:r>
      <w:r w:rsidR="00913C95">
        <w:tab/>
      </w:r>
      <w:r>
        <w:t>XXXXXXXXXXXXX</w:t>
      </w:r>
    </w:p>
    <w:p w14:paraId="566A0869" w14:textId="77777777" w:rsidP="00913C95" w:rsidR="009532D2" w:rsidRDefault="009532D2" w:rsidRPr="008213B5">
      <w:pPr>
        <w:tabs>
          <w:tab w:pos="1125" w:val="left"/>
        </w:tabs>
        <w:spacing w:after="0"/>
        <w:jc w:val="both"/>
      </w:pPr>
      <w:r w:rsidRPr="002C2052">
        <w:t>Délégué Syndical</w:t>
      </w:r>
      <w:r w:rsidRPr="002C2052">
        <w:tab/>
      </w:r>
      <w:r w:rsidRPr="002C2052">
        <w:tab/>
      </w:r>
      <w:r w:rsidRPr="002C2052">
        <w:tab/>
      </w:r>
      <w:r w:rsidRPr="002C2052">
        <w:tab/>
      </w:r>
      <w:r w:rsidRPr="002C2052">
        <w:tab/>
      </w:r>
      <w:r w:rsidR="00913C95" w:rsidRPr="002C2052">
        <w:tab/>
      </w:r>
      <w:r w:rsidR="00913C95" w:rsidRPr="002C2052">
        <w:tab/>
      </w:r>
      <w:r w:rsidRPr="002C2052">
        <w:t>Gérant</w:t>
      </w:r>
    </w:p>
    <w:sectPr w:rsidR="009532D2" w:rsidRPr="008213B5" w:rsidSect="00952174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8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773D" w14:textId="77777777" w:rsidR="008B409D" w:rsidRDefault="008B409D" w:rsidP="00E95D3D">
      <w:pPr>
        <w:spacing w:after="0" w:line="240" w:lineRule="auto"/>
      </w:pPr>
      <w:r>
        <w:separator/>
      </w:r>
    </w:p>
  </w:endnote>
  <w:endnote w:type="continuationSeparator" w:id="0">
    <w:p w14:paraId="1CA9CE3B" w14:textId="77777777" w:rsidR="008B409D" w:rsidRDefault="008B409D" w:rsidP="00E9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011786F" w14:textId="77777777" w:rsidR="00D52596" w:rsidRDefault="00D52596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877113311"/>
      <w:docPartObj>
        <w:docPartGallery w:val="Page Numbers (Bottom of Page)"/>
        <w:docPartUnique/>
      </w:docPartObj>
    </w:sdtPr>
    <w:sdtEndPr/>
    <w:sdtContent>
      <w:p w14:paraId="529E37EA" w14:textId="69454893" w:rsidR="00E95D3D" w:rsidRDefault="00E95D3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D52596">
          <w:t>/3</w:t>
        </w:r>
      </w:p>
    </w:sdtContent>
  </w:sdt>
  <w:p w14:paraId="1D2D4A0B" w14:textId="77777777" w:rsidR="00E95D3D" w:rsidRDefault="00E95D3D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C7D3896" w14:textId="77777777" w:rsidR="00D52596" w:rsidRDefault="00D52596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2D6D8B9" w14:textId="77777777" w:rsidP="00E95D3D" w:rsidR="008B409D" w:rsidRDefault="008B409D">
      <w:pPr>
        <w:spacing w:after="0" w:line="240" w:lineRule="auto"/>
      </w:pPr>
      <w:r>
        <w:separator/>
      </w:r>
    </w:p>
  </w:footnote>
  <w:footnote w:id="0" w:type="continuationSeparator">
    <w:p w14:paraId="0C5B98D7" w14:textId="77777777" w:rsidP="00E95D3D" w:rsidR="008B409D" w:rsidRDefault="008B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77E21D" w14:textId="77777777" w:rsidR="00D52596" w:rsidRDefault="00D52596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ED0AFCB" w14:textId="1C72E514" w:rsidR="00952174" w:rsidRDefault="00952174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9264" simplePos="0" wp14:anchorId="7ECAE2FD" wp14:editId="068197E9">
          <wp:simplePos x="0" y="0"/>
          <wp:positionH relativeFrom="column">
            <wp:posOffset>-381000</wp:posOffset>
          </wp:positionH>
          <wp:positionV relativeFrom="topMargin">
            <wp:posOffset>125095</wp:posOffset>
          </wp:positionV>
          <wp:extent cx="1219200" cy="857250"/>
          <wp:effectExtent b="0" l="0" r="0" t="0"/>
          <wp:wrapSquare wrapText="bothSides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39C9D1C" w14:textId="77777777" w:rsidR="00D52596" w:rsidRDefault="00D52596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8A01C2E"/>
    <w:multiLevelType w:val="hybridMultilevel"/>
    <w:tmpl w:val="CCA209DC"/>
    <w:lvl w:ilvl="0" w:tplc="0FBC1AAE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6C8901F1"/>
    <w:multiLevelType w:val="hybridMultilevel"/>
    <w:tmpl w:val="013A57FA"/>
    <w:lvl w:ilvl="0" w:tplc="E1FE70C0">
      <w:start w:val="6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1843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FB"/>
    <w:rsid w:val="00033783"/>
    <w:rsid w:val="0004332F"/>
    <w:rsid w:val="000628E3"/>
    <w:rsid w:val="00084D06"/>
    <w:rsid w:val="00087C38"/>
    <w:rsid w:val="000B6601"/>
    <w:rsid w:val="000C68AE"/>
    <w:rsid w:val="00117B13"/>
    <w:rsid w:val="00166B86"/>
    <w:rsid w:val="001732D8"/>
    <w:rsid w:val="00174950"/>
    <w:rsid w:val="00186405"/>
    <w:rsid w:val="001D1512"/>
    <w:rsid w:val="001E3EB6"/>
    <w:rsid w:val="001E7DB7"/>
    <w:rsid w:val="00203BF3"/>
    <w:rsid w:val="002054C3"/>
    <w:rsid w:val="00261776"/>
    <w:rsid w:val="002634ED"/>
    <w:rsid w:val="002641DC"/>
    <w:rsid w:val="002C2052"/>
    <w:rsid w:val="00302B17"/>
    <w:rsid w:val="00305B80"/>
    <w:rsid w:val="003100F7"/>
    <w:rsid w:val="0032318F"/>
    <w:rsid w:val="003406A0"/>
    <w:rsid w:val="0034700A"/>
    <w:rsid w:val="00347184"/>
    <w:rsid w:val="00347B17"/>
    <w:rsid w:val="00351417"/>
    <w:rsid w:val="003619CB"/>
    <w:rsid w:val="003712FA"/>
    <w:rsid w:val="0037150A"/>
    <w:rsid w:val="003B6411"/>
    <w:rsid w:val="003B7798"/>
    <w:rsid w:val="004143C3"/>
    <w:rsid w:val="00445350"/>
    <w:rsid w:val="00450C5A"/>
    <w:rsid w:val="00465952"/>
    <w:rsid w:val="004A12FB"/>
    <w:rsid w:val="004A7B1D"/>
    <w:rsid w:val="004B66D0"/>
    <w:rsid w:val="004C4992"/>
    <w:rsid w:val="004D44D6"/>
    <w:rsid w:val="004F60FD"/>
    <w:rsid w:val="005010AC"/>
    <w:rsid w:val="00503A76"/>
    <w:rsid w:val="005A2EB9"/>
    <w:rsid w:val="005A7428"/>
    <w:rsid w:val="005B16F3"/>
    <w:rsid w:val="005C6517"/>
    <w:rsid w:val="005C7922"/>
    <w:rsid w:val="005D41C4"/>
    <w:rsid w:val="005F5135"/>
    <w:rsid w:val="00620BD6"/>
    <w:rsid w:val="00655B8D"/>
    <w:rsid w:val="00661DE7"/>
    <w:rsid w:val="006A5282"/>
    <w:rsid w:val="006C0375"/>
    <w:rsid w:val="006D56B5"/>
    <w:rsid w:val="006F4495"/>
    <w:rsid w:val="006F58F1"/>
    <w:rsid w:val="0071657A"/>
    <w:rsid w:val="00717484"/>
    <w:rsid w:val="007518B1"/>
    <w:rsid w:val="007A38A3"/>
    <w:rsid w:val="007B18D4"/>
    <w:rsid w:val="007C5589"/>
    <w:rsid w:val="007F7C59"/>
    <w:rsid w:val="008111B6"/>
    <w:rsid w:val="00820513"/>
    <w:rsid w:val="008213B5"/>
    <w:rsid w:val="00833C01"/>
    <w:rsid w:val="0086284A"/>
    <w:rsid w:val="0086439D"/>
    <w:rsid w:val="008721E6"/>
    <w:rsid w:val="00886418"/>
    <w:rsid w:val="008B409D"/>
    <w:rsid w:val="008D0AFD"/>
    <w:rsid w:val="008F32C5"/>
    <w:rsid w:val="00913C95"/>
    <w:rsid w:val="00952174"/>
    <w:rsid w:val="009532D2"/>
    <w:rsid w:val="00962E32"/>
    <w:rsid w:val="009703BE"/>
    <w:rsid w:val="00977FB5"/>
    <w:rsid w:val="009A7AC0"/>
    <w:rsid w:val="009C2B2F"/>
    <w:rsid w:val="009E3ECA"/>
    <w:rsid w:val="00A8782C"/>
    <w:rsid w:val="00AA7723"/>
    <w:rsid w:val="00AB1BAB"/>
    <w:rsid w:val="00AF2C1B"/>
    <w:rsid w:val="00B044AE"/>
    <w:rsid w:val="00B303B7"/>
    <w:rsid w:val="00B31C0B"/>
    <w:rsid w:val="00B539FB"/>
    <w:rsid w:val="00B96146"/>
    <w:rsid w:val="00BE20B0"/>
    <w:rsid w:val="00C112CE"/>
    <w:rsid w:val="00C264E9"/>
    <w:rsid w:val="00C41EA7"/>
    <w:rsid w:val="00C47E1B"/>
    <w:rsid w:val="00C86DF3"/>
    <w:rsid w:val="00CC7A0A"/>
    <w:rsid w:val="00CE1E35"/>
    <w:rsid w:val="00D02D12"/>
    <w:rsid w:val="00D44104"/>
    <w:rsid w:val="00D52596"/>
    <w:rsid w:val="00D73368"/>
    <w:rsid w:val="00DE1097"/>
    <w:rsid w:val="00E50031"/>
    <w:rsid w:val="00E723F8"/>
    <w:rsid w:val="00E9096A"/>
    <w:rsid w:val="00E910E5"/>
    <w:rsid w:val="00E945CA"/>
    <w:rsid w:val="00E95D3D"/>
    <w:rsid w:val="00EA2E93"/>
    <w:rsid w:val="00ED4933"/>
    <w:rsid w:val="00ED7AFD"/>
    <w:rsid w:val="00EF590A"/>
    <w:rsid w:val="00F12BD1"/>
    <w:rsid w:val="00F17DF1"/>
    <w:rsid w:val="00F259E3"/>
    <w:rsid w:val="00F50B3C"/>
    <w:rsid w:val="00FA40F4"/>
    <w:rsid w:val="00FC5773"/>
    <w:rsid w:val="00FD5C6B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8433" v:ext="edit"/>
    <o:shapelayout v:ext="edit">
      <o:idmap data="1" v:ext="edit"/>
    </o:shapelayout>
  </w:shapeDefaults>
  <w:decimalSymbol w:val=","/>
  <w:listSeparator w:val=";"/>
  <w14:docId w14:val="4B0647CA"/>
  <w15:chartTrackingRefBased/>
  <w15:docId w15:val="{58BE63F7-66D6-4AAD-9B25-C0852198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9C2B2F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4B66D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B66D0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E95D3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95D3D"/>
  </w:style>
  <w:style w:styleId="Pieddepage" w:type="paragraph">
    <w:name w:val="footer"/>
    <w:basedOn w:val="Normal"/>
    <w:link w:val="PieddepageCar"/>
    <w:uiPriority w:val="99"/>
    <w:unhideWhenUsed/>
    <w:rsid w:val="00E95D3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9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5458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2022-03-23T11:44:00Z</dcterms:created>
  <cp:lastPrinted>2022-03-18T10:41:00Z</cp:lastPrinted>
  <dcterms:modified xsi:type="dcterms:W3CDTF">2022-03-23T11:44:00Z</dcterms:modified>
  <cp:revision>2</cp:revision>
</cp:coreProperties>
</file>