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2C219E" w:rsidRDefault="002C219E">
      <w:pPr>
        <w:ind w:left="1140" w:right="1138"/>
        <w:rPr>
          <w:rFonts w:ascii="Calibri" w:cs="Calibri" w:eastAsia="Calibri" w:hAnsi="Calibri"/>
        </w:rPr>
      </w:pPr>
    </w:p>
    <w:p w:rsidR="002C219E" w:rsidRDefault="002C219E">
      <w:pPr>
        <w:pBdr>
          <w:top w:color="000000" w:space="1" w:sz="4" w:val="single"/>
          <w:left w:color="000000" w:space="4" w:sz="4" w:val="single"/>
          <w:bottom w:color="000000" w:space="1" w:sz="4" w:val="single"/>
          <w:right w:color="000000" w:space="4" w:sz="4" w:val="single"/>
        </w:pBdr>
        <w:ind w:left="1140" w:right="1138"/>
        <w:jc w:val="center"/>
        <w:rPr>
          <w:rFonts w:ascii="Calibri" w:cs="Calibri" w:eastAsia="Calibri" w:hAnsi="Calibri"/>
          <w:b/>
          <w:sz w:val="28"/>
          <w:szCs w:val="28"/>
        </w:rPr>
      </w:pPr>
    </w:p>
    <w:p w:rsidR="002C219E" w:rsidRDefault="003401F1">
      <w:pPr>
        <w:pBdr>
          <w:top w:color="000000" w:space="1" w:sz="4" w:val="single"/>
          <w:left w:color="000000" w:space="4" w:sz="4" w:val="single"/>
          <w:bottom w:color="000000" w:space="1" w:sz="4" w:val="single"/>
          <w:right w:color="000000" w:space="4" w:sz="4" w:val="single"/>
        </w:pBdr>
        <w:ind w:left="1140" w:right="1138"/>
        <w:jc w:val="center"/>
        <w:rPr>
          <w:rFonts w:ascii="Calibri" w:cs="Calibri" w:eastAsia="Calibri" w:hAnsi="Calibri"/>
          <w:b/>
          <w:sz w:val="28"/>
          <w:szCs w:val="28"/>
        </w:rPr>
      </w:pPr>
      <w:r>
        <w:rPr>
          <w:rFonts w:ascii="Calibri" w:cs="Calibri" w:eastAsia="Calibri" w:hAnsi="Calibri"/>
          <w:b/>
          <w:sz w:val="28"/>
          <w:szCs w:val="28"/>
        </w:rPr>
        <w:t>PROTOCOLE D’ACCORD PORTANT</w:t>
      </w:r>
    </w:p>
    <w:p w:rsidR="002C219E" w:rsidRDefault="003401F1">
      <w:pPr>
        <w:pBdr>
          <w:top w:color="000000" w:space="1" w:sz="4" w:val="single"/>
          <w:left w:color="000000" w:space="4" w:sz="4" w:val="single"/>
          <w:bottom w:color="000000" w:space="1" w:sz="4" w:val="single"/>
          <w:right w:color="000000" w:space="4" w:sz="4" w:val="single"/>
        </w:pBdr>
        <w:ind w:left="1140" w:right="1138"/>
        <w:jc w:val="center"/>
        <w:rPr>
          <w:rFonts w:ascii="Calibri" w:cs="Calibri" w:eastAsia="Calibri" w:hAnsi="Calibri"/>
          <w:b/>
          <w:sz w:val="28"/>
          <w:szCs w:val="28"/>
        </w:rPr>
      </w:pPr>
      <w:r>
        <w:rPr>
          <w:rFonts w:ascii="Calibri" w:cs="Calibri" w:eastAsia="Calibri" w:hAnsi="Calibri"/>
          <w:b/>
          <w:sz w:val="28"/>
          <w:szCs w:val="28"/>
        </w:rPr>
        <w:t>SUR LA NÉGOCIATION ANNUELLE OBLIGATOIRE 2022</w:t>
      </w:r>
    </w:p>
    <w:p w:rsidR="002C219E" w:rsidRDefault="003401F1">
      <w:pPr>
        <w:pBdr>
          <w:top w:color="000000" w:space="1" w:sz="4" w:val="single"/>
          <w:left w:color="000000" w:space="4" w:sz="4" w:val="single"/>
          <w:bottom w:color="000000" w:space="1" w:sz="4" w:val="single"/>
          <w:right w:color="000000" w:space="4" w:sz="4" w:val="single"/>
        </w:pBdr>
        <w:ind w:left="1140" w:right="1138"/>
        <w:jc w:val="center"/>
        <w:rPr>
          <w:rFonts w:ascii="Calibri" w:cs="Calibri" w:eastAsia="Calibri" w:hAnsi="Calibri"/>
          <w:b/>
          <w:sz w:val="28"/>
          <w:szCs w:val="28"/>
        </w:rPr>
      </w:pPr>
      <w:r>
        <w:rPr>
          <w:rFonts w:ascii="Calibri" w:cs="Calibri" w:eastAsia="Calibri" w:hAnsi="Calibri"/>
          <w:b/>
          <w:sz w:val="28"/>
          <w:szCs w:val="28"/>
        </w:rPr>
        <w:t>Société SPGS</w:t>
      </w:r>
    </w:p>
    <w:p w:rsidR="002C219E" w:rsidRDefault="002C219E">
      <w:pPr>
        <w:pBdr>
          <w:top w:color="000000" w:space="1" w:sz="4" w:val="single"/>
          <w:left w:color="000000" w:space="4" w:sz="4" w:val="single"/>
          <w:bottom w:color="000000" w:space="1" w:sz="4" w:val="single"/>
          <w:right w:color="000000" w:space="4" w:sz="4" w:val="single"/>
        </w:pBdr>
        <w:ind w:left="1140" w:right="1138"/>
        <w:jc w:val="center"/>
        <w:rPr>
          <w:rFonts w:ascii="Calibri" w:cs="Calibri" w:eastAsia="Calibri" w:hAnsi="Calibri"/>
          <w:b/>
          <w:sz w:val="28"/>
          <w:szCs w:val="28"/>
        </w:rPr>
      </w:pPr>
    </w:p>
    <w:p w:rsidR="002C219E" w:rsidRDefault="002C219E">
      <w:pPr>
        <w:ind w:left="1140" w:right="1138"/>
        <w:rPr>
          <w:rFonts w:ascii="Calibri" w:cs="Calibri" w:eastAsia="Calibri" w:hAnsi="Calibri"/>
          <w:b/>
        </w:rPr>
      </w:pPr>
    </w:p>
    <w:p w:rsidR="002C219E" w:rsidRDefault="003401F1">
      <w:pPr>
        <w:spacing w:after="200"/>
        <w:ind w:left="1133" w:right="996"/>
        <w:jc w:val="both"/>
        <w:rPr>
          <w:rFonts w:ascii="Calibri" w:cs="Calibri" w:eastAsia="Calibri" w:hAnsi="Calibri"/>
          <w:b/>
          <w:sz w:val="24"/>
          <w:szCs w:val="24"/>
        </w:rPr>
      </w:pPr>
      <w:r>
        <w:rPr>
          <w:rFonts w:ascii="Calibri" w:cs="Calibri" w:eastAsia="Calibri" w:hAnsi="Calibri"/>
          <w:b/>
          <w:sz w:val="24"/>
          <w:szCs w:val="24"/>
        </w:rPr>
        <w:t xml:space="preserve">ENTRE : </w:t>
      </w:r>
    </w:p>
    <w:p w:rsidR="002C219E" w:rsidRDefault="003401F1">
      <w:pPr>
        <w:ind w:left="1140" w:right="1138"/>
        <w:jc w:val="both"/>
        <w:rPr>
          <w:rFonts w:ascii="Calibri" w:cs="Calibri" w:eastAsia="Calibri" w:hAnsi="Calibri"/>
          <w:sz w:val="24"/>
          <w:szCs w:val="24"/>
        </w:rPr>
      </w:pPr>
      <w:r>
        <w:t>La Société Provençale de Gestion et de Services (SPGS), i</w:t>
      </w:r>
      <w:r>
        <w:rPr>
          <w:rFonts w:ascii="Calibri" w:cs="Calibri" w:eastAsia="Calibri" w:hAnsi="Calibri"/>
          <w:sz w:val="24"/>
          <w:szCs w:val="24"/>
        </w:rPr>
        <w:t xml:space="preserve">mmatriculée au RCS d’Aix en Provence sous le numéro </w:t>
      </w:r>
      <w:r>
        <w:t>331 454 629 00055</w:t>
      </w:r>
      <w:r>
        <w:rPr>
          <w:rFonts w:ascii="Calibri" w:cs="Calibri" w:eastAsia="Calibri" w:hAnsi="Calibri"/>
          <w:sz w:val="24"/>
          <w:szCs w:val="24"/>
        </w:rPr>
        <w:t xml:space="preserve"> </w:t>
      </w:r>
      <w:r>
        <w:t>dont le siège social est situé 275 avenue Pierre Duhem - 13856 Aix-en-Provence</w:t>
      </w:r>
      <w:r>
        <w:rPr>
          <w:rFonts w:ascii="Calibri" w:cs="Calibri" w:eastAsia="Calibri" w:hAnsi="Calibri"/>
          <w:sz w:val="24"/>
          <w:szCs w:val="24"/>
        </w:rPr>
        <w:t xml:space="preserve"> et représentée par </w:t>
      </w:r>
      <w:r>
        <w:rPr>
          <w:rFonts w:ascii="Calibri" w:cs="Calibri" w:eastAsia="Calibri" w:hAnsi="Calibri"/>
          <w:b/>
          <w:sz w:val="24"/>
          <w:szCs w:val="24"/>
        </w:rPr>
        <w:t xml:space="preserve">Monsieur XXX </w:t>
      </w:r>
      <w:r>
        <w:rPr>
          <w:rFonts w:ascii="Calibri" w:cs="Calibri" w:eastAsia="Calibri" w:hAnsi="Calibri"/>
          <w:sz w:val="24"/>
          <w:szCs w:val="24"/>
        </w:rPr>
        <w:t>agissant en sa qualité de Président,</w:t>
      </w:r>
    </w:p>
    <w:p w:rsidR="002C219E" w:rsidRDefault="002C219E">
      <w:pPr>
        <w:ind w:left="1133" w:right="996"/>
        <w:jc w:val="both"/>
        <w:rPr>
          <w:rFonts w:ascii="Calibri" w:cs="Calibri" w:eastAsia="Calibri" w:hAnsi="Calibri"/>
          <w:b/>
          <w:sz w:val="24"/>
          <w:szCs w:val="24"/>
        </w:rPr>
      </w:pPr>
      <w:bookmarkStart w:id="0" w:name="_GoBack"/>
      <w:bookmarkEnd w:id="0"/>
    </w:p>
    <w:p w:rsidR="002C219E" w:rsidRDefault="003401F1">
      <w:pPr>
        <w:ind w:left="1133" w:right="996"/>
        <w:jc w:val="both"/>
        <w:rPr>
          <w:rFonts w:ascii="Calibri" w:cs="Calibri" w:eastAsia="Calibri" w:hAnsi="Calibri"/>
          <w:b/>
          <w:sz w:val="24"/>
          <w:szCs w:val="24"/>
        </w:rPr>
      </w:pPr>
      <w:r>
        <w:rPr>
          <w:rFonts w:ascii="Calibri" w:cs="Calibri" w:eastAsia="Calibri" w:hAnsi="Calibri"/>
          <w:b/>
          <w:sz w:val="24"/>
          <w:szCs w:val="24"/>
        </w:rPr>
        <w:t xml:space="preserve">D’une part, </w:t>
      </w:r>
    </w:p>
    <w:p w:rsidR="002C219E" w:rsidRDefault="002C219E">
      <w:pPr>
        <w:ind w:left="1133" w:right="996"/>
        <w:jc w:val="both"/>
        <w:rPr>
          <w:rFonts w:ascii="Calibri" w:cs="Calibri" w:eastAsia="Calibri" w:hAnsi="Calibri"/>
          <w:sz w:val="24"/>
          <w:szCs w:val="24"/>
        </w:rPr>
      </w:pPr>
    </w:p>
    <w:p w:rsidR="002C219E" w:rsidRDefault="003401F1">
      <w:pPr>
        <w:ind w:left="1133" w:right="996"/>
        <w:jc w:val="both"/>
        <w:rPr>
          <w:rFonts w:ascii="Calibri" w:cs="Calibri" w:eastAsia="Calibri" w:hAnsi="Calibri"/>
          <w:sz w:val="24"/>
          <w:szCs w:val="24"/>
        </w:rPr>
      </w:pPr>
      <w:r>
        <w:rPr>
          <w:rFonts w:ascii="Calibri" w:cs="Calibri" w:eastAsia="Calibri" w:hAnsi="Calibri"/>
          <w:sz w:val="24"/>
          <w:szCs w:val="24"/>
        </w:rPr>
        <w:t>ET </w:t>
      </w:r>
    </w:p>
    <w:p w:rsidR="002C219E" w:rsidRDefault="002C219E">
      <w:pPr>
        <w:ind w:left="1133" w:right="996"/>
        <w:jc w:val="both"/>
        <w:rPr>
          <w:rFonts w:ascii="Calibri" w:cs="Calibri" w:eastAsia="Calibri" w:hAnsi="Calibri"/>
          <w:sz w:val="24"/>
          <w:szCs w:val="24"/>
        </w:rPr>
      </w:pPr>
    </w:p>
    <w:p w:rsidR="002C219E" w:rsidRDefault="003401F1">
      <w:pPr>
        <w:ind w:left="1133" w:right="996"/>
        <w:jc w:val="both"/>
        <w:rPr>
          <w:rFonts w:ascii="Calibri" w:cs="Calibri" w:eastAsia="Calibri" w:hAnsi="Calibri"/>
          <w:sz w:val="24"/>
          <w:szCs w:val="24"/>
        </w:rPr>
      </w:pPr>
      <w:proofErr w:type="gramStart"/>
      <w:r>
        <w:rPr>
          <w:rFonts w:ascii="Calibri" w:cs="Calibri" w:eastAsia="Calibri" w:hAnsi="Calibri"/>
          <w:sz w:val="24"/>
          <w:szCs w:val="24"/>
        </w:rPr>
        <w:t>L’ organisation</w:t>
      </w:r>
      <w:proofErr w:type="gramEnd"/>
      <w:r>
        <w:rPr>
          <w:rFonts w:ascii="Calibri" w:cs="Calibri" w:eastAsia="Calibri" w:hAnsi="Calibri"/>
          <w:sz w:val="24"/>
          <w:szCs w:val="24"/>
        </w:rPr>
        <w:t xml:space="preserve"> syndicale représentative au sein de l’entreprise, représentée par : </w:t>
      </w:r>
    </w:p>
    <w:p w:rsidR="002C219E" w:rsidRDefault="003401F1">
      <w:pPr>
        <w:ind w:left="1133" w:right="996"/>
        <w:jc w:val="both"/>
        <w:rPr>
          <w:rFonts w:ascii="Calibri" w:cs="Calibri" w:eastAsia="Calibri" w:hAnsi="Calibri"/>
          <w:sz w:val="24"/>
          <w:szCs w:val="24"/>
        </w:rPr>
      </w:pPr>
      <w:r>
        <w:rPr>
          <w:rFonts w:ascii="Calibri" w:cs="Calibri" w:eastAsia="Calibri" w:hAnsi="Calibri"/>
          <w:sz w:val="24"/>
          <w:szCs w:val="24"/>
        </w:rPr>
        <w:t>Monsieur XXX, en sa qualité de délégué syndical FO,</w:t>
      </w:r>
    </w:p>
    <w:p w:rsidR="002C219E" w:rsidRDefault="002C219E">
      <w:pPr>
        <w:ind w:left="1133" w:right="996"/>
        <w:jc w:val="both"/>
        <w:rPr>
          <w:rFonts w:ascii="Calibri" w:cs="Calibri" w:eastAsia="Calibri" w:hAnsi="Calibri"/>
          <w:b/>
          <w:sz w:val="24"/>
          <w:szCs w:val="24"/>
        </w:rPr>
      </w:pPr>
    </w:p>
    <w:p w:rsidR="002C219E" w:rsidRDefault="003401F1">
      <w:pPr>
        <w:ind w:left="1133" w:right="996"/>
        <w:jc w:val="both"/>
        <w:rPr>
          <w:rFonts w:ascii="Calibri" w:cs="Calibri" w:eastAsia="Calibri" w:hAnsi="Calibri"/>
          <w:b/>
          <w:sz w:val="24"/>
          <w:szCs w:val="24"/>
        </w:rPr>
      </w:pPr>
      <w:r>
        <w:rPr>
          <w:rFonts w:ascii="Calibri" w:cs="Calibri" w:eastAsia="Calibri" w:hAnsi="Calibri"/>
          <w:b/>
          <w:sz w:val="24"/>
          <w:szCs w:val="24"/>
        </w:rPr>
        <w:t xml:space="preserve">D’autre part, </w:t>
      </w:r>
    </w:p>
    <w:p w:rsidR="002C219E" w:rsidRDefault="002C219E">
      <w:pPr>
        <w:ind w:left="1140" w:right="1138"/>
        <w:rPr>
          <w:rFonts w:ascii="Calibri" w:cs="Calibri" w:eastAsia="Calibri" w:hAnsi="Calibri"/>
          <w:u w:val="single"/>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2C219E">
      <w:pPr>
        <w:ind w:left="1140" w:right="1138"/>
        <w:rPr>
          <w:rFonts w:ascii="Calibri" w:cs="Calibri" w:eastAsia="Calibri" w:hAnsi="Calibri"/>
          <w:b/>
        </w:rPr>
      </w:pPr>
    </w:p>
    <w:p w:rsidR="002C219E" w:rsidRDefault="003401F1">
      <w:pPr>
        <w:ind w:firstLine="413" w:left="720" w:right="1138"/>
        <w:jc w:val="both"/>
        <w:rPr>
          <w:rFonts w:ascii="Calibri" w:cs="Calibri" w:eastAsia="Calibri" w:hAnsi="Calibri"/>
          <w:b/>
          <w:u w:val="single"/>
        </w:rPr>
      </w:pPr>
      <w:r>
        <w:rPr>
          <w:rFonts w:ascii="Calibri" w:cs="Calibri" w:eastAsia="Calibri" w:hAnsi="Calibri"/>
          <w:b/>
          <w:u w:val="single"/>
        </w:rPr>
        <w:t>Préambule :</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Conformément aux dispositions du Code du Travail, une négociation s’est engagée, entre la Direction et l’organisation syndicale FO, représentative au sein de la Société SPGS.</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Cette négociation a donné lieu à deux réunions qui se sont tenues les 26 janvier 2022 et 02 février 2022.</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La Direction a rappelé :</w:t>
      </w:r>
    </w:p>
    <w:p w:rsidR="002C219E" w:rsidRDefault="002C219E">
      <w:pPr>
        <w:ind w:left="1140" w:right="1138"/>
        <w:jc w:val="both"/>
        <w:rPr>
          <w:rFonts w:ascii="Calibri" w:cs="Calibri" w:eastAsia="Calibri" w:hAnsi="Calibri"/>
        </w:rPr>
      </w:pPr>
    </w:p>
    <w:p w:rsidR="002C219E" w:rsidRDefault="003401F1">
      <w:pPr>
        <w:numPr>
          <w:ilvl w:val="0"/>
          <w:numId w:val="1"/>
        </w:numPr>
        <w:ind w:right="1138"/>
        <w:jc w:val="both"/>
      </w:pPr>
      <w:r>
        <w:rPr>
          <w:rFonts w:ascii="Calibri" w:cs="Calibri" w:eastAsia="Calibri" w:hAnsi="Calibri"/>
        </w:rPr>
        <w:t xml:space="preserve">que le taux moyen d’inflation devait servir d’indicateur concernant les augmentations de salaire </w:t>
      </w:r>
    </w:p>
    <w:p w:rsidR="002C219E" w:rsidRDefault="003401F1">
      <w:pPr>
        <w:numPr>
          <w:ilvl w:val="0"/>
          <w:numId w:val="1"/>
        </w:numPr>
        <w:ind w:right="1138"/>
        <w:jc w:val="both"/>
        <w:rPr>
          <w:rFonts w:ascii="Calibri" w:cs="Calibri" w:eastAsia="Calibri" w:hAnsi="Calibri"/>
        </w:rPr>
      </w:pPr>
      <w:r>
        <w:rPr>
          <w:rFonts w:ascii="Calibri" w:cs="Calibri" w:eastAsia="Calibri" w:hAnsi="Calibri"/>
        </w:rPr>
        <w:t>les résultats économiques 2021 en dessous des attentes budgétaires</w:t>
      </w:r>
    </w:p>
    <w:p w:rsidR="002C219E" w:rsidRDefault="002C219E">
      <w:pPr>
        <w:ind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A l’issue de la négociation tenue et en application des articles L. 2242-1 et suivants du Code du Travail, les parties conviennent des mesures suivantes :</w:t>
      </w:r>
    </w:p>
    <w:p w:rsidR="002C219E" w:rsidRDefault="002C219E">
      <w:pPr>
        <w:ind w:left="1140" w:right="1138"/>
        <w:jc w:val="both"/>
        <w:rPr>
          <w:rFonts w:ascii="Calibri" w:cs="Calibri" w:eastAsia="Calibri" w:hAnsi="Calibri"/>
          <w:b/>
          <w:u w:val="single"/>
        </w:rPr>
      </w:pP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 xml:space="preserve">Article I – CHAMP D’APPLICATION </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Les mesures prévues par le présent accord sont applicables à l’ensemble des collaborateurs employés au sein de la Société SPGS sous réserve des conditions spécifiques à chaque mesure. Cet accord se substitue définitivement à l’ensemble des dispositions antérieurement applicables ayant le même objet, que celles-ci résultent d’accords collectifs, d’usages ou d’engagements unilatéraux.</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Article II – AUGMENTATION ANNUELLE DES SALAIRES 2021</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Pour tous les collaborateurs salariés de la Société SPGS sauf cadres présents au 1er mars 2022, les parties conviennent des mesures salariales suivantes :</w:t>
      </w:r>
    </w:p>
    <w:p w:rsidR="002C219E" w:rsidRDefault="002C219E">
      <w:pPr>
        <w:ind w:left="1140" w:right="1138"/>
        <w:jc w:val="both"/>
        <w:rPr>
          <w:rFonts w:ascii="Calibri" w:cs="Calibri" w:eastAsia="Calibri" w:hAnsi="Calibri"/>
        </w:rPr>
      </w:pPr>
    </w:p>
    <w:p w:rsidR="002C219E" w:rsidRDefault="003401F1">
      <w:pPr>
        <w:numPr>
          <w:ilvl w:val="0"/>
          <w:numId w:val="3"/>
        </w:numPr>
        <w:ind w:left="1440" w:right="1138"/>
        <w:jc w:val="both"/>
      </w:pPr>
      <w:r>
        <w:rPr>
          <w:rFonts w:ascii="Calibri" w:cs="Calibri" w:eastAsia="Calibri" w:hAnsi="Calibri"/>
        </w:rPr>
        <w:t xml:space="preserve">Une augmentation générale des salaires de base bruts mensuels de </w:t>
      </w:r>
      <w:r>
        <w:rPr>
          <w:rFonts w:ascii="Calibri" w:cs="Calibri" w:eastAsia="Calibri" w:hAnsi="Calibri"/>
          <w:b/>
        </w:rPr>
        <w:t xml:space="preserve">2.8 % </w:t>
      </w:r>
      <w:r>
        <w:rPr>
          <w:rFonts w:ascii="Calibri" w:cs="Calibri" w:eastAsia="Calibri" w:hAnsi="Calibri"/>
        </w:rPr>
        <w:t xml:space="preserve">à compter du 1er mars 2022. </w:t>
      </w:r>
    </w:p>
    <w:p w:rsidR="002C219E" w:rsidRDefault="002C219E">
      <w:pPr>
        <w:ind w:right="1138"/>
        <w:jc w:val="both"/>
        <w:rPr>
          <w:rFonts w:ascii="Calibri" w:cs="Calibri" w:eastAsia="Calibri" w:hAnsi="Calibri"/>
          <w:b/>
          <w:u w:val="single"/>
        </w:rPr>
      </w:pP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Article III –Complément  historique astreinte</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 xml:space="preserve">En contrepartie des efforts en </w:t>
      </w:r>
      <w:proofErr w:type="gramStart"/>
      <w:r>
        <w:rPr>
          <w:rFonts w:ascii="Calibri" w:cs="Calibri" w:eastAsia="Calibri" w:hAnsi="Calibri"/>
        </w:rPr>
        <w:t>terme</w:t>
      </w:r>
      <w:proofErr w:type="gramEnd"/>
      <w:r>
        <w:rPr>
          <w:rFonts w:ascii="Calibri" w:cs="Calibri" w:eastAsia="Calibri" w:hAnsi="Calibri"/>
        </w:rPr>
        <w:t xml:space="preserve"> de productivité et de la suppression de la seconde équipe d’astreinte par avenant à l’accord sur les astreintes du 11 septembre 2008 signés le 18 février 2021, un complément individuel historique de 80 euros brut sera attribué aux salariés qui effectuaient l’astreinte sur l’année 2021.</w:t>
      </w:r>
    </w:p>
    <w:p w:rsidR="002C219E" w:rsidRDefault="002C219E">
      <w:pPr>
        <w:ind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Ce complément historique sera versé mensuellement aux salariés suivants à compter du 1er mars 2022 sous l’intitulé de paie “complément de salaire” :</w:t>
      </w:r>
    </w:p>
    <w:p w:rsidR="002C219E" w:rsidRDefault="003401F1">
      <w:pPr>
        <w:ind w:left="1559" w:right="1138"/>
        <w:jc w:val="both"/>
        <w:rPr>
          <w:rFonts w:ascii="Calibri" w:cs="Calibri" w:eastAsia="Calibri" w:hAnsi="Calibri"/>
        </w:rPr>
      </w:pPr>
      <w:r>
        <w:rPr>
          <w:rFonts w:ascii="Calibri" w:cs="Calibri" w:eastAsia="Calibri" w:hAnsi="Calibri"/>
        </w:rPr>
        <w:t xml:space="preserve">        </w:t>
      </w: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Article IV – Prime mono-opérateur</w:t>
      </w:r>
    </w:p>
    <w:p w:rsidR="002C219E" w:rsidRDefault="002C219E">
      <w:pPr>
        <w:ind w:left="1140" w:right="1138"/>
        <w:jc w:val="both"/>
        <w:rPr>
          <w:rFonts w:ascii="Calibri" w:cs="Calibri" w:eastAsia="Calibri" w:hAnsi="Calibri"/>
        </w:rPr>
      </w:pPr>
    </w:p>
    <w:p w:rsidR="002C219E" w:rsidRDefault="003401F1">
      <w:pPr>
        <w:ind w:left="1133" w:right="1138"/>
        <w:jc w:val="both"/>
        <w:rPr>
          <w:rFonts w:ascii="Calibri" w:cs="Calibri" w:eastAsia="Calibri" w:hAnsi="Calibri"/>
        </w:rPr>
      </w:pPr>
      <w:r>
        <w:rPr>
          <w:rFonts w:ascii="Calibri" w:cs="Calibri" w:eastAsia="Calibri" w:hAnsi="Calibri"/>
        </w:rPr>
        <w:t xml:space="preserve">Conscient de la nécessité économique de promouvoir le travail en mono opérateur lorsque cela est réalisable en </w:t>
      </w:r>
      <w:proofErr w:type="gramStart"/>
      <w:r>
        <w:rPr>
          <w:rFonts w:ascii="Calibri" w:cs="Calibri" w:eastAsia="Calibri" w:hAnsi="Calibri"/>
        </w:rPr>
        <w:t>terme d’intervention</w:t>
      </w:r>
      <w:proofErr w:type="gramEnd"/>
      <w:r>
        <w:rPr>
          <w:rFonts w:ascii="Calibri" w:cs="Calibri" w:eastAsia="Calibri" w:hAnsi="Calibri"/>
        </w:rPr>
        <w:t xml:space="preserve"> et de matériel mis à disposition pour les opérateurs, les parties s’accordent sur l’évolution des conditions d’attribution de la prime mono opérateur :</w:t>
      </w:r>
      <w:r>
        <w:rPr>
          <w:rFonts w:ascii="Calibri" w:cs="Calibri" w:eastAsia="Calibri" w:hAnsi="Calibri"/>
        </w:rPr>
        <w:tab/>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 xml:space="preserve">- La </w:t>
      </w:r>
      <w:proofErr w:type="spellStart"/>
      <w:proofErr w:type="gramStart"/>
      <w:r>
        <w:rPr>
          <w:rFonts w:ascii="Calibri" w:cs="Calibri" w:eastAsia="Calibri" w:hAnsi="Calibri"/>
        </w:rPr>
        <w:t>demi journée</w:t>
      </w:r>
      <w:proofErr w:type="spellEnd"/>
      <w:proofErr w:type="gramEnd"/>
      <w:r>
        <w:rPr>
          <w:rFonts w:ascii="Calibri" w:cs="Calibri" w:eastAsia="Calibri" w:hAnsi="Calibri"/>
        </w:rPr>
        <w:t xml:space="preserve"> en mono opérateur est possible et rémunérée à hauteur de 7,5 euros bruts</w:t>
      </w:r>
    </w:p>
    <w:p w:rsidR="002C219E" w:rsidRDefault="003401F1">
      <w:pPr>
        <w:ind w:left="1140" w:right="1138"/>
        <w:jc w:val="both"/>
        <w:rPr>
          <w:rFonts w:ascii="Calibri" w:cs="Calibri" w:eastAsia="Calibri" w:hAnsi="Calibri"/>
        </w:rPr>
      </w:pPr>
      <w:r>
        <w:rPr>
          <w:rFonts w:ascii="Calibri" w:cs="Calibri" w:eastAsia="Calibri" w:hAnsi="Calibri"/>
        </w:rPr>
        <w:t>- la journée en mono opérateur reste rémunérée par une prime de 15 euros bruts</w:t>
      </w:r>
    </w:p>
    <w:p w:rsidR="002C219E" w:rsidRDefault="003401F1">
      <w:pPr>
        <w:ind w:left="1140" w:right="1138"/>
        <w:jc w:val="both"/>
        <w:rPr>
          <w:rFonts w:ascii="Calibri" w:cs="Calibri" w:eastAsia="Calibri" w:hAnsi="Calibri"/>
          <w:b/>
        </w:rPr>
      </w:pPr>
      <w:r>
        <w:rPr>
          <w:rFonts w:ascii="Calibri" w:cs="Calibri" w:eastAsia="Calibri" w:hAnsi="Calibri"/>
        </w:rPr>
        <w:t>- les activités de transport de boues rentrent dorénavant dans les critères d’attribution de la “prime mono opérateur",</w:t>
      </w:r>
    </w:p>
    <w:p w:rsidR="002C219E" w:rsidRDefault="003401F1">
      <w:pPr>
        <w:ind w:left="1140" w:right="1138"/>
        <w:jc w:val="both"/>
        <w:rPr>
          <w:rFonts w:ascii="Calibri" w:cs="Calibri" w:eastAsia="Calibri" w:hAnsi="Calibri"/>
        </w:rPr>
      </w:pPr>
      <w:r>
        <w:rPr>
          <w:rFonts w:ascii="Calibri" w:cs="Calibri" w:eastAsia="Calibri" w:hAnsi="Calibri"/>
        </w:rPr>
        <w:lastRenderedPageBreak/>
        <w:t xml:space="preserve">- Les activités 3D, travaux (maçonnerie, électromécanique,...) curage biologique, pompage de WC chimiques ne rentrent pas dans les critères d'attribution </w:t>
      </w:r>
      <w:proofErr w:type="gramStart"/>
      <w:r>
        <w:rPr>
          <w:rFonts w:ascii="Calibri" w:cs="Calibri" w:eastAsia="Calibri" w:hAnsi="Calibri"/>
        </w:rPr>
        <w:t>de la</w:t>
      </w:r>
      <w:proofErr w:type="gramEnd"/>
      <w:r>
        <w:rPr>
          <w:rFonts w:ascii="Calibri" w:cs="Calibri" w:eastAsia="Calibri" w:hAnsi="Calibri"/>
        </w:rPr>
        <w:t xml:space="preserve"> “prime mono opérateur"</w:t>
      </w:r>
    </w:p>
    <w:p w:rsidR="002C219E" w:rsidRDefault="002C219E">
      <w:pPr>
        <w:ind w:left="1140" w:right="1138"/>
        <w:jc w:val="both"/>
        <w:rPr>
          <w:rFonts w:ascii="Calibri" w:cs="Calibri" w:eastAsia="Calibri" w:hAnsi="Calibri"/>
        </w:rPr>
      </w:pPr>
    </w:p>
    <w:p w:rsidR="002C219E" w:rsidRDefault="002C219E">
      <w:pPr>
        <w:ind w:right="1138"/>
        <w:jc w:val="both"/>
        <w:rPr>
          <w:rFonts w:ascii="Calibri" w:cs="Calibri" w:eastAsia="Calibri" w:hAnsi="Calibri"/>
        </w:rPr>
      </w:pP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Article V – Egalité professionnelle</w:t>
      </w:r>
    </w:p>
    <w:p w:rsidR="002C219E" w:rsidRDefault="002C219E">
      <w:pPr>
        <w:ind w:left="1140" w:right="1138"/>
        <w:jc w:val="both"/>
        <w:rPr>
          <w:rFonts w:ascii="Calibri" w:cs="Calibri" w:eastAsia="Calibri" w:hAnsi="Calibri"/>
          <w:b/>
          <w:u w:val="single"/>
        </w:rPr>
      </w:pPr>
    </w:p>
    <w:p w:rsidR="002C219E" w:rsidRDefault="003401F1">
      <w:pPr>
        <w:spacing w:line="240" w:lineRule="auto"/>
        <w:ind w:left="1133" w:right="854"/>
        <w:jc w:val="both"/>
        <w:rPr>
          <w:rFonts w:ascii="Calibri" w:cs="Calibri" w:eastAsia="Calibri" w:hAnsi="Calibri"/>
          <w:sz w:val="24"/>
          <w:szCs w:val="24"/>
        </w:rPr>
      </w:pPr>
      <w:r>
        <w:rPr>
          <w:rFonts w:ascii="Calibri" w:cs="Calibri" w:eastAsia="Calibri" w:hAnsi="Calibri"/>
          <w:sz w:val="24"/>
          <w:szCs w:val="24"/>
        </w:rPr>
        <w:t>Les parties signataires réaffirment leur volonté de garantir l’égalité professionnelle entre les hommes et les femmes et de favoriser le développement de la mixité professionnelle qui constitue un facteur d’enrichissement collectif et un gage de cohésion sociale et d’efficacité économique.</w:t>
      </w:r>
    </w:p>
    <w:p w:rsidR="002C219E" w:rsidRDefault="002C219E">
      <w:pPr>
        <w:ind w:right="1138"/>
        <w:jc w:val="both"/>
        <w:rPr>
          <w:rFonts w:ascii="Calibri" w:cs="Calibri" w:eastAsia="Calibri" w:hAnsi="Calibri"/>
          <w:sz w:val="24"/>
          <w:szCs w:val="24"/>
        </w:rPr>
      </w:pP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Article VI – DUREE DE L’ACCORD</w:t>
      </w:r>
    </w:p>
    <w:p w:rsidR="002C219E" w:rsidRDefault="002C219E">
      <w:pPr>
        <w:ind w:left="1140" w:right="1138"/>
        <w:jc w:val="both"/>
        <w:rPr>
          <w:rFonts w:ascii="Calibri" w:cs="Calibri" w:eastAsia="Calibri" w:hAnsi="Calibri"/>
          <w:b/>
          <w:u w:val="single"/>
        </w:rPr>
      </w:pPr>
    </w:p>
    <w:p w:rsidR="002C219E" w:rsidRDefault="003401F1">
      <w:pPr>
        <w:ind w:left="1140" w:right="1138"/>
        <w:jc w:val="both"/>
        <w:rPr>
          <w:rFonts w:ascii="Calibri" w:cs="Calibri" w:eastAsia="Calibri" w:hAnsi="Calibri"/>
        </w:rPr>
      </w:pPr>
      <w:r>
        <w:rPr>
          <w:rFonts w:ascii="Calibri" w:cs="Calibri" w:eastAsia="Calibri" w:hAnsi="Calibri"/>
        </w:rPr>
        <w:t>Le présent accord est conclu pour une durée indéterminée. Il s’applique à l’ensemble de la Société SPGS.</w:t>
      </w:r>
    </w:p>
    <w:p w:rsidR="002C219E" w:rsidRDefault="002C219E">
      <w:pPr>
        <w:ind w:right="1138"/>
        <w:jc w:val="both"/>
        <w:rPr>
          <w:rFonts w:ascii="Calibri" w:cs="Calibri" w:eastAsia="Calibri" w:hAnsi="Calibri"/>
          <w:b/>
          <w:u w:val="single"/>
        </w:rPr>
      </w:pPr>
    </w:p>
    <w:p w:rsidR="002C219E" w:rsidRDefault="003401F1">
      <w:pPr>
        <w:ind w:left="1140" w:right="1138"/>
        <w:jc w:val="both"/>
        <w:rPr>
          <w:rFonts w:ascii="Calibri" w:cs="Calibri" w:eastAsia="Calibri" w:hAnsi="Calibri"/>
          <w:b/>
          <w:u w:val="single"/>
        </w:rPr>
      </w:pPr>
      <w:r>
        <w:rPr>
          <w:rFonts w:ascii="Calibri" w:cs="Calibri" w:eastAsia="Calibri" w:hAnsi="Calibri"/>
          <w:b/>
          <w:u w:val="single"/>
        </w:rPr>
        <w:t>Article VII – FORMALITES</w:t>
      </w:r>
    </w:p>
    <w:p w:rsidR="002C219E" w:rsidRDefault="002C219E">
      <w:pPr>
        <w:ind w:left="1140" w:right="1138"/>
        <w:jc w:val="both"/>
        <w:rPr>
          <w:rFonts w:ascii="Calibri" w:cs="Calibri" w:eastAsia="Calibri" w:hAnsi="Calibri"/>
          <w:b/>
          <w:u w:val="single"/>
        </w:rPr>
      </w:pPr>
    </w:p>
    <w:p w:rsidR="002C219E" w:rsidRDefault="003401F1">
      <w:pPr>
        <w:ind w:left="1140" w:right="1138"/>
        <w:jc w:val="both"/>
        <w:rPr>
          <w:rFonts w:ascii="Calibri" w:cs="Calibri" w:eastAsia="Calibri" w:hAnsi="Calibri"/>
        </w:rPr>
      </w:pPr>
      <w:r>
        <w:rPr>
          <w:rFonts w:ascii="Calibri" w:cs="Calibri" w:eastAsia="Calibri" w:hAnsi="Calibri"/>
        </w:rPr>
        <w:t xml:space="preserve">Le présent accord fera l’objet des formalités de dépôt et de publicité prévues à l’article D2231-2 du Code du Travail. La Société déposera cet accord auprès de la DREETS de manière digitale sur la plateforme gouvernementale </w:t>
      </w:r>
      <w:proofErr w:type="spellStart"/>
      <w:r>
        <w:rPr>
          <w:rFonts w:ascii="Calibri" w:cs="Calibri" w:eastAsia="Calibri" w:hAnsi="Calibri"/>
        </w:rPr>
        <w:t>Téléaccords</w:t>
      </w:r>
      <w:proofErr w:type="spellEnd"/>
      <w:r>
        <w:rPr>
          <w:rFonts w:ascii="Calibri" w:cs="Calibri" w:eastAsia="Calibri" w:hAnsi="Calibri"/>
        </w:rPr>
        <w:t xml:space="preserve">. </w:t>
      </w:r>
    </w:p>
    <w:p w:rsidR="002C219E" w:rsidRDefault="003401F1">
      <w:pPr>
        <w:ind w:left="1140" w:right="1138"/>
        <w:jc w:val="both"/>
        <w:rPr>
          <w:rFonts w:ascii="Calibri" w:cs="Calibri" w:eastAsia="Calibri" w:hAnsi="Calibri"/>
        </w:rPr>
      </w:pPr>
      <w:r>
        <w:rPr>
          <w:rFonts w:ascii="Calibri" w:cs="Calibri" w:eastAsia="Calibri" w:hAnsi="Calibri"/>
        </w:rPr>
        <w:t>Un  exemplaire sera également déposé au secrétariat-greffe du Conseil de prud’hommes de son lieu de conclusion.</w:t>
      </w:r>
    </w:p>
    <w:p w:rsidR="002C219E" w:rsidRDefault="003401F1">
      <w:pPr>
        <w:ind w:left="1140" w:right="1138"/>
        <w:jc w:val="both"/>
        <w:rPr>
          <w:rFonts w:ascii="Calibri" w:cs="Calibri" w:eastAsia="Calibri" w:hAnsi="Calibri"/>
        </w:rPr>
      </w:pPr>
      <w:r>
        <w:rPr>
          <w:rFonts w:ascii="Calibri" w:cs="Calibri" w:eastAsia="Calibri" w:hAnsi="Calibri"/>
        </w:rPr>
        <w:t>Un exemplaire du présent accord est remis contre décharge à l’organisation syndicale signataire.</w:t>
      </w:r>
    </w:p>
    <w:p w:rsidR="002C219E" w:rsidRDefault="003401F1">
      <w:pPr>
        <w:ind w:left="1140" w:right="1138"/>
        <w:jc w:val="both"/>
        <w:rPr>
          <w:rFonts w:ascii="Calibri" w:cs="Calibri" w:eastAsia="Calibri" w:hAnsi="Calibri"/>
        </w:rPr>
      </w:pPr>
      <w:r>
        <w:rPr>
          <w:rFonts w:ascii="Calibri" w:cs="Calibri" w:eastAsia="Calibri" w:hAnsi="Calibri"/>
        </w:rPr>
        <w:t xml:space="preserve">A l’issue </w:t>
      </w:r>
      <w:proofErr w:type="spellStart"/>
      <w:r>
        <w:rPr>
          <w:rFonts w:ascii="Calibri" w:cs="Calibri" w:eastAsia="Calibri" w:hAnsi="Calibri"/>
        </w:rPr>
        <w:t>des</w:t>
      </w:r>
      <w:proofErr w:type="spellEnd"/>
      <w:r>
        <w:rPr>
          <w:rFonts w:ascii="Calibri" w:cs="Calibri" w:eastAsia="Calibri" w:hAnsi="Calibri"/>
        </w:rPr>
        <w:t xml:space="preserve"> ces formalités de dépôt, le texte du présent accord fera l’objet des mesures de publicité telles que prévues par les dispositions des articles  L2262-5 et suivants du Code du Travail.</w:t>
      </w:r>
    </w:p>
    <w:p w:rsidR="002C219E" w:rsidRDefault="002C219E">
      <w:pPr>
        <w:ind w:left="1140" w:right="1138"/>
        <w:jc w:val="both"/>
        <w:rPr>
          <w:rFonts w:ascii="Calibri" w:cs="Calibri" w:eastAsia="Calibri" w:hAnsi="Calibri"/>
        </w:rPr>
      </w:pPr>
    </w:p>
    <w:p w:rsidR="002C219E" w:rsidRDefault="003401F1">
      <w:pPr>
        <w:ind w:left="1140" w:right="1138"/>
        <w:jc w:val="both"/>
        <w:rPr>
          <w:rFonts w:ascii="Calibri" w:cs="Calibri" w:eastAsia="Calibri" w:hAnsi="Calibri"/>
        </w:rPr>
      </w:pPr>
      <w:r>
        <w:rPr>
          <w:rFonts w:ascii="Calibri" w:cs="Calibri" w:eastAsia="Calibri" w:hAnsi="Calibri"/>
        </w:rPr>
        <w:t>Fait à Salon de Provence, le 21 février 2022, en 4 exemplaires originaux.</w:t>
      </w:r>
    </w:p>
    <w:p w:rsidR="002C219E" w:rsidRDefault="002C219E">
      <w:pPr>
        <w:ind w:right="1138"/>
        <w:rPr>
          <w:rFonts w:ascii="Calibri" w:cs="Calibri" w:eastAsia="Calibri" w:hAnsi="Calibri"/>
          <w:b/>
          <w:u w:val="single"/>
        </w:rPr>
      </w:pPr>
    </w:p>
    <w:p w:rsidR="002C219E" w:rsidRDefault="003401F1">
      <w:pPr>
        <w:ind w:left="1140" w:right="1138"/>
        <w:rPr>
          <w:rFonts w:ascii="Calibri" w:cs="Calibri" w:eastAsia="Calibri" w:hAnsi="Calibri"/>
          <w:b/>
          <w:u w:val="single"/>
        </w:rPr>
      </w:pPr>
      <w:r>
        <w:rPr>
          <w:rFonts w:ascii="Calibri" w:cs="Calibri" w:eastAsia="Calibri" w:hAnsi="Calibri"/>
          <w:b/>
          <w:u w:val="single"/>
        </w:rPr>
        <w:t>Pour la Société SPGS :</w:t>
      </w:r>
    </w:p>
    <w:p w:rsidR="002C219E" w:rsidRDefault="003401F1">
      <w:pPr>
        <w:ind w:left="1140" w:right="1138"/>
        <w:rPr>
          <w:rFonts w:ascii="Calibri" w:cs="Calibri" w:eastAsia="Calibri" w:hAnsi="Calibri"/>
          <w:b/>
        </w:rPr>
      </w:pPr>
      <w:r>
        <w:rPr>
          <w:rFonts w:ascii="Calibri" w:cs="Calibri" w:eastAsia="Calibri" w:hAnsi="Calibri"/>
          <w:b/>
        </w:rPr>
        <w:tab/>
      </w:r>
      <w:r>
        <w:rPr>
          <w:rFonts w:ascii="Calibri" w:cs="Calibri" w:eastAsia="Calibri" w:hAnsi="Calibri"/>
          <w:b/>
        </w:rPr>
        <w:tab/>
      </w:r>
      <w:r>
        <w:rPr>
          <w:rFonts w:ascii="Calibri" w:cs="Calibri" w:eastAsia="Calibri" w:hAnsi="Calibri"/>
          <w:b/>
        </w:rPr>
        <w:tab/>
      </w:r>
    </w:p>
    <w:p w:rsidR="002C219E" w:rsidRDefault="003401F1">
      <w:pPr>
        <w:ind w:left="1140" w:right="1138"/>
        <w:rPr>
          <w:rFonts w:ascii="Calibri" w:cs="Calibri" w:eastAsia="Calibri" w:hAnsi="Calibri"/>
          <w:b/>
        </w:rPr>
      </w:pPr>
      <w:r>
        <w:rPr>
          <w:rFonts w:ascii="Calibri" w:cs="Calibri" w:eastAsia="Calibri" w:hAnsi="Calibri"/>
          <w:b/>
        </w:rPr>
        <w:t>XXX</w:t>
      </w:r>
    </w:p>
    <w:p w:rsidR="002C219E" w:rsidRDefault="003401F1">
      <w:pPr>
        <w:ind w:left="1140" w:right="1138"/>
        <w:rPr>
          <w:rFonts w:ascii="Calibri" w:cs="Calibri" w:eastAsia="Calibri" w:hAnsi="Calibri"/>
          <w:b/>
        </w:rPr>
      </w:pPr>
      <w:r>
        <w:rPr>
          <w:rFonts w:ascii="Calibri" w:cs="Calibri" w:eastAsia="Calibri" w:hAnsi="Calibri"/>
          <w:b/>
        </w:rPr>
        <w:t>Président</w:t>
      </w:r>
    </w:p>
    <w:p w:rsidR="002C219E" w:rsidRDefault="002C219E">
      <w:pPr>
        <w:ind w:right="1138"/>
        <w:rPr>
          <w:rFonts w:ascii="Calibri" w:cs="Calibri" w:eastAsia="Calibri" w:hAnsi="Calibri"/>
          <w:b/>
          <w:u w:val="single"/>
        </w:rPr>
      </w:pPr>
    </w:p>
    <w:p w:rsidR="002C219E" w:rsidRDefault="003401F1">
      <w:pPr>
        <w:ind w:left="1140" w:right="1138"/>
        <w:rPr>
          <w:rFonts w:ascii="Calibri" w:cs="Calibri" w:eastAsia="Calibri" w:hAnsi="Calibri"/>
          <w:u w:val="single"/>
        </w:rPr>
      </w:pPr>
      <w:r>
        <w:rPr>
          <w:rFonts w:ascii="Calibri" w:cs="Calibri" w:eastAsia="Calibri" w:hAnsi="Calibri"/>
          <w:b/>
          <w:u w:val="single"/>
        </w:rPr>
        <w:t>Pour FO</w:t>
      </w:r>
      <w:r>
        <w:rPr>
          <w:rFonts w:ascii="Calibri" w:cs="Calibri" w:eastAsia="Calibri" w:hAnsi="Calibri"/>
          <w:u w:val="single"/>
        </w:rPr>
        <w:t xml:space="preserve"> </w:t>
      </w:r>
    </w:p>
    <w:p w:rsidR="002C219E" w:rsidRDefault="002C219E">
      <w:pPr>
        <w:ind w:left="1140" w:right="1138"/>
        <w:rPr>
          <w:rFonts w:ascii="Calibri" w:cs="Calibri" w:eastAsia="Calibri" w:hAnsi="Calibri"/>
        </w:rPr>
      </w:pPr>
    </w:p>
    <w:p w:rsidR="002C219E" w:rsidRDefault="003401F1">
      <w:pPr>
        <w:ind w:left="1140" w:right="1138"/>
        <w:rPr>
          <w:rFonts w:ascii="Calibri" w:cs="Calibri" w:eastAsia="Calibri" w:hAnsi="Calibri"/>
        </w:rPr>
      </w:pPr>
      <w:r>
        <w:rPr>
          <w:rFonts w:ascii="Calibri" w:cs="Calibri" w:eastAsia="Calibri" w:hAnsi="Calibri"/>
          <w:b/>
        </w:rPr>
        <w:t>XXX,</w:t>
      </w:r>
    </w:p>
    <w:p w:rsidR="002C219E" w:rsidRDefault="003401F1">
      <w:pPr>
        <w:ind w:left="1140" w:right="1138"/>
        <w:rPr>
          <w:rFonts w:ascii="Calibri" w:cs="Calibri" w:eastAsia="Calibri" w:hAnsi="Calibri"/>
        </w:rPr>
      </w:pPr>
      <w:r>
        <w:rPr>
          <w:rFonts w:ascii="Calibri" w:cs="Calibri" w:eastAsia="Calibri" w:hAnsi="Calibri"/>
        </w:rPr>
        <w:t>Délégué Syndical</w:t>
      </w:r>
    </w:p>
    <w:p w:rsidR="002C219E" w:rsidRDefault="002C219E">
      <w:pPr>
        <w:ind w:left="1140" w:right="1138"/>
        <w:jc w:val="both"/>
        <w:rPr>
          <w:rFonts w:ascii="Calibri" w:cs="Calibri" w:eastAsia="Calibri" w:hAnsi="Calibri"/>
        </w:rPr>
      </w:pPr>
    </w:p>
    <w:p w:rsidR="002C219E" w:rsidRDefault="002C219E">
      <w:pPr>
        <w:ind w:left="1140" w:right="1138"/>
        <w:jc w:val="both"/>
        <w:rPr>
          <w:rFonts w:ascii="Calibri" w:cs="Calibri" w:eastAsia="Calibri" w:hAnsi="Calibri"/>
        </w:rPr>
      </w:pPr>
    </w:p>
    <w:sectPr w:rsidR="002C219E">
      <w:footerReference r:id="rId8" w:type="default"/>
      <w:footerReference r:id="rId9" w:type="first"/>
      <w:pgSz w:h="16834" w:w="11909"/>
      <w:pgMar w:bottom="1440" w:footer="0" w:gutter="0" w:header="0" w:left="0" w:right="4" w:top="144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44F" w:rsidRDefault="003401F1">
      <w:pPr>
        <w:spacing w:line="240" w:lineRule="auto"/>
      </w:pPr>
      <w:r>
        <w:separator/>
      </w:r>
    </w:p>
  </w:endnote>
  <w:endnote w:type="continuationSeparator" w:id="0">
    <w:p w:rsidR="00D5244F" w:rsidRDefault="00340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2C219E" w:rsidRDefault="003401F1">
    <w:pPr>
      <w:jc w:val="center"/>
      <w:rPr>
        <w:sz w:val="14"/>
        <w:szCs w:val="14"/>
      </w:rPr>
    </w:pPr>
    <w:r>
      <w:rPr>
        <w:sz w:val="14"/>
        <w:szCs w:val="14"/>
      </w:rPr>
      <w:t>PROTOCOLE D’ACCORD PORTANT SUR LA NÉGOCIATION ANNUELLE OBLIGATOIRE 2022</w:t>
    </w:r>
  </w:p>
  <w:p w:rsidR="002C219E" w:rsidRDefault="003401F1">
    <w:pPr>
      <w:jc w:val="center"/>
      <w:rPr>
        <w:sz w:val="14"/>
        <w:szCs w:val="14"/>
      </w:rPr>
    </w:pPr>
    <w:r>
      <w:rPr>
        <w:sz w:val="14"/>
        <w:szCs w:val="14"/>
      </w:rPr>
      <w:t>Société SPGS</w:t>
    </w:r>
  </w:p>
  <w:p w:rsidR="002C219E" w:rsidRDefault="003401F1">
    <w:pPr>
      <w:jc w:val="center"/>
      <w:rPr>
        <w:sz w:val="14"/>
        <w:szCs w:val="14"/>
      </w:rPr>
    </w:pPr>
    <w:r>
      <w:rPr>
        <w:sz w:val="14"/>
        <w:szCs w:val="14"/>
      </w:rPr>
      <w:fldChar w:fldCharType="begin"/>
    </w:r>
    <w:r>
      <w:rPr>
        <w:sz w:val="14"/>
        <w:szCs w:val="14"/>
      </w:rPr>
      <w:instrText>PAGE</w:instrText>
    </w:r>
    <w:r>
      <w:rPr>
        <w:sz w:val="14"/>
        <w:szCs w:val="14"/>
      </w:rPr>
      <w:fldChar w:fldCharType="separate"/>
    </w:r>
    <w:r w:rsidR="00AF0BA8">
      <w:rPr>
        <w:noProof/>
        <w:sz w:val="14"/>
        <w:szCs w:val="14"/>
      </w:rPr>
      <w:t>3</w:t>
    </w:r>
    <w:r>
      <w:rPr>
        <w:sz w:val="14"/>
        <w:szCs w:val="14"/>
      </w:rPr>
      <w:fldChar w:fldCharType="end"/>
    </w:r>
    <w:r>
      <w:rPr>
        <w:sz w:val="14"/>
        <w:szCs w:val="14"/>
      </w:rPr>
      <w:t>/5</w:t>
    </w:r>
  </w:p>
  <w:p w:rsidR="002C219E" w:rsidRDefault="002C219E"/>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2C219E" w:rsidRDefault="002C219E">
    <w:pPr>
      <w:ind w:left="425"/>
    </w:pPr>
  </w:p>
  <w:p w:rsidR="002C219E" w:rsidRDefault="003401F1">
    <w:pPr>
      <w:ind w:left="-1440"/>
      <w:jc w:val="right"/>
    </w:pPr>
    <w:r>
      <w:fldChar w:fldCharType="begin"/>
    </w:r>
    <w:r>
      <w:instrText>PAGE</w:instrText>
    </w:r>
    <w:r>
      <w:fldChar w:fldCharType="separate"/>
    </w:r>
    <w:r w:rsidR="00AF0BA8">
      <w:rPr>
        <w:noProof/>
      </w:rPr>
      <w:t>1</w:t>
    </w:r>
    <w: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D5244F" w:rsidRDefault="003401F1">
      <w:pPr>
        <w:spacing w:line="240" w:lineRule="auto"/>
      </w:pPr>
      <w:r>
        <w:separator/>
      </w:r>
    </w:p>
  </w:footnote>
  <w:footnote w:id="0" w:type="continuationSeparator">
    <w:p w:rsidR="00D5244F" w:rsidRDefault="003401F1">
      <w:pPr>
        <w:spacing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2113A2D"/>
    <w:multiLevelType w:val="multilevel"/>
    <w:tmpl w:val="02C49B84"/>
    <w:lvl w:ilvl="0">
      <w:start w:val="1"/>
      <w:numFmt w:val="bullet"/>
      <w:lvlText w:val="●"/>
      <w:lvlJc w:val="left"/>
      <w:pPr>
        <w:ind w:hanging="360" w:left="502"/>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1">
    <w:nsid w:val="26E71D9B"/>
    <w:multiLevelType w:val="multilevel"/>
    <w:tmpl w:val="148A3166"/>
    <w:lvl w:ilvl="0">
      <w:start w:val="1"/>
      <w:numFmt w:val="bullet"/>
      <w:lvlText w:val="●"/>
      <w:lvlJc w:val="left"/>
      <w:pPr>
        <w:ind w:hanging="360" w:left="1920"/>
      </w:pPr>
      <w:rPr>
        <w:rFonts w:ascii="Noto Sans Symbols" w:cs="Noto Sans Symbols" w:eastAsia="Noto Sans Symbols" w:hAnsi="Noto Sans Symbols"/>
      </w:rPr>
    </w:lvl>
    <w:lvl w:ilvl="1">
      <w:start w:val="1"/>
      <w:numFmt w:val="bullet"/>
      <w:lvlText w:val="o"/>
      <w:lvlJc w:val="left"/>
      <w:pPr>
        <w:ind w:hanging="360" w:left="1800"/>
      </w:pPr>
      <w:rPr>
        <w:rFonts w:ascii="Courier New" w:cs="Courier New" w:eastAsia="Courier New" w:hAnsi="Courier New"/>
      </w:rPr>
    </w:lvl>
    <w:lvl w:ilvl="2">
      <w:start w:val="1"/>
      <w:numFmt w:val="bullet"/>
      <w:lvlText w:val="▪"/>
      <w:lvlJc w:val="left"/>
      <w:pPr>
        <w:ind w:hanging="360" w:left="2520"/>
      </w:pPr>
      <w:rPr>
        <w:rFonts w:ascii="Noto Sans Symbols" w:cs="Noto Sans Symbols" w:eastAsia="Noto Sans Symbols" w:hAnsi="Noto Sans Symbols"/>
      </w:rPr>
    </w:lvl>
    <w:lvl w:ilvl="3">
      <w:start w:val="1"/>
      <w:numFmt w:val="bullet"/>
      <w:lvlText w:val="●"/>
      <w:lvlJc w:val="left"/>
      <w:pPr>
        <w:ind w:hanging="360" w:left="3240"/>
      </w:pPr>
      <w:rPr>
        <w:rFonts w:ascii="Noto Sans Symbols" w:cs="Noto Sans Symbols" w:eastAsia="Noto Sans Symbols" w:hAnsi="Noto Sans Symbols"/>
      </w:rPr>
    </w:lvl>
    <w:lvl w:ilvl="4">
      <w:start w:val="1"/>
      <w:numFmt w:val="bullet"/>
      <w:lvlText w:val="o"/>
      <w:lvlJc w:val="left"/>
      <w:pPr>
        <w:ind w:hanging="360" w:left="3960"/>
      </w:pPr>
      <w:rPr>
        <w:rFonts w:ascii="Courier New" w:cs="Courier New" w:eastAsia="Courier New" w:hAnsi="Courier New"/>
      </w:rPr>
    </w:lvl>
    <w:lvl w:ilvl="5">
      <w:start w:val="1"/>
      <w:numFmt w:val="bullet"/>
      <w:lvlText w:val="▪"/>
      <w:lvlJc w:val="left"/>
      <w:pPr>
        <w:ind w:hanging="360" w:left="4680"/>
      </w:pPr>
      <w:rPr>
        <w:rFonts w:ascii="Noto Sans Symbols" w:cs="Noto Sans Symbols" w:eastAsia="Noto Sans Symbols" w:hAnsi="Noto Sans Symbols"/>
      </w:rPr>
    </w:lvl>
    <w:lvl w:ilvl="6">
      <w:start w:val="1"/>
      <w:numFmt w:val="bullet"/>
      <w:lvlText w:val="●"/>
      <w:lvlJc w:val="left"/>
      <w:pPr>
        <w:ind w:hanging="360" w:left="5400"/>
      </w:pPr>
      <w:rPr>
        <w:rFonts w:ascii="Noto Sans Symbols" w:cs="Noto Sans Symbols" w:eastAsia="Noto Sans Symbols" w:hAnsi="Noto Sans Symbols"/>
      </w:rPr>
    </w:lvl>
    <w:lvl w:ilvl="7">
      <w:start w:val="1"/>
      <w:numFmt w:val="bullet"/>
      <w:lvlText w:val="o"/>
      <w:lvlJc w:val="left"/>
      <w:pPr>
        <w:ind w:hanging="360" w:left="6120"/>
      </w:pPr>
      <w:rPr>
        <w:rFonts w:ascii="Courier New" w:cs="Courier New" w:eastAsia="Courier New" w:hAnsi="Courier New"/>
      </w:rPr>
    </w:lvl>
    <w:lvl w:ilvl="8">
      <w:start w:val="1"/>
      <w:numFmt w:val="bullet"/>
      <w:lvlText w:val="▪"/>
      <w:lvlJc w:val="left"/>
      <w:pPr>
        <w:ind w:hanging="360" w:left="6840"/>
      </w:pPr>
      <w:rPr>
        <w:rFonts w:ascii="Noto Sans Symbols" w:cs="Noto Sans Symbols" w:eastAsia="Noto Sans Symbols" w:hAnsi="Noto Sans Symbols"/>
      </w:rPr>
    </w:lvl>
  </w:abstractNum>
  <w:abstractNum w:abstractNumId="2">
    <w:nsid w:val="2F690F9C"/>
    <w:multiLevelType w:val="multilevel"/>
    <w:tmpl w:val="2C366716"/>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num w:numId="1">
    <w:abstractNumId w:val="1"/>
  </w:num>
  <w:num w:numId="2">
    <w:abstractNumId w:val="2"/>
  </w:num>
  <w:num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C219E"/>
    <w:rsid w:val="002C219E"/>
    <w:rsid w:val="003401F1"/>
    <w:rsid w:val="00AF0BA8"/>
    <w:rsid w:val="00D5244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cs="Arial" w:eastAsia="Arial" w:hAnsi="Arial"/>
        <w:sz w:val="22"/>
        <w:szCs w:val="22"/>
        <w:lang w:bidi="ar-SA" w:eastAsia="fr-FR" w:val="fr-FR"/>
      </w:rPr>
    </w:rPrDefault>
    <w:pPrDefault>
      <w:pPr>
        <w:spacing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styleId="Sous-titre" w:type="paragraph">
    <w:name w:val="Subtitle"/>
    <w:basedOn w:val="Normal"/>
    <w:next w:val="Normal"/>
    <w:pPr>
      <w:keepNext/>
      <w:keepLines/>
      <w:spacing w:after="320"/>
    </w:pPr>
    <w:rPr>
      <w:color w:val="666666"/>
      <w:sz w:val="30"/>
      <w:szCs w:val="30"/>
    </w:rPr>
  </w:style>
  <w:style w:styleId="Textedebulles" w:type="paragraph">
    <w:name w:val="Balloon Text"/>
    <w:basedOn w:val="Normal"/>
    <w:link w:val="TextedebullesCar"/>
    <w:uiPriority w:val="99"/>
    <w:semiHidden/>
    <w:unhideWhenUsed/>
    <w:rsid w:val="003401F1"/>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3401F1"/>
    <w:rPr>
      <w:rFonts w:ascii="Tahoma" w:cs="Tahoma" w:hAnsi="Tahoma"/>
      <w:sz w:val="16"/>
      <w:szCs w:val="16"/>
    </w:rPr>
  </w:style>
  <w:style w:styleId="En-tte" w:type="paragraph">
    <w:name w:val="header"/>
    <w:basedOn w:val="Normal"/>
    <w:link w:val="En-tteCar"/>
    <w:uiPriority w:val="99"/>
    <w:unhideWhenUsed/>
    <w:rsid w:val="00AF0BA8"/>
    <w:pPr>
      <w:tabs>
        <w:tab w:pos="4536" w:val="center"/>
        <w:tab w:pos="9072" w:val="right"/>
      </w:tabs>
      <w:spacing w:line="240" w:lineRule="auto"/>
    </w:pPr>
  </w:style>
  <w:style w:customStyle="1" w:styleId="En-tteCar" w:type="character">
    <w:name w:val="En-tête Car"/>
    <w:basedOn w:val="Policepardfaut"/>
    <w:link w:val="En-tte"/>
    <w:uiPriority w:val="99"/>
    <w:rsid w:val="00AF0BA8"/>
  </w:style>
  <w:style w:styleId="Pieddepage" w:type="paragraph">
    <w:name w:val="footer"/>
    <w:basedOn w:val="Normal"/>
    <w:link w:val="PieddepageCar"/>
    <w:uiPriority w:val="99"/>
    <w:unhideWhenUsed/>
    <w:rsid w:val="00AF0BA8"/>
    <w:pPr>
      <w:tabs>
        <w:tab w:pos="4536" w:val="center"/>
        <w:tab w:pos="9072" w:val="right"/>
      </w:tabs>
      <w:spacing w:line="240" w:lineRule="auto"/>
    </w:pPr>
  </w:style>
  <w:style w:customStyle="1" w:styleId="PieddepageCar" w:type="character">
    <w:name w:val="Pied de page Car"/>
    <w:basedOn w:val="Policepardfaut"/>
    <w:link w:val="Pieddepage"/>
    <w:uiPriority w:val="99"/>
    <w:rsid w:val="00AF0B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3401F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01F1"/>
    <w:rPr>
      <w:rFonts w:ascii="Tahoma" w:hAnsi="Tahoma" w:cs="Tahoma"/>
      <w:sz w:val="16"/>
      <w:szCs w:val="16"/>
    </w:rPr>
  </w:style>
  <w:style w:type="paragraph" w:styleId="En-tte">
    <w:name w:val="header"/>
    <w:basedOn w:val="Normal"/>
    <w:link w:val="En-tteCar"/>
    <w:uiPriority w:val="99"/>
    <w:unhideWhenUsed/>
    <w:rsid w:val="00AF0BA8"/>
    <w:pPr>
      <w:tabs>
        <w:tab w:val="center" w:pos="4536"/>
        <w:tab w:val="right" w:pos="9072"/>
      </w:tabs>
      <w:spacing w:line="240" w:lineRule="auto"/>
    </w:pPr>
  </w:style>
  <w:style w:type="character" w:customStyle="1" w:styleId="En-tteCar">
    <w:name w:val="En-tête Car"/>
    <w:basedOn w:val="Policepardfaut"/>
    <w:link w:val="En-tte"/>
    <w:uiPriority w:val="99"/>
    <w:rsid w:val="00AF0BA8"/>
  </w:style>
  <w:style w:type="paragraph" w:styleId="Pieddepage">
    <w:name w:val="footer"/>
    <w:basedOn w:val="Normal"/>
    <w:link w:val="PieddepageCar"/>
    <w:uiPriority w:val="99"/>
    <w:unhideWhenUsed/>
    <w:rsid w:val="00AF0BA8"/>
    <w:pPr>
      <w:tabs>
        <w:tab w:val="center" w:pos="4536"/>
        <w:tab w:val="right" w:pos="9072"/>
      </w:tabs>
      <w:spacing w:line="240" w:lineRule="auto"/>
    </w:pPr>
  </w:style>
  <w:style w:type="character" w:customStyle="1" w:styleId="PieddepageCar">
    <w:name w:val="Pied de page Car"/>
    <w:basedOn w:val="Policepardfaut"/>
    <w:link w:val="Pieddepage"/>
    <w:uiPriority w:val="99"/>
    <w:rsid w:val="00AF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3855</Characters>
  <Application>Microsoft Office Word</Application>
  <DocSecurity>0</DocSecurity>
  <Lines>32</Lines>
  <Paragraphs>9</Paragraphs>
  <ScaleCrop>false</ScaleCrop>
  <HeadingPairs>
    <vt:vector baseType="variant" size="2">
      <vt:variant>
        <vt:lpstr>Titre</vt:lpstr>
      </vt:variant>
      <vt:variant>
        <vt:i4>1</vt:i4>
      </vt:variant>
    </vt:vector>
  </HeadingPairs>
  <TitlesOfParts>
    <vt:vector baseType="lpstr" size="1">
      <vt:lpstr/>
    </vt:vector>
  </TitlesOfParts>
  <Company>SARP</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2022-05-06T06:53:00Z</dcterms:created>
  <dcterms:modified xsi:type="dcterms:W3CDTF">2022-05-06T06:53:00Z</dcterms:modified>
  <cp:revision>2</cp:revision>
</cp:coreProperties>
</file>