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left w:val="single" w:sz="4" w:space="4" w:color="000000"/>
          <w:bottom w:val="single" w:sz="4" w:space="1" w:color="000000"/>
          <w:right w:val="single" w:sz="4" w:space="4" w:color="000000"/>
        </w:pBdr>
        <w:jc w:val="center"/>
        <w:rPr>
          <w:b/>
          <w:b/>
          <w:sz w:val="36"/>
        </w:rPr>
      </w:pPr>
      <w:r>
        <w:rPr>
          <w:b/>
          <w:sz w:val="36"/>
        </w:rPr>
        <w:t>NEGOCIATIONS ANNUELLES OBLIGATOIRES 2022</w:t>
      </w:r>
    </w:p>
    <w:p>
      <w:pPr>
        <w:pStyle w:val="Normal"/>
        <w:pBdr>
          <w:top w:val="single" w:sz="4" w:space="1" w:color="000000"/>
          <w:left w:val="single" w:sz="4" w:space="4" w:color="000000"/>
          <w:bottom w:val="single" w:sz="4" w:space="1" w:color="000000"/>
          <w:right w:val="single" w:sz="4" w:space="4" w:color="000000"/>
        </w:pBdr>
        <w:jc w:val="center"/>
        <w:rPr>
          <w:b/>
          <w:b/>
          <w:sz w:val="36"/>
        </w:rPr>
      </w:pPr>
      <w:r>
        <w:rPr>
          <w:b/>
          <w:sz w:val="36"/>
        </w:rPr>
        <w:t xml:space="preserve">ACCORD D’ENTREPRISE DU 19 MAI 2022 </w:t>
      </w:r>
    </w:p>
    <w:p>
      <w:pPr>
        <w:pStyle w:val="Normal"/>
        <w:rPr>
          <w:b/>
          <w:b/>
          <w:sz w:val="36"/>
        </w:rPr>
      </w:pPr>
      <w:r>
        <w:rPr>
          <w:b/>
          <w:sz w:val="36"/>
        </w:rPr>
      </w:r>
    </w:p>
    <w:p>
      <w:pPr>
        <w:pStyle w:val="Normal"/>
        <w:rPr/>
      </w:pPr>
      <w:r>
        <w:rPr/>
      </w:r>
    </w:p>
    <w:p>
      <w:pPr>
        <w:pStyle w:val="Normal"/>
        <w:rPr/>
      </w:pPr>
      <w:r>
        <w:rPr/>
      </w:r>
    </w:p>
    <w:p>
      <w:pPr>
        <w:pStyle w:val="Normal"/>
        <w:rPr/>
      </w:pPr>
      <w:r>
        <w:rPr/>
      </w:r>
    </w:p>
    <w:p>
      <w:pPr>
        <w:pStyle w:val="Texte"/>
        <w:spacing w:before="120" w:after="0"/>
        <w:ind w:hanging="0"/>
        <w:rPr>
          <w:rFonts w:ascii="Times New Roman" w:hAnsi="Times New Roman" w:cs="Times New Roman"/>
          <w:b/>
          <w:b/>
          <w:caps/>
          <w:color w:val="000000"/>
          <w:szCs w:val="24"/>
          <w:u w:val="single"/>
        </w:rPr>
      </w:pPr>
      <w:r>
        <w:rPr>
          <w:rFonts w:cs="Times New Roman" w:ascii="Times New Roman" w:hAnsi="Times New Roman"/>
          <w:b/>
          <w:caps/>
          <w:color w:val="000000"/>
          <w:szCs w:val="24"/>
          <w:u w:val="single"/>
        </w:rPr>
        <w:t>Entre les soussignés :</w:t>
      </w:r>
    </w:p>
    <w:p>
      <w:pPr>
        <w:pStyle w:val="Texte"/>
        <w:rPr>
          <w:rFonts w:ascii="Times New Roman" w:hAnsi="Times New Roman" w:cs="Times New Roman"/>
          <w:b/>
          <w:b/>
          <w:i/>
          <w:i/>
          <w:caps/>
          <w:color w:val="000000"/>
          <w:szCs w:val="24"/>
          <w:u w:val="single"/>
        </w:rPr>
      </w:pPr>
      <w:r>
        <w:rPr>
          <w:rFonts w:cs="Times New Roman" w:ascii="Times New Roman" w:hAnsi="Times New Roman"/>
          <w:b/>
          <w:i/>
          <w:caps/>
          <w:color w:val="000000"/>
          <w:szCs w:val="24"/>
          <w:u w:val="single"/>
        </w:rPr>
      </w:r>
    </w:p>
    <w:p>
      <w:pPr>
        <w:pStyle w:val="Texte"/>
        <w:spacing w:before="120" w:after="0"/>
        <w:ind w:left="709" w:hanging="1"/>
        <w:jc w:val="both"/>
        <w:rPr>
          <w:rFonts w:ascii="Times New Roman" w:hAnsi="Times New Roman" w:cs="Times New Roman"/>
          <w:b/>
          <w:b/>
          <w:color w:val="000000"/>
          <w:szCs w:val="24"/>
        </w:rPr>
      </w:pPr>
      <w:r>
        <w:rPr>
          <w:rFonts w:cs="Times New Roman" w:ascii="Times New Roman" w:hAnsi="Times New Roman"/>
          <w:b/>
          <w:color w:val="000000"/>
          <w:szCs w:val="24"/>
        </w:rPr>
        <w:t xml:space="preserve">La société Pernod Ricard France, </w:t>
      </w:r>
      <w:r>
        <w:rPr>
          <w:rFonts w:cs="Times New Roman" w:ascii="Times New Roman" w:hAnsi="Times New Roman"/>
          <w:bCs/>
          <w:color w:val="000000"/>
          <w:szCs w:val="24"/>
        </w:rPr>
        <w:t>société par actions simplifiée au capital de 54 000 000 euros, immatriculée au registre du commerce et des sociétés de Marseille sous le numéro 303 656 375, dont son siège social est sis 10 place de la Joliette - 13002 MARSEILLE,</w:t>
      </w:r>
      <w:r>
        <w:rPr>
          <w:rFonts w:cs="Times New Roman" w:ascii="Times New Roman" w:hAnsi="Times New Roman"/>
          <w:b/>
          <w:color w:val="000000"/>
          <w:szCs w:val="24"/>
        </w:rPr>
        <w:t xml:space="preserve"> </w:t>
      </w:r>
    </w:p>
    <w:p>
      <w:pPr>
        <w:pStyle w:val="Texte"/>
        <w:spacing w:before="120" w:after="0"/>
        <w:ind w:left="709" w:hanging="1"/>
        <w:jc w:val="both"/>
        <w:rPr>
          <w:rFonts w:ascii="Times New Roman" w:hAnsi="Times New Roman" w:cs="Times New Roman"/>
          <w:b/>
          <w:b/>
          <w:color w:val="000000"/>
          <w:szCs w:val="24"/>
        </w:rPr>
      </w:pPr>
      <w:r>
        <w:rPr>
          <w:rFonts w:cs="Times New Roman" w:ascii="Times New Roman" w:hAnsi="Times New Roman"/>
          <w:color w:val="000000"/>
          <w:szCs w:val="24"/>
        </w:rPr>
        <w:t>Représentée par</w:t>
      </w:r>
      <w:r>
        <w:rPr>
          <w:rFonts w:cs="Times New Roman" w:ascii="Times New Roman" w:hAnsi="Times New Roman"/>
          <w:b/>
          <w:bCs/>
          <w:color w:val="000000"/>
          <w:szCs w:val="24"/>
        </w:rPr>
        <w:t>,</w:t>
      </w:r>
    </w:p>
    <w:p>
      <w:pPr>
        <w:pStyle w:val="Texte"/>
        <w:spacing w:before="120" w:after="0"/>
        <w:ind w:left="709" w:hanging="1"/>
        <w:jc w:val="both"/>
        <w:rPr>
          <w:rFonts w:ascii="Times New Roman" w:hAnsi="Times New Roman" w:cs="Times New Roman"/>
          <w:b/>
          <w:b/>
          <w:bCs/>
          <w:color w:val="000000"/>
          <w:szCs w:val="24"/>
        </w:rPr>
      </w:pPr>
      <w:r>
        <w:rPr>
          <w:rFonts w:cs="Times New Roman" w:ascii="Times New Roman" w:hAnsi="Times New Roman"/>
          <w:color w:val="000000"/>
          <w:szCs w:val="24"/>
        </w:rPr>
        <w:t xml:space="preserve">Agissant en qualité de </w:t>
      </w:r>
      <w:r>
        <w:rPr>
          <w:rFonts w:cs="Times New Roman" w:ascii="Times New Roman" w:hAnsi="Times New Roman"/>
          <w:b/>
          <w:bCs/>
          <w:color w:val="000000"/>
          <w:szCs w:val="24"/>
        </w:rPr>
        <w:t>Directrice des Ressources Humaines,</w:t>
      </w:r>
    </w:p>
    <w:p>
      <w:pPr>
        <w:pStyle w:val="Texte"/>
        <w:spacing w:before="120" w:after="0"/>
        <w:ind w:firstLine="360"/>
        <w:jc w:val="both"/>
        <w:rPr>
          <w:rFonts w:ascii="Times New Roman" w:hAnsi="Times New Roman" w:cs="Times New Roman"/>
          <w:b/>
          <w:b/>
          <w:bCs/>
          <w:color w:val="000000"/>
          <w:szCs w:val="24"/>
        </w:rPr>
      </w:pPr>
      <w:r>
        <w:rPr>
          <w:rFonts w:cs="Times New Roman" w:ascii="Times New Roman" w:hAnsi="Times New Roman"/>
          <w:b/>
          <w:bCs/>
          <w:color w:val="000000"/>
          <w:szCs w:val="24"/>
        </w:rPr>
      </w:r>
    </w:p>
    <w:p>
      <w:pPr>
        <w:pStyle w:val="Texte"/>
        <w:spacing w:before="120" w:after="0"/>
        <w:ind w:left="7788" w:hanging="0"/>
        <w:rPr>
          <w:rFonts w:ascii="Times New Roman" w:hAnsi="Times New Roman" w:cs="Times New Roman"/>
          <w:b/>
          <w:b/>
          <w:color w:val="000000"/>
          <w:szCs w:val="24"/>
        </w:rPr>
      </w:pPr>
      <w:r>
        <w:rPr>
          <w:rFonts w:cs="Times New Roman" w:ascii="Times New Roman" w:hAnsi="Times New Roman"/>
          <w:b/>
          <w:color w:val="000000"/>
          <w:szCs w:val="24"/>
        </w:rPr>
        <w:t>D’une part,</w:t>
      </w:r>
    </w:p>
    <w:p>
      <w:pPr>
        <w:pStyle w:val="Texte"/>
        <w:spacing w:before="120" w:after="0"/>
        <w:ind w:hanging="0"/>
        <w:rPr>
          <w:rFonts w:ascii="Times New Roman" w:hAnsi="Times New Roman" w:cs="Times New Roman"/>
          <w:b/>
          <w:b/>
          <w:color w:val="000000"/>
          <w:szCs w:val="24"/>
        </w:rPr>
      </w:pPr>
      <w:r>
        <w:rPr>
          <w:rFonts w:cs="Times New Roman" w:ascii="Times New Roman" w:hAnsi="Times New Roman"/>
          <w:b/>
          <w:color w:val="000000"/>
          <w:szCs w:val="24"/>
        </w:rPr>
        <w:t xml:space="preserve">ET </w:t>
      </w:r>
    </w:p>
    <w:p>
      <w:pPr>
        <w:pStyle w:val="Texte"/>
        <w:spacing w:before="120" w:after="0"/>
        <w:rPr>
          <w:rFonts w:ascii="Times New Roman" w:hAnsi="Times New Roman" w:cs="Times New Roman"/>
          <w:b/>
          <w:b/>
          <w:color w:val="000000"/>
          <w:szCs w:val="24"/>
        </w:rPr>
      </w:pPr>
      <w:r>
        <w:rPr>
          <w:rFonts w:cs="Times New Roman" w:ascii="Times New Roman" w:hAnsi="Times New Roman"/>
          <w:b/>
          <w:color w:val="000000"/>
          <w:szCs w:val="24"/>
        </w:rPr>
      </w:r>
    </w:p>
    <w:p>
      <w:pPr>
        <w:pStyle w:val="Texte"/>
        <w:spacing w:before="120" w:after="0"/>
        <w:ind w:left="708" w:hanging="0"/>
        <w:rPr>
          <w:rFonts w:ascii="Times New Roman" w:hAnsi="Times New Roman" w:cs="Times New Roman"/>
          <w:bCs/>
          <w:szCs w:val="24"/>
        </w:rPr>
      </w:pPr>
      <w:r>
        <w:rPr>
          <w:rFonts w:cs="Times New Roman" w:ascii="Times New Roman" w:hAnsi="Times New Roman"/>
          <w:b/>
          <w:szCs w:val="24"/>
        </w:rPr>
        <w:t>Les organisations syndicales suivantes </w:t>
      </w:r>
      <w:r>
        <w:rPr>
          <w:rFonts w:cs="Times New Roman" w:ascii="Times New Roman" w:hAnsi="Times New Roman"/>
          <w:bCs/>
          <w:szCs w:val="24"/>
        </w:rPr>
        <w:t>:</w:t>
      </w:r>
    </w:p>
    <w:p>
      <w:pPr>
        <w:pStyle w:val="Paragraphedeliste"/>
        <w:jc w:val="both"/>
        <w:rPr>
          <w:rFonts w:ascii="Times New Roman" w:hAnsi="Times New Roman" w:cs="Times New Roman"/>
          <w:bCs/>
          <w:szCs w:val="24"/>
        </w:rPr>
      </w:pPr>
      <w:r>
        <w:rPr>
          <w:rFonts w:cs="Times New Roman"/>
          <w:bCs/>
          <w:szCs w:val="24"/>
        </w:rPr>
      </w:r>
    </w:p>
    <w:p>
      <w:pPr>
        <w:pStyle w:val="Paragraphedeliste"/>
        <w:jc w:val="both"/>
        <w:rPr/>
      </w:pPr>
      <w:r>
        <w:rPr>
          <w:b/>
        </w:rPr>
        <w:t xml:space="preserve">L’organisation syndicale SIPRF, représentée par Monsieur </w:t>
      </w:r>
      <w:r>
        <w:rPr>
          <w:bCs/>
        </w:rPr>
        <w:t>agissant en qualité de délégué syndical,</w:t>
      </w:r>
    </w:p>
    <w:p>
      <w:pPr>
        <w:pStyle w:val="Paragraphedeliste"/>
        <w:jc w:val="both"/>
        <w:rPr>
          <w:bCs/>
        </w:rPr>
      </w:pPr>
      <w:r>
        <w:rPr>
          <w:bCs/>
        </w:rPr>
      </w:r>
    </w:p>
    <w:p>
      <w:pPr>
        <w:pStyle w:val="Paragraphedeliste"/>
        <w:jc w:val="both"/>
        <w:rPr/>
      </w:pPr>
      <w:r>
        <w:rPr>
          <w:b/>
        </w:rPr>
        <w:t xml:space="preserve">L’organisation syndicale FO, représentée par Monsieur </w:t>
      </w:r>
      <w:r>
        <w:rPr>
          <w:bCs/>
        </w:rPr>
        <w:t>agissant en qualité de délégué syndical,</w:t>
      </w:r>
    </w:p>
    <w:p>
      <w:pPr>
        <w:pStyle w:val="Paragraphedeliste"/>
        <w:jc w:val="both"/>
        <w:rPr>
          <w:bCs/>
        </w:rPr>
      </w:pPr>
      <w:r>
        <w:rPr>
          <w:bCs/>
        </w:rPr>
      </w:r>
    </w:p>
    <w:p>
      <w:pPr>
        <w:pStyle w:val="Paragraphedeliste"/>
        <w:jc w:val="both"/>
        <w:rPr/>
      </w:pPr>
      <w:r>
        <w:rPr>
          <w:b/>
        </w:rPr>
        <w:t xml:space="preserve">L’organisation syndicale CFDT, représentée par Monsieur </w:t>
      </w:r>
      <w:r>
        <w:rPr>
          <w:bCs/>
        </w:rPr>
        <w:t>agissant en qualité de délégué syndical,</w:t>
      </w:r>
    </w:p>
    <w:p>
      <w:pPr>
        <w:pStyle w:val="Paragraphedeliste"/>
        <w:jc w:val="both"/>
        <w:rPr>
          <w:bCs/>
        </w:rPr>
      </w:pPr>
      <w:r>
        <w:rPr>
          <w:bCs/>
        </w:rPr>
      </w:r>
    </w:p>
    <w:p>
      <w:pPr>
        <w:pStyle w:val="Paragraphedeliste"/>
        <w:jc w:val="both"/>
        <w:rPr>
          <w:b/>
          <w:b/>
        </w:rPr>
      </w:pPr>
      <w:r>
        <w:rPr>
          <w:b/>
        </w:rPr>
        <w:t xml:space="preserve">L’organisation syndicale CGT, représentée par Monsieur </w:t>
      </w:r>
    </w:p>
    <w:p>
      <w:pPr>
        <w:pStyle w:val="Paragraphedeliste"/>
        <w:jc w:val="both"/>
        <w:rPr>
          <w:b/>
          <w:b/>
        </w:rPr>
      </w:pPr>
      <w:r>
        <w:rPr>
          <w:b/>
        </w:rPr>
      </w:r>
    </w:p>
    <w:p>
      <w:pPr>
        <w:pStyle w:val="Paragraphedeliste"/>
        <w:jc w:val="both"/>
        <w:rPr>
          <w:b/>
          <w:b/>
        </w:rPr>
      </w:pPr>
      <w:r>
        <w:rPr>
          <w:b/>
        </w:rPr>
        <w:t xml:space="preserve">L’organisation syndicale SNI2A-CFE-CGC, représentée par Monsieur </w:t>
      </w:r>
    </w:p>
    <w:p>
      <w:pPr>
        <w:pStyle w:val="Paragraphedeliste"/>
        <w:rPr>
          <w:b/>
          <w:b/>
          <w:bCs/>
        </w:rPr>
      </w:pPr>
      <w:r>
        <w:rPr>
          <w:b/>
          <w:bCs/>
        </w:rPr>
      </w:r>
    </w:p>
    <w:p>
      <w:pPr>
        <w:pStyle w:val="Texte"/>
        <w:spacing w:before="120" w:after="0"/>
        <w:ind w:left="5664" w:firstLine="708"/>
        <w:rPr>
          <w:rFonts w:ascii="Times New Roman" w:hAnsi="Times New Roman" w:cs="Times New Roman"/>
          <w:b/>
          <w:b/>
          <w:color w:val="000000"/>
          <w:szCs w:val="24"/>
        </w:rPr>
      </w:pPr>
      <w:r>
        <w:rPr>
          <w:rFonts w:cs="Times New Roman" w:ascii="Times New Roman" w:hAnsi="Times New Roman"/>
          <w:b/>
          <w:color w:val="000000"/>
          <w:szCs w:val="24"/>
        </w:rPr>
        <w:t>D’autre part,</w:t>
      </w:r>
    </w:p>
    <w:p>
      <w:pPr>
        <w:pStyle w:val="Normal"/>
        <w:rPr>
          <w:rFonts w:ascii="Times New Roman" w:hAnsi="Times New Roman" w:cs="Times New Roman"/>
          <w:b/>
          <w:b/>
          <w:color w:val="000000"/>
          <w:szCs w:val="24"/>
        </w:rPr>
      </w:pPr>
      <w:r>
        <w:rPr>
          <w:rFonts w:cs="Times New Roman"/>
          <w:b/>
          <w:color w:val="000000"/>
          <w:szCs w:val="24"/>
        </w:rPr>
      </w:r>
    </w:p>
    <w:p>
      <w:pPr>
        <w:pStyle w:val="TextBodyIndent"/>
        <w:ind w:left="0" w:hanging="0"/>
        <w:jc w:val="both"/>
        <w:rPr/>
      </w:pPr>
      <w:r>
        <w:rPr/>
      </w:r>
    </w:p>
    <w:p>
      <w:pPr>
        <w:pStyle w:val="TextBodyIndent"/>
        <w:ind w:left="0" w:hanging="0"/>
        <w:jc w:val="both"/>
        <w:rPr/>
      </w:pPr>
      <w:r>
        <w:rPr/>
        <w:t>Il a été conclu ce qui suit :</w:t>
      </w:r>
    </w:p>
    <w:p>
      <w:pPr>
        <w:pStyle w:val="TextBodyIndent"/>
        <w:ind w:left="0" w:hanging="0"/>
        <w:jc w:val="both"/>
        <w:rPr/>
      </w:pPr>
      <w:r>
        <w:rPr/>
      </w:r>
    </w:p>
    <w:p>
      <w:pPr>
        <w:pStyle w:val="Normal"/>
        <w:rPr/>
      </w:pPr>
      <w:r>
        <w:rPr/>
      </w:r>
    </w:p>
    <w:p>
      <w:pPr>
        <w:pStyle w:val="Header"/>
        <w:jc w:val="both"/>
        <w:rPr/>
      </w:pPr>
      <w:r>
        <w:rPr/>
      </w:r>
    </w:p>
    <w:p>
      <w:pPr>
        <w:pStyle w:val="Normal"/>
        <w:ind w:left="708" w:firstLine="708"/>
        <w:jc w:val="both"/>
        <w:rPr>
          <w:b/>
          <w:b/>
        </w:rPr>
      </w:pPr>
      <w:r>
        <w:rPr>
          <w:b/>
        </w:rPr>
      </w:r>
    </w:p>
    <w:p>
      <w:pPr>
        <w:pStyle w:val="Normal"/>
        <w:jc w:val="both"/>
        <w:rPr>
          <w:b/>
          <w:b/>
        </w:rPr>
      </w:pPr>
      <w:r>
        <w:rPr>
          <w:b/>
        </w:rPr>
      </w:r>
    </w:p>
    <w:p>
      <w:pPr>
        <w:pStyle w:val="Normal"/>
        <w:jc w:val="both"/>
        <w:rPr/>
      </w:pPr>
      <w:r>
        <w:rPr/>
      </w:r>
    </w:p>
    <w:p>
      <w:pPr>
        <w:pStyle w:val="Normal"/>
        <w:jc w:val="both"/>
        <w:rPr/>
      </w:pPr>
      <w:r>
        <w:rPr/>
      </w:r>
    </w:p>
    <w:p>
      <w:pPr>
        <w:pStyle w:val="Normal"/>
        <w:jc w:val="center"/>
        <w:rPr>
          <w:sz w:val="32"/>
        </w:rPr>
      </w:pPr>
      <w:r>
        <w:rPr>
          <w:sz w:val="32"/>
        </w:rPr>
        <w:t>****</w:t>
      </w:r>
    </w:p>
    <w:p>
      <w:pPr>
        <w:pStyle w:val="Normal"/>
        <w:jc w:val="both"/>
        <w:rPr>
          <w:sz w:val="32"/>
        </w:rPr>
      </w:pPr>
      <w:r>
        <w:rPr>
          <w:sz w:val="32"/>
        </w:rPr>
      </w:r>
    </w:p>
    <w:p>
      <w:pPr>
        <w:pStyle w:val="Normal"/>
        <w:jc w:val="both"/>
        <w:rPr/>
      </w:pPr>
      <w:r>
        <w:rPr/>
        <w:t xml:space="preserve">Préambule </w:t>
      </w:r>
    </w:p>
    <w:p>
      <w:pPr>
        <w:pStyle w:val="Normal"/>
        <w:jc w:val="both"/>
        <w:rPr/>
      </w:pPr>
      <w:r>
        <w:rPr/>
      </w:r>
    </w:p>
    <w:p>
      <w:pPr>
        <w:pStyle w:val="Normal"/>
        <w:jc w:val="both"/>
        <w:rPr/>
      </w:pPr>
      <w:r>
        <w:rPr/>
        <w:t xml:space="preserve">Les Parties rappellent que conformément aux dispositions des article L.2242-13 et suivants du Code du travail, des négociations obligatoires ont été ouvertes au mois de mars sur le thème de la rémunération, des salaires effectifs, du temps de travail et sur le partage de la valeur ajoutée. </w:t>
      </w:r>
    </w:p>
    <w:p>
      <w:pPr>
        <w:pStyle w:val="Normal"/>
        <w:jc w:val="both"/>
        <w:rPr/>
      </w:pPr>
      <w:r>
        <w:rPr/>
      </w:r>
    </w:p>
    <w:p>
      <w:pPr>
        <w:pStyle w:val="Normal"/>
        <w:jc w:val="both"/>
        <w:rPr/>
      </w:pPr>
      <w:r>
        <w:rPr/>
        <w:t>Dans ce cadre les représentants des organisations syndicales et la direction de l’entreprise se sont rencontrés les 11 et 25 mars et 6 avril 2022.</w:t>
      </w:r>
    </w:p>
    <w:p>
      <w:pPr>
        <w:pStyle w:val="Normal"/>
        <w:jc w:val="both"/>
        <w:rPr/>
      </w:pPr>
      <w:r>
        <w:rPr/>
      </w:r>
    </w:p>
    <w:p>
      <w:pPr>
        <w:pStyle w:val="Normal"/>
        <w:jc w:val="both"/>
        <w:rPr/>
      </w:pPr>
      <w:r>
        <w:rPr/>
        <w:t>Les discussions ont abouti aux décisions détaillées ci-après.</w:t>
      </w:r>
    </w:p>
    <w:p>
      <w:pPr>
        <w:pStyle w:val="Normal"/>
        <w:jc w:val="both"/>
        <w:rPr/>
      </w:pPr>
      <w:r>
        <w:rPr/>
      </w:r>
    </w:p>
    <w:p>
      <w:pPr>
        <w:pStyle w:val="Normal"/>
        <w:jc w:val="both"/>
        <w:rPr/>
      </w:pPr>
      <w:r>
        <w:rPr/>
        <w:t>Par ailleurs, les Parties précisent qu’outre les mesures prévues dans le cadre du présent accord, les autres mesures suivantes ont été convenues dans le cadre de ces NAO - ces mesures feront l’objet d’accords autonomes ou d’avenants aux accords applicables au sein de la société Pernod Ricard France conformément à la volonté des Parties :</w:t>
      </w:r>
    </w:p>
    <w:p>
      <w:pPr>
        <w:pStyle w:val="Normal"/>
        <w:numPr>
          <w:ilvl w:val="0"/>
          <w:numId w:val="3"/>
        </w:numPr>
        <w:jc w:val="both"/>
        <w:rPr/>
      </w:pPr>
      <w:r>
        <w:rPr/>
        <w:t>Revalorisation de la prime de performance,</w:t>
      </w:r>
    </w:p>
    <w:p>
      <w:pPr>
        <w:pStyle w:val="Normal"/>
        <w:numPr>
          <w:ilvl w:val="0"/>
          <w:numId w:val="3"/>
        </w:numPr>
        <w:rPr/>
      </w:pPr>
      <w:r>
        <w:rPr/>
        <w:t xml:space="preserve">Revalorisation de la participation entreprise de 0,40€ dans la limite des plafonds URSSAF, applicable aux titres restaurants, primes de panier et carte restaurant, </w:t>
      </w:r>
    </w:p>
    <w:p>
      <w:pPr>
        <w:pStyle w:val="Normal"/>
        <w:numPr>
          <w:ilvl w:val="0"/>
          <w:numId w:val="3"/>
        </w:numPr>
        <w:jc w:val="both"/>
        <w:rPr/>
      </w:pPr>
      <w:r>
        <w:rPr/>
        <w:t>Revalorisation du budget social et loisir du CSE Central.</w:t>
      </w:r>
    </w:p>
    <w:p>
      <w:pPr>
        <w:pStyle w:val="Normal"/>
        <w:jc w:val="both"/>
        <w:rPr/>
      </w:pPr>
      <w:r>
        <w:rPr/>
      </w:r>
    </w:p>
    <w:p>
      <w:pPr>
        <w:pStyle w:val="Normal"/>
        <w:spacing w:lineRule="auto" w:line="256" w:before="240" w:after="160"/>
        <w:jc w:val="both"/>
        <w:rPr>
          <w:rFonts w:eastAsia="Calibri"/>
          <w:lang w:eastAsia="en-US"/>
        </w:rPr>
      </w:pPr>
      <w:r>
        <w:rPr>
          <w:rFonts w:eastAsia="Calibri"/>
          <w:b/>
          <w:u w:val="single"/>
          <w:lang w:eastAsia="en-US"/>
        </w:rPr>
        <w:t xml:space="preserve">Article 1 – Mesures salariales </w:t>
      </w:r>
    </w:p>
    <w:p>
      <w:pPr>
        <w:pStyle w:val="Paragraphedeliste"/>
        <w:ind w:left="0" w:hanging="0"/>
        <w:jc w:val="both"/>
        <w:rPr>
          <w:rFonts w:eastAsia="Calibri"/>
          <w:lang w:eastAsia="en-US"/>
        </w:rPr>
      </w:pPr>
      <w:r>
        <w:rPr>
          <w:rFonts w:eastAsia="Calibri"/>
          <w:lang w:eastAsia="en-US"/>
        </w:rPr>
      </w:r>
    </w:p>
    <w:p>
      <w:pPr>
        <w:pStyle w:val="Paragraphedeliste"/>
        <w:ind w:left="0" w:hanging="0"/>
        <w:jc w:val="both"/>
        <w:rPr/>
      </w:pPr>
      <w:r>
        <w:rPr/>
        <w:t>Dans le contexte particulier de cette année, avec l’instabilité des marchés due à la guerre en Ukraine, la situation COVID instable et ses conséquences économiques, la Direction et les Organisations Syndicales se sont mises d’accord sur les mesures suivantes :</w:t>
      </w:r>
    </w:p>
    <w:p>
      <w:pPr>
        <w:pStyle w:val="Normal"/>
        <w:jc w:val="both"/>
        <w:rPr/>
      </w:pPr>
      <w:r>
        <w:rPr/>
      </w:r>
    </w:p>
    <w:p>
      <w:pPr>
        <w:pStyle w:val="Normal"/>
        <w:spacing w:lineRule="atLeast" w:line="240" w:before="0" w:after="0"/>
        <w:contextualSpacing/>
        <w:jc w:val="both"/>
        <w:rPr>
          <w:b/>
          <w:b/>
          <w:bCs/>
          <w:color w:val="002060"/>
        </w:rPr>
      </w:pPr>
      <w:r>
        <w:rPr>
          <w:b/>
          <w:bCs/>
          <w:color w:val="002060"/>
        </w:rPr>
        <w:t>Employés / ouvriers :</w:t>
      </w:r>
    </w:p>
    <w:p>
      <w:pPr>
        <w:pStyle w:val="Normal"/>
        <w:spacing w:lineRule="atLeast" w:line="240" w:before="0" w:after="0"/>
        <w:contextualSpacing/>
        <w:jc w:val="both"/>
        <w:rPr>
          <w:b/>
          <w:b/>
          <w:bCs/>
          <w:color w:val="4472C4"/>
        </w:rPr>
      </w:pPr>
      <w:r>
        <w:rPr>
          <w:b/>
          <w:bCs/>
          <w:color w:val="4472C4"/>
        </w:rPr>
      </w:r>
    </w:p>
    <w:p>
      <w:pPr>
        <w:pStyle w:val="Normal"/>
        <w:numPr>
          <w:ilvl w:val="0"/>
          <w:numId w:val="5"/>
        </w:numPr>
        <w:spacing w:before="0" w:after="0"/>
        <w:contextualSpacing/>
        <w:jc w:val="both"/>
        <w:rPr>
          <w:b/>
          <w:b/>
          <w:bCs/>
        </w:rPr>
      </w:pPr>
      <w:r>
        <w:rPr>
          <w:b/>
          <w:bCs/>
        </w:rPr>
        <w:t>Augmentation Générale : 2,9 %</w:t>
      </w:r>
      <w:r>
        <w:rPr>
          <w:lang w:eastAsia="en-US"/>
        </w:rPr>
        <w:t xml:space="preserve">. </w:t>
      </w:r>
      <w:r>
        <w:rPr>
          <w:b/>
          <w:bCs/>
        </w:rPr>
        <w:t>Avec application d’un talon à 60 € bruts</w:t>
      </w:r>
    </w:p>
    <w:p>
      <w:pPr>
        <w:pStyle w:val="Normal"/>
        <w:numPr>
          <w:ilvl w:val="0"/>
          <w:numId w:val="5"/>
        </w:numPr>
        <w:spacing w:lineRule="atLeast" w:line="240" w:before="0" w:after="0"/>
        <w:contextualSpacing/>
        <w:jc w:val="both"/>
        <w:rPr>
          <w:b/>
          <w:b/>
          <w:bCs/>
        </w:rPr>
      </w:pPr>
      <w:bookmarkStart w:id="0" w:name="_Hlk100212441"/>
      <w:r>
        <w:rPr>
          <w:b/>
          <w:bCs/>
        </w:rPr>
        <w:t>Augmentation Individuelle : enveloppe globale de 0</w:t>
      </w:r>
      <w:bookmarkEnd w:id="0"/>
      <w:r>
        <w:rPr>
          <w:b/>
          <w:bCs/>
        </w:rPr>
        <w:t>,6 %</w:t>
      </w:r>
    </w:p>
    <w:p>
      <w:pPr>
        <w:pStyle w:val="Normal"/>
        <w:numPr>
          <w:ilvl w:val="0"/>
          <w:numId w:val="5"/>
        </w:numPr>
        <w:spacing w:lineRule="atLeast" w:line="240" w:before="0" w:after="0"/>
        <w:contextualSpacing/>
        <w:jc w:val="both"/>
        <w:rPr>
          <w:b/>
          <w:b/>
          <w:bCs/>
        </w:rPr>
      </w:pPr>
      <w:r>
        <w:rPr>
          <w:b/>
          <w:bCs/>
        </w:rPr>
        <w:t xml:space="preserve">Taux pivot : </w:t>
      </w:r>
      <w:r>
        <w:rPr/>
        <w:t xml:space="preserve">Les collaborateurs ayant une performance conforme aux attentes pourront prétendre à une fourchette d’augmentation entre </w:t>
      </w:r>
      <w:r>
        <w:rPr>
          <w:b/>
          <w:bCs/>
        </w:rPr>
        <w:t>2,9 % et 3,8 %.</w:t>
      </w:r>
    </w:p>
    <w:p>
      <w:pPr>
        <w:pStyle w:val="Normal"/>
        <w:spacing w:lineRule="atLeast" w:line="240" w:before="0" w:after="0"/>
        <w:ind w:left="720" w:hanging="0"/>
        <w:contextualSpacing/>
        <w:jc w:val="both"/>
        <w:rPr>
          <w:b/>
          <w:b/>
          <w:bCs/>
        </w:rPr>
      </w:pPr>
      <w:r>
        <w:rPr>
          <w:b/>
          <w:bCs/>
        </w:rPr>
      </w:r>
    </w:p>
    <w:p>
      <w:pPr>
        <w:pStyle w:val="Normal"/>
        <w:spacing w:lineRule="atLeast" w:line="240"/>
        <w:jc w:val="both"/>
        <w:rPr>
          <w:b/>
          <w:b/>
          <w:bCs/>
          <w:color w:val="002060"/>
        </w:rPr>
      </w:pPr>
      <w:bookmarkStart w:id="1" w:name="_Hlk100212541"/>
      <w:r>
        <w:rPr>
          <w:b/>
          <w:bCs/>
          <w:color w:val="002060"/>
        </w:rPr>
        <w:t xml:space="preserve">Employés / ouvriers / agents de maitrise </w:t>
      </w:r>
      <w:bookmarkEnd w:id="1"/>
      <w:r>
        <w:rPr>
          <w:b/>
          <w:bCs/>
          <w:color w:val="002060"/>
        </w:rPr>
        <w:t xml:space="preserve">(usine) : </w:t>
      </w:r>
    </w:p>
    <w:p>
      <w:pPr>
        <w:pStyle w:val="Normal"/>
        <w:spacing w:lineRule="atLeast" w:line="240"/>
        <w:jc w:val="both"/>
        <w:rPr>
          <w:b/>
          <w:b/>
          <w:bCs/>
          <w:color w:val="002060"/>
        </w:rPr>
      </w:pPr>
      <w:r>
        <w:rPr>
          <w:b/>
          <w:bCs/>
          <w:color w:val="002060"/>
        </w:rPr>
      </w:r>
    </w:p>
    <w:p>
      <w:pPr>
        <w:pStyle w:val="Normal"/>
        <w:numPr>
          <w:ilvl w:val="0"/>
          <w:numId w:val="5"/>
        </w:numPr>
        <w:spacing w:lineRule="atLeast" w:line="240" w:before="0" w:after="0"/>
        <w:contextualSpacing/>
        <w:jc w:val="both"/>
        <w:rPr>
          <w:b/>
          <w:b/>
          <w:bCs/>
        </w:rPr>
      </w:pPr>
      <w:r>
        <w:rPr>
          <w:b/>
          <w:bCs/>
        </w:rPr>
        <w:t>Revalorisation de la prime de performance de 600 € à 680 € bruts.</w:t>
      </w:r>
    </w:p>
    <w:p>
      <w:pPr>
        <w:pStyle w:val="Normal"/>
        <w:spacing w:lineRule="atLeast" w:line="240" w:before="0" w:after="0"/>
        <w:contextualSpacing/>
        <w:jc w:val="both"/>
        <w:rPr>
          <w:b/>
          <w:b/>
          <w:bCs/>
        </w:rPr>
      </w:pPr>
      <w:r>
        <w:rPr>
          <w:b/>
          <w:bCs/>
        </w:rPr>
      </w:r>
    </w:p>
    <w:p>
      <w:pPr>
        <w:pStyle w:val="Normal"/>
        <w:spacing w:lineRule="atLeast" w:line="240" w:before="0" w:after="0"/>
        <w:contextualSpacing/>
        <w:jc w:val="both"/>
        <w:rPr>
          <w:b/>
          <w:b/>
          <w:bCs/>
          <w:color w:val="002060"/>
        </w:rPr>
      </w:pPr>
      <w:r>
        <w:rPr>
          <w:b/>
          <w:bCs/>
          <w:color w:val="002060"/>
        </w:rPr>
        <w:t>Cadres et agents de maîtrise :</w:t>
      </w:r>
    </w:p>
    <w:p>
      <w:pPr>
        <w:pStyle w:val="Normal"/>
        <w:spacing w:lineRule="atLeast" w:line="240" w:before="0" w:after="0"/>
        <w:contextualSpacing/>
        <w:jc w:val="both"/>
        <w:rPr>
          <w:b/>
          <w:b/>
          <w:bCs/>
          <w:color w:val="002060"/>
        </w:rPr>
      </w:pPr>
      <w:r>
        <w:rPr>
          <w:b/>
          <w:bCs/>
          <w:color w:val="002060"/>
        </w:rPr>
      </w:r>
    </w:p>
    <w:p>
      <w:pPr>
        <w:pStyle w:val="Normal"/>
        <w:numPr>
          <w:ilvl w:val="0"/>
          <w:numId w:val="4"/>
        </w:numPr>
        <w:spacing w:lineRule="atLeast" w:line="240" w:before="0" w:after="0"/>
        <w:contextualSpacing/>
        <w:jc w:val="both"/>
        <w:rPr>
          <w:b/>
          <w:b/>
          <w:bCs/>
        </w:rPr>
      </w:pPr>
      <w:r>
        <w:rPr>
          <w:b/>
          <w:bCs/>
        </w:rPr>
        <w:t>Augmentation Individuelle : enveloppe globale de 3,5 %</w:t>
      </w:r>
    </w:p>
    <w:p>
      <w:pPr>
        <w:pStyle w:val="Normal"/>
        <w:numPr>
          <w:ilvl w:val="0"/>
          <w:numId w:val="4"/>
        </w:numPr>
        <w:spacing w:lineRule="atLeast" w:line="240" w:before="0" w:after="0"/>
        <w:contextualSpacing/>
        <w:jc w:val="both"/>
        <w:rPr>
          <w:b/>
          <w:b/>
          <w:bCs/>
        </w:rPr>
      </w:pPr>
      <w:r>
        <w:rPr>
          <w:b/>
          <w:bCs/>
        </w:rPr>
        <w:t xml:space="preserve">Taux pivot : </w:t>
      </w:r>
      <w:r>
        <w:rPr/>
        <w:t xml:space="preserve">Les collaborateurs ayant une performance conforme aux attentes pourront prétendre à une fourchette d’augmentation entre </w:t>
      </w:r>
      <w:r>
        <w:rPr>
          <w:b/>
          <w:bCs/>
        </w:rPr>
        <w:t>2,9 % et 3,8 %.</w:t>
      </w:r>
    </w:p>
    <w:p>
      <w:pPr>
        <w:pStyle w:val="Normal"/>
        <w:spacing w:lineRule="atLeast" w:line="240" w:before="0" w:after="0"/>
        <w:contextualSpacing/>
        <w:jc w:val="both"/>
        <w:rPr>
          <w:b/>
          <w:b/>
          <w:bCs/>
        </w:rPr>
      </w:pPr>
      <w:r>
        <w:rPr>
          <w:b/>
          <w:bCs/>
        </w:rPr>
      </w:r>
    </w:p>
    <w:p>
      <w:pPr>
        <w:pStyle w:val="Normal"/>
        <w:spacing w:lineRule="atLeast" w:line="240" w:before="0" w:after="0"/>
        <w:contextualSpacing/>
        <w:jc w:val="both"/>
        <w:rPr>
          <w:b/>
          <w:b/>
          <w:bCs/>
          <w:color w:val="002060"/>
        </w:rPr>
      </w:pPr>
      <w:r>
        <w:rPr>
          <w:b/>
          <w:bCs/>
          <w:color w:val="002060"/>
        </w:rPr>
        <w:t>Toute population :</w:t>
      </w:r>
    </w:p>
    <w:p>
      <w:pPr>
        <w:pStyle w:val="Normal"/>
        <w:spacing w:lineRule="atLeast" w:line="240" w:before="0" w:after="0"/>
        <w:contextualSpacing/>
        <w:jc w:val="both"/>
        <w:rPr>
          <w:b/>
          <w:b/>
          <w:bCs/>
          <w:color w:val="002060"/>
        </w:rPr>
      </w:pPr>
      <w:r>
        <w:rPr>
          <w:b/>
          <w:bCs/>
          <w:color w:val="002060"/>
        </w:rPr>
      </w:r>
    </w:p>
    <w:p>
      <w:pPr>
        <w:pStyle w:val="Normal"/>
        <w:numPr>
          <w:ilvl w:val="0"/>
          <w:numId w:val="4"/>
        </w:numPr>
        <w:rPr>
          <w:b/>
          <w:b/>
          <w:bCs/>
        </w:rPr>
      </w:pPr>
      <w:r>
        <w:rPr>
          <w:b/>
          <w:bCs/>
        </w:rPr>
        <w:t>Enveloppe complémentaire de promotions, rattrapages et performance ou efforts exceptionnels sur proposition des managers et validation du Comité de Direction : 0,3 %</w:t>
      </w:r>
    </w:p>
    <w:p>
      <w:pPr>
        <w:pStyle w:val="Normal"/>
        <w:numPr>
          <w:ilvl w:val="0"/>
          <w:numId w:val="4"/>
        </w:numPr>
        <w:rPr/>
      </w:pPr>
      <w:r>
        <w:rPr/>
        <w:t>Les collaborateurs ayant une rémunération égale ou supérieure à 140% de leur benchmark de référence, se verront attribuer l’augmentation sous forme de prime.</w:t>
      </w:r>
    </w:p>
    <w:p>
      <w:pPr>
        <w:pStyle w:val="Normal"/>
        <w:spacing w:lineRule="atLeast" w:line="240" w:before="0" w:after="0"/>
        <w:ind w:left="720" w:hanging="0"/>
        <w:contextualSpacing/>
        <w:jc w:val="both"/>
        <w:rPr>
          <w:b/>
          <w:b/>
          <w:bCs/>
        </w:rPr>
      </w:pPr>
      <w:r>
        <w:rPr>
          <w:b/>
          <w:bCs/>
        </w:rPr>
      </w:r>
    </w:p>
    <w:p>
      <w:pPr>
        <w:pStyle w:val="Normal"/>
        <w:spacing w:lineRule="atLeast" w:line="240"/>
        <w:jc w:val="both"/>
        <w:rPr>
          <w:b/>
          <w:b/>
          <w:bCs/>
        </w:rPr>
      </w:pPr>
      <w:r>
        <w:rPr/>
        <w:t xml:space="preserve">Ces augmentations interviendront sur la paie de </w:t>
      </w:r>
      <w:r>
        <w:rPr>
          <w:b/>
          <w:bCs/>
        </w:rPr>
        <w:t>septembre 2022</w:t>
      </w:r>
      <w:r>
        <w:rPr/>
        <w:t xml:space="preserve"> avec un effet rétroactif au </w:t>
      </w:r>
      <w:r>
        <w:rPr>
          <w:b/>
          <w:bCs/>
        </w:rPr>
        <w:t>1er juillet 2022.</w:t>
      </w:r>
    </w:p>
    <w:p>
      <w:pPr>
        <w:pStyle w:val="Normal"/>
        <w:jc w:val="both"/>
        <w:rPr>
          <w:b/>
          <w:b/>
          <w:bCs/>
          <w:color w:val="002060"/>
        </w:rPr>
      </w:pPr>
      <w:r>
        <w:rPr>
          <w:b/>
          <w:bCs/>
          <w:color w:val="002060"/>
        </w:rPr>
      </w:r>
    </w:p>
    <w:p>
      <w:pPr>
        <w:pStyle w:val="Normal"/>
        <w:spacing w:lineRule="atLeast" w:line="240" w:before="0" w:after="0"/>
        <w:contextualSpacing/>
        <w:jc w:val="both"/>
        <w:rPr>
          <w:b/>
          <w:b/>
          <w:bCs/>
          <w:color w:val="002060"/>
        </w:rPr>
      </w:pPr>
      <w:r>
        <w:rPr>
          <w:b/>
          <w:bCs/>
          <w:color w:val="002060"/>
        </w:rPr>
        <w:t>Restauration :</w:t>
      </w:r>
    </w:p>
    <w:p>
      <w:pPr>
        <w:pStyle w:val="Normal"/>
        <w:spacing w:lineRule="atLeast" w:line="240" w:before="0" w:after="0"/>
        <w:contextualSpacing/>
        <w:jc w:val="both"/>
        <w:rPr>
          <w:b/>
          <w:b/>
          <w:bCs/>
          <w:color w:val="002060"/>
        </w:rPr>
      </w:pPr>
      <w:r>
        <w:rPr>
          <w:b/>
          <w:bCs/>
          <w:color w:val="002060"/>
        </w:rPr>
      </w:r>
    </w:p>
    <w:p>
      <w:pPr>
        <w:pStyle w:val="Normal"/>
        <w:numPr>
          <w:ilvl w:val="0"/>
          <w:numId w:val="2"/>
        </w:numPr>
        <w:spacing w:lineRule="atLeast" w:line="240" w:before="0" w:after="0"/>
        <w:contextualSpacing/>
        <w:jc w:val="both"/>
        <w:rPr/>
      </w:pPr>
      <w:r>
        <w:rPr>
          <w:b/>
          <w:bCs/>
        </w:rPr>
        <w:t xml:space="preserve">Revalorisation de la participation entreprise de 0,40€ dans la limite des plafonds URSSAF, </w:t>
      </w:r>
      <w:r>
        <w:rPr/>
        <w:t xml:space="preserve">applicable aux titres restaurants, primes de panier et carte restaurant. </w:t>
      </w:r>
    </w:p>
    <w:p>
      <w:pPr>
        <w:pStyle w:val="Normal"/>
        <w:spacing w:lineRule="atLeast" w:line="240" w:before="0" w:after="0"/>
        <w:ind w:left="720" w:hanging="0"/>
        <w:contextualSpacing/>
        <w:jc w:val="both"/>
        <w:rPr>
          <w:b/>
          <w:b/>
          <w:bCs/>
        </w:rPr>
      </w:pPr>
      <w:r>
        <w:rPr>
          <w:b/>
          <w:bCs/>
        </w:rPr>
      </w:r>
    </w:p>
    <w:p>
      <w:pPr>
        <w:pStyle w:val="Normal"/>
        <w:spacing w:lineRule="atLeast" w:line="240" w:before="0" w:after="0"/>
        <w:contextualSpacing/>
        <w:jc w:val="both"/>
        <w:rPr>
          <w:b/>
          <w:b/>
          <w:bCs/>
          <w:color w:val="002060"/>
        </w:rPr>
      </w:pPr>
      <w:r>
        <w:rPr>
          <w:b/>
          <w:bCs/>
          <w:color w:val="002060"/>
        </w:rPr>
      </w:r>
    </w:p>
    <w:p>
      <w:pPr>
        <w:pStyle w:val="Normal"/>
        <w:spacing w:lineRule="atLeast" w:line="240" w:before="0" w:after="0"/>
        <w:contextualSpacing/>
        <w:jc w:val="both"/>
        <w:rPr>
          <w:color w:val="002060"/>
        </w:rPr>
      </w:pPr>
      <w:r>
        <w:rPr>
          <w:b/>
          <w:bCs/>
          <w:color w:val="002060"/>
        </w:rPr>
        <w:t>Budget CSE Central :</w:t>
      </w:r>
      <w:r>
        <w:rPr>
          <w:color w:val="002060"/>
        </w:rPr>
        <w:t xml:space="preserve"> </w:t>
      </w:r>
    </w:p>
    <w:p>
      <w:pPr>
        <w:pStyle w:val="Normal"/>
        <w:spacing w:lineRule="atLeast" w:line="240" w:before="0" w:after="0"/>
        <w:contextualSpacing/>
        <w:jc w:val="both"/>
        <w:rPr>
          <w:color w:val="002060"/>
        </w:rPr>
      </w:pPr>
      <w:r>
        <w:rPr>
          <w:color w:val="002060"/>
        </w:rPr>
      </w:r>
    </w:p>
    <w:p>
      <w:pPr>
        <w:pStyle w:val="Normal"/>
        <w:spacing w:lineRule="atLeast" w:line="240" w:before="0" w:after="0"/>
        <w:contextualSpacing/>
        <w:jc w:val="both"/>
        <w:rPr/>
      </w:pPr>
      <w:r>
        <w:rPr/>
        <w:t>Le budget social et loisir du CSE Central est porté de</w:t>
      </w:r>
      <w:r>
        <w:rPr>
          <w:b/>
          <w:bCs/>
        </w:rPr>
        <w:t xml:space="preserve"> 2,5% à 2,6% de la masse salariale</w:t>
      </w:r>
      <w:r>
        <w:rPr/>
        <w:t>.</w:t>
      </w:r>
    </w:p>
    <w:p>
      <w:pPr>
        <w:pStyle w:val="Normal"/>
        <w:spacing w:lineRule="atLeast" w:line="240" w:before="0" w:after="0"/>
        <w:contextualSpacing/>
        <w:jc w:val="both"/>
        <w:rPr/>
      </w:pPr>
      <w:r>
        <w:rPr/>
        <w:t>Les Parties conviennent que cette mesure fera l’objet d’un avenant à l’accord CSE actuellement en vigueur au sein de l’entreprise.</w:t>
      </w:r>
    </w:p>
    <w:p>
      <w:pPr>
        <w:pStyle w:val="Normal"/>
        <w:spacing w:lineRule="atLeast" w:line="240" w:before="0" w:after="0"/>
        <w:contextualSpacing/>
        <w:jc w:val="both"/>
        <w:rPr/>
      </w:pPr>
      <w:r>
        <w:rPr/>
      </w:r>
    </w:p>
    <w:p>
      <w:pPr>
        <w:pStyle w:val="Normal"/>
        <w:spacing w:lineRule="atLeast" w:line="240" w:before="0" w:after="0"/>
        <w:contextualSpacing/>
        <w:jc w:val="both"/>
        <w:rPr>
          <w:b/>
          <w:b/>
          <w:bCs/>
          <w:u w:val="single"/>
        </w:rPr>
      </w:pPr>
      <w:r>
        <w:rPr>
          <w:b/>
          <w:bCs/>
          <w:u w:val="single"/>
        </w:rPr>
      </w:r>
    </w:p>
    <w:p>
      <w:pPr>
        <w:pStyle w:val="Normal"/>
        <w:spacing w:lineRule="atLeast" w:line="240" w:before="0" w:after="0"/>
        <w:contextualSpacing/>
        <w:jc w:val="both"/>
        <w:rPr>
          <w:b/>
          <w:b/>
          <w:bCs/>
          <w:u w:val="single"/>
        </w:rPr>
      </w:pPr>
      <w:r>
        <w:rPr>
          <w:b/>
          <w:bCs/>
          <w:u w:val="single"/>
        </w:rPr>
        <w:t xml:space="preserve">Article 2 – Durée de l’accord </w:t>
      </w:r>
    </w:p>
    <w:p>
      <w:pPr>
        <w:pStyle w:val="Normal"/>
        <w:jc w:val="both"/>
        <w:rPr>
          <w:b/>
          <w:b/>
          <w:bCs/>
          <w:u w:val="single"/>
        </w:rPr>
      </w:pPr>
      <w:r>
        <w:rPr>
          <w:b/>
          <w:bCs/>
          <w:u w:val="single"/>
        </w:rPr>
      </w:r>
    </w:p>
    <w:p>
      <w:pPr>
        <w:pStyle w:val="Normal"/>
        <w:jc w:val="both"/>
        <w:rPr/>
      </w:pPr>
      <w:r>
        <w:rPr/>
      </w:r>
    </w:p>
    <w:p>
      <w:pPr>
        <w:pStyle w:val="Normal"/>
        <w:jc w:val="both"/>
        <w:rPr/>
      </w:pPr>
      <w:r>
        <w:rPr/>
        <w:t>Le présent accord prend effet à compter du 1</w:t>
      </w:r>
      <w:r>
        <w:rPr>
          <w:vertAlign w:val="superscript"/>
        </w:rPr>
        <w:t>er</w:t>
      </w:r>
      <w:r>
        <w:rPr/>
        <w:t xml:space="preserve"> juillet 2022.</w:t>
      </w:r>
    </w:p>
    <w:p>
      <w:pPr>
        <w:pStyle w:val="Normal"/>
        <w:jc w:val="both"/>
        <w:rPr/>
      </w:pPr>
      <w:r>
        <w:rPr/>
      </w:r>
    </w:p>
    <w:p>
      <w:pPr>
        <w:pStyle w:val="Normal"/>
        <w:jc w:val="both"/>
        <w:rPr>
          <w:b/>
          <w:b/>
          <w:bCs/>
          <w:u w:val="single"/>
        </w:rPr>
      </w:pPr>
      <w:r>
        <w:rPr>
          <w:b/>
          <w:bCs/>
          <w:u w:val="single"/>
        </w:rPr>
        <w:t>Article 3 : Suivi de l’accord</w:t>
      </w:r>
    </w:p>
    <w:p>
      <w:pPr>
        <w:pStyle w:val="Normal"/>
        <w:jc w:val="both"/>
        <w:rPr>
          <w:b/>
          <w:b/>
          <w:bCs/>
          <w:u w:val="single"/>
        </w:rPr>
      </w:pPr>
      <w:r>
        <w:rPr>
          <w:b/>
          <w:bCs/>
          <w:u w:val="single"/>
        </w:rPr>
      </w:r>
    </w:p>
    <w:p>
      <w:pPr>
        <w:pStyle w:val="Normal"/>
        <w:jc w:val="both"/>
        <w:rPr/>
      </w:pPr>
      <w:r>
        <w:rPr/>
      </w:r>
    </w:p>
    <w:p>
      <w:pPr>
        <w:pStyle w:val="Normal"/>
        <w:jc w:val="both"/>
        <w:rPr/>
      </w:pPr>
      <w:r>
        <w:rPr/>
        <w:t>Chaque année, la Direction et les organisations syndicales feront un état des lieux des mesures mises en œuvre dans le cadre du présent accord.</w:t>
      </w:r>
    </w:p>
    <w:p>
      <w:pPr>
        <w:pStyle w:val="Normal"/>
        <w:jc w:val="both"/>
        <w:rPr/>
      </w:pPr>
      <w:r>
        <w:rPr/>
      </w:r>
    </w:p>
    <w:p>
      <w:pPr>
        <w:pStyle w:val="Normal"/>
        <w:spacing w:lineRule="auto" w:line="256" w:before="240" w:after="160"/>
        <w:jc w:val="both"/>
        <w:rPr>
          <w:rFonts w:eastAsia="Calibri"/>
          <w:lang w:eastAsia="en-US"/>
        </w:rPr>
      </w:pPr>
      <w:bookmarkStart w:id="2" w:name="_Hlk100298549"/>
      <w:bookmarkEnd w:id="2"/>
      <w:r>
        <w:rPr>
          <w:rFonts w:eastAsia="Calibri"/>
          <w:b/>
          <w:u w:val="single"/>
          <w:lang w:eastAsia="en-US"/>
        </w:rPr>
        <w:t xml:space="preserve">Article 4 – Dispositions diverses </w:t>
      </w:r>
    </w:p>
    <w:p>
      <w:pPr>
        <w:pStyle w:val="Normal"/>
        <w:spacing w:lineRule="auto" w:line="256" w:before="240" w:after="0"/>
        <w:jc w:val="both"/>
        <w:rPr>
          <w:rFonts w:eastAsia="Calibri"/>
          <w:b/>
          <w:b/>
          <w:bCs/>
          <w:i/>
          <w:i/>
          <w:iCs/>
          <w:lang w:eastAsia="en-US"/>
        </w:rPr>
      </w:pPr>
      <w:r>
        <w:rPr>
          <w:rFonts w:eastAsia="Calibri"/>
          <w:b/>
          <w:bCs/>
          <w:i/>
          <w:iCs/>
          <w:lang w:eastAsia="en-US"/>
        </w:rPr>
        <w:t xml:space="preserve">4.1 Révision et dénonciation </w:t>
      </w:r>
    </w:p>
    <w:p>
      <w:pPr>
        <w:pStyle w:val="Normal"/>
        <w:spacing w:lineRule="auto" w:line="256" w:before="240" w:after="0"/>
        <w:jc w:val="both"/>
        <w:rPr>
          <w:rFonts w:eastAsia="Calibri"/>
          <w:lang w:eastAsia="en-US"/>
        </w:rPr>
      </w:pPr>
      <w:r>
        <w:rPr>
          <w:rFonts w:eastAsia="Calibri"/>
          <w:lang w:eastAsia="en-US"/>
        </w:rPr>
        <w:t>Le présent accord pourra être dénoncé en tout ou partie par l’une ou l’autre des parties signataires ou adhérentes selon un délai de préavis de trois mois suivant l’information des parties concernées.</w:t>
      </w:r>
    </w:p>
    <w:p>
      <w:pPr>
        <w:pStyle w:val="Normal"/>
        <w:spacing w:lineRule="auto" w:line="256" w:before="240" w:after="0"/>
        <w:jc w:val="both"/>
        <w:rPr>
          <w:rFonts w:eastAsia="Calibri"/>
          <w:lang w:eastAsia="en-US"/>
        </w:rPr>
      </w:pPr>
      <w:r>
        <w:rPr>
          <w:rFonts w:eastAsia="Calibri"/>
          <w:lang w:eastAsia="en-US"/>
        </w:rPr>
        <w:t>Le présent accord pourra être révisé chaque année à l’occasion des négociations annuelles obligatoires sur le thème prévu au 1° de l’article L.2242-13 du Code du travail « rémunération, temps de travail et partage de la valeur ajoutée ».</w:t>
      </w:r>
    </w:p>
    <w:p>
      <w:pPr>
        <w:pStyle w:val="Normal"/>
        <w:spacing w:lineRule="auto" w:line="256" w:before="240" w:after="0"/>
        <w:jc w:val="both"/>
        <w:rPr>
          <w:rFonts w:eastAsia="Calibri"/>
          <w:b/>
          <w:b/>
          <w:bCs/>
          <w:i/>
          <w:i/>
          <w:iCs/>
          <w:lang w:eastAsia="en-US"/>
        </w:rPr>
      </w:pPr>
      <w:r>
        <w:rPr>
          <w:rFonts w:eastAsia="Calibri"/>
          <w:b/>
          <w:bCs/>
          <w:i/>
          <w:iCs/>
          <w:lang w:eastAsia="en-US"/>
        </w:rPr>
        <w:t xml:space="preserve">4.2 Dépôt </w:t>
      </w:r>
    </w:p>
    <w:p>
      <w:pPr>
        <w:pStyle w:val="Normal"/>
        <w:spacing w:lineRule="auto" w:line="256" w:before="240" w:after="0"/>
        <w:jc w:val="both"/>
        <w:rPr>
          <w:rFonts w:eastAsia="Calibri"/>
          <w:lang w:eastAsia="en-US"/>
        </w:rPr>
      </w:pPr>
      <w:r>
        <w:rPr>
          <w:rFonts w:eastAsia="Calibri"/>
          <w:lang w:eastAsia="en-US"/>
        </w:rPr>
        <w:t xml:space="preserve">Le présent accord sera déposé sur la plateforme de téléprocédure du ministère du travail conformément aux dispositions de l’article D 2231-4 du Code du travail. </w:t>
      </w:r>
    </w:p>
    <w:p>
      <w:pPr>
        <w:pStyle w:val="Normal"/>
        <w:spacing w:lineRule="auto" w:line="256" w:before="240" w:after="160"/>
        <w:jc w:val="both"/>
        <w:rPr>
          <w:rFonts w:eastAsia="Calibri"/>
          <w:lang w:eastAsia="en-US"/>
        </w:rPr>
      </w:pPr>
      <w:r>
        <w:rPr>
          <w:rFonts w:eastAsia="Calibri"/>
          <w:lang w:eastAsia="en-US"/>
        </w:rPr>
        <w:t>Un exemplaire du cet accord sera également déposé au greffe du Conseil de prud’hommes du lieu de signature.</w:t>
      </w:r>
    </w:p>
    <w:p>
      <w:pPr>
        <w:pStyle w:val="Normal"/>
        <w:jc w:val="both"/>
        <w:rPr>
          <w:rFonts w:eastAsia="Calibri"/>
          <w:lang w:eastAsia="en-US"/>
        </w:rPr>
      </w:pPr>
      <w:r>
        <w:rPr>
          <w:rFonts w:eastAsia="Calibri"/>
          <w:lang w:eastAsia="en-US"/>
        </w:rPr>
      </w:r>
    </w:p>
    <w:p>
      <w:pPr>
        <w:pStyle w:val="Normal"/>
        <w:ind w:left="4956" w:hanging="0"/>
        <w:jc w:val="both"/>
        <w:rPr/>
      </w:pPr>
      <w:r>
        <w:rPr/>
        <w:t>Fait à Marseille, le 19 mai 2022</w:t>
      </w:r>
    </w:p>
    <w:p>
      <w:pPr>
        <w:pStyle w:val="Normal"/>
        <w:jc w:val="both"/>
        <w:rPr/>
      </w:pPr>
      <w:r>
        <w:rPr/>
      </w:r>
    </w:p>
    <w:p>
      <w:pPr>
        <w:pStyle w:val="Normal"/>
        <w:jc w:val="both"/>
        <w:rPr/>
      </w:pPr>
      <w:r>
        <w:rPr/>
      </w:r>
    </w:p>
    <w:p>
      <w:pPr>
        <w:pStyle w:val="Normal"/>
        <w:tabs>
          <w:tab w:val="left" w:pos="5260" w:leader="none"/>
        </w:tabs>
        <w:spacing w:lineRule="atLeast" w:line="240"/>
        <w:jc w:val="both"/>
        <w:rPr/>
      </w:pPr>
      <w:r>
        <w:rPr>
          <w:b/>
          <w:bCs/>
        </w:rPr>
        <w:t xml:space="preserve">L’organisation syndicale SIPRF, représentée par Monsieur, agissant en qualité de délégué syndical, </w:t>
      </w:r>
    </w:p>
    <w:p>
      <w:pPr>
        <w:pStyle w:val="Normal"/>
        <w:tabs>
          <w:tab w:val="left" w:pos="5260" w:leader="none"/>
        </w:tabs>
        <w:spacing w:lineRule="atLeast" w:line="240"/>
        <w:jc w:val="both"/>
        <w:rPr>
          <w:b/>
          <w:b/>
          <w:bCs/>
        </w:rPr>
      </w:pPr>
      <w:r>
        <w:rPr>
          <w:b/>
          <w:bCs/>
        </w:rPr>
      </w:r>
    </w:p>
    <w:p>
      <w:pPr>
        <w:pStyle w:val="Normal"/>
        <w:tabs>
          <w:tab w:val="left" w:pos="5260" w:leader="none"/>
        </w:tabs>
        <w:spacing w:lineRule="atLeast" w:line="240"/>
        <w:jc w:val="both"/>
        <w:rPr>
          <w:b/>
          <w:b/>
          <w:bCs/>
        </w:rPr>
      </w:pPr>
      <w:r>
        <w:rPr>
          <w:b/>
          <w:bCs/>
        </w:rPr>
      </w:r>
    </w:p>
    <w:p>
      <w:pPr>
        <w:pStyle w:val="Normal"/>
        <w:tabs>
          <w:tab w:val="left" w:pos="5260" w:leader="none"/>
        </w:tabs>
        <w:spacing w:lineRule="atLeast" w:line="240"/>
        <w:jc w:val="both"/>
        <w:rPr>
          <w:b/>
          <w:b/>
          <w:bCs/>
        </w:rPr>
      </w:pPr>
      <w:r>
        <w:rPr>
          <w:b/>
          <w:bCs/>
        </w:rPr>
      </w:r>
    </w:p>
    <w:p>
      <w:pPr>
        <w:pStyle w:val="Normal"/>
        <w:tabs>
          <w:tab w:val="left" w:pos="5260" w:leader="none"/>
        </w:tabs>
        <w:spacing w:lineRule="atLeast" w:line="240"/>
        <w:jc w:val="both"/>
        <w:rPr>
          <w:b/>
          <w:b/>
          <w:bCs/>
        </w:rPr>
      </w:pPr>
      <w:r>
        <w:rPr>
          <w:b/>
          <w:bCs/>
        </w:rPr>
      </w:r>
    </w:p>
    <w:p>
      <w:pPr>
        <w:pStyle w:val="Normal"/>
        <w:tabs>
          <w:tab w:val="left" w:pos="5260" w:leader="none"/>
        </w:tabs>
        <w:spacing w:lineRule="atLeast" w:line="240"/>
        <w:jc w:val="both"/>
        <w:rPr>
          <w:b/>
          <w:b/>
          <w:bCs/>
        </w:rPr>
      </w:pPr>
      <w:r>
        <w:rPr>
          <w:b/>
          <w:bCs/>
        </w:rPr>
      </w:r>
    </w:p>
    <w:p>
      <w:pPr>
        <w:pStyle w:val="Normal"/>
        <w:tabs>
          <w:tab w:val="left" w:pos="5260" w:leader="none"/>
        </w:tabs>
        <w:spacing w:lineRule="atLeast" w:line="240"/>
        <w:jc w:val="both"/>
        <w:rPr>
          <w:b/>
          <w:b/>
          <w:bCs/>
        </w:rPr>
      </w:pPr>
      <w:r>
        <w:rPr>
          <w:b/>
          <w:bCs/>
        </w:rPr>
      </w:r>
    </w:p>
    <w:p>
      <w:pPr>
        <w:pStyle w:val="Normal"/>
        <w:tabs>
          <w:tab w:val="left" w:pos="5260" w:leader="none"/>
        </w:tabs>
        <w:spacing w:lineRule="atLeast" w:line="240"/>
        <w:jc w:val="both"/>
        <w:rPr/>
      </w:pPr>
      <w:r>
        <w:rPr>
          <w:b/>
          <w:bCs/>
        </w:rPr>
        <w:t xml:space="preserve">L’organisation syndicale FO, représentée par Monsieur, agissant en qualité de délégué syndical, </w:t>
      </w:r>
    </w:p>
    <w:p>
      <w:pPr>
        <w:pStyle w:val="Normal"/>
        <w:tabs>
          <w:tab w:val="left" w:pos="5260" w:leader="none"/>
        </w:tabs>
        <w:spacing w:lineRule="atLeast" w:line="240"/>
        <w:jc w:val="both"/>
        <w:rPr>
          <w:b/>
          <w:b/>
          <w:bCs/>
        </w:rPr>
      </w:pPr>
      <w:r>
        <w:rPr>
          <w:b/>
          <w:bCs/>
        </w:rPr>
      </w:r>
    </w:p>
    <w:p>
      <w:pPr>
        <w:pStyle w:val="Normal"/>
        <w:tabs>
          <w:tab w:val="left" w:pos="5260" w:leader="none"/>
        </w:tabs>
        <w:spacing w:lineRule="atLeast" w:line="240"/>
        <w:jc w:val="both"/>
        <w:rPr>
          <w:b/>
          <w:b/>
          <w:bCs/>
        </w:rPr>
      </w:pPr>
      <w:r>
        <w:rPr>
          <w:b/>
          <w:bCs/>
        </w:rPr>
      </w:r>
    </w:p>
    <w:p>
      <w:pPr>
        <w:pStyle w:val="Normal"/>
        <w:tabs>
          <w:tab w:val="left" w:pos="5260" w:leader="none"/>
        </w:tabs>
        <w:spacing w:lineRule="atLeast" w:line="240"/>
        <w:jc w:val="both"/>
        <w:rPr>
          <w:b/>
          <w:b/>
          <w:bCs/>
        </w:rPr>
      </w:pPr>
      <w:r>
        <w:rPr>
          <w:b/>
          <w:bCs/>
        </w:rPr>
      </w:r>
    </w:p>
    <w:p>
      <w:pPr>
        <w:pStyle w:val="Normal"/>
        <w:tabs>
          <w:tab w:val="left" w:pos="5260" w:leader="none"/>
        </w:tabs>
        <w:spacing w:lineRule="atLeast" w:line="240"/>
        <w:jc w:val="both"/>
        <w:rPr>
          <w:b/>
          <w:b/>
          <w:bCs/>
        </w:rPr>
      </w:pPr>
      <w:r>
        <w:rPr>
          <w:b/>
          <w:bCs/>
        </w:rPr>
      </w:r>
    </w:p>
    <w:p>
      <w:pPr>
        <w:pStyle w:val="Normal"/>
        <w:tabs>
          <w:tab w:val="left" w:pos="5260" w:leader="none"/>
        </w:tabs>
        <w:spacing w:lineRule="atLeast" w:line="240"/>
        <w:jc w:val="both"/>
        <w:rPr>
          <w:b/>
          <w:b/>
          <w:bCs/>
        </w:rPr>
      </w:pPr>
      <w:r>
        <w:rPr>
          <w:b/>
          <w:bCs/>
        </w:rPr>
      </w:r>
    </w:p>
    <w:p>
      <w:pPr>
        <w:pStyle w:val="Normal"/>
        <w:tabs>
          <w:tab w:val="left" w:pos="5260" w:leader="none"/>
        </w:tabs>
        <w:spacing w:lineRule="atLeast" w:line="240"/>
        <w:jc w:val="both"/>
        <w:rPr>
          <w:b/>
          <w:b/>
          <w:bCs/>
        </w:rPr>
      </w:pPr>
      <w:r>
        <w:rPr>
          <w:b/>
          <w:bCs/>
        </w:rPr>
      </w:r>
    </w:p>
    <w:p>
      <w:pPr>
        <w:pStyle w:val="Normal"/>
        <w:tabs>
          <w:tab w:val="left" w:pos="5260" w:leader="none"/>
        </w:tabs>
        <w:spacing w:lineRule="atLeast" w:line="240"/>
        <w:jc w:val="both"/>
        <w:rPr/>
      </w:pPr>
      <w:r>
        <w:rPr>
          <w:b/>
          <w:bCs/>
        </w:rPr>
        <w:t xml:space="preserve">L’organisation syndicale CFDT représentée par Monsieur agissant en qualité de délégué syndical, </w:t>
      </w:r>
    </w:p>
    <w:p>
      <w:pPr>
        <w:pStyle w:val="Normal"/>
        <w:tabs>
          <w:tab w:val="left" w:pos="5260" w:leader="none"/>
        </w:tabs>
        <w:spacing w:lineRule="atLeast" w:line="240"/>
        <w:jc w:val="both"/>
        <w:rPr>
          <w:b/>
          <w:b/>
          <w:bCs/>
        </w:rPr>
      </w:pPr>
      <w:r>
        <w:rPr>
          <w:b/>
          <w:bCs/>
        </w:rPr>
      </w:r>
    </w:p>
    <w:p>
      <w:pPr>
        <w:pStyle w:val="Normal"/>
        <w:tabs>
          <w:tab w:val="left" w:pos="5260" w:leader="none"/>
        </w:tabs>
        <w:spacing w:lineRule="atLeast" w:line="240"/>
        <w:jc w:val="both"/>
        <w:rPr>
          <w:b/>
          <w:b/>
          <w:bCs/>
        </w:rPr>
      </w:pPr>
      <w:r>
        <w:rPr>
          <w:b/>
          <w:bCs/>
        </w:rPr>
      </w:r>
    </w:p>
    <w:p>
      <w:pPr>
        <w:pStyle w:val="Normal"/>
        <w:tabs>
          <w:tab w:val="left" w:pos="5260" w:leader="none"/>
        </w:tabs>
        <w:spacing w:lineRule="atLeast" w:line="240"/>
        <w:jc w:val="both"/>
        <w:rPr>
          <w:b/>
          <w:b/>
          <w:bCs/>
        </w:rPr>
      </w:pPr>
      <w:r>
        <w:rPr>
          <w:b/>
          <w:bCs/>
        </w:rPr>
      </w:r>
    </w:p>
    <w:p>
      <w:pPr>
        <w:pStyle w:val="Normal"/>
        <w:tabs>
          <w:tab w:val="left" w:pos="5260" w:leader="none"/>
        </w:tabs>
        <w:spacing w:lineRule="atLeast" w:line="240"/>
        <w:jc w:val="both"/>
        <w:rPr>
          <w:b/>
          <w:b/>
          <w:bCs/>
        </w:rPr>
      </w:pPr>
      <w:r>
        <w:rPr>
          <w:b/>
          <w:bCs/>
        </w:rPr>
      </w:r>
    </w:p>
    <w:p>
      <w:pPr>
        <w:pStyle w:val="Normal"/>
        <w:tabs>
          <w:tab w:val="left" w:pos="5260" w:leader="none"/>
        </w:tabs>
        <w:spacing w:lineRule="atLeast" w:line="240"/>
        <w:jc w:val="both"/>
        <w:rPr>
          <w:b/>
          <w:b/>
          <w:bCs/>
        </w:rPr>
      </w:pPr>
      <w:r>
        <w:rPr>
          <w:b/>
          <w:bCs/>
        </w:rPr>
      </w:r>
    </w:p>
    <w:p>
      <w:pPr>
        <w:pStyle w:val="Normal"/>
        <w:tabs>
          <w:tab w:val="left" w:pos="5260" w:leader="none"/>
        </w:tabs>
        <w:spacing w:lineRule="atLeast" w:line="240"/>
        <w:jc w:val="both"/>
        <w:rPr>
          <w:b/>
          <w:b/>
          <w:bCs/>
        </w:rPr>
      </w:pPr>
      <w:r>
        <w:rPr>
          <w:b/>
          <w:bCs/>
        </w:rPr>
      </w:r>
    </w:p>
    <w:p>
      <w:pPr>
        <w:pStyle w:val="Normal"/>
        <w:tabs>
          <w:tab w:val="left" w:pos="5260" w:leader="none"/>
        </w:tabs>
        <w:spacing w:lineRule="atLeast" w:line="240"/>
        <w:rPr>
          <w:b/>
          <w:b/>
          <w:bCs/>
        </w:rPr>
      </w:pPr>
      <w:r>
        <w:rPr>
          <w:b/>
          <w:bCs/>
        </w:rPr>
        <w:t xml:space="preserve">L’organisation syndicale CGT, représentée par Monsieur, </w:t>
      </w:r>
    </w:p>
    <w:p>
      <w:pPr>
        <w:pStyle w:val="Normal"/>
        <w:tabs>
          <w:tab w:val="left" w:pos="5260" w:leader="none"/>
        </w:tabs>
        <w:spacing w:lineRule="atLeast" w:line="240"/>
        <w:jc w:val="both"/>
        <w:rPr>
          <w:b/>
          <w:b/>
          <w:bCs/>
        </w:rPr>
      </w:pPr>
      <w:r>
        <w:rPr>
          <w:b/>
          <w:bCs/>
        </w:rPr>
      </w:r>
    </w:p>
    <w:p>
      <w:pPr>
        <w:pStyle w:val="Normal"/>
        <w:tabs>
          <w:tab w:val="left" w:pos="5260" w:leader="none"/>
        </w:tabs>
        <w:spacing w:lineRule="atLeast" w:line="240"/>
        <w:jc w:val="both"/>
        <w:rPr>
          <w:b/>
          <w:b/>
          <w:bCs/>
        </w:rPr>
      </w:pPr>
      <w:r>
        <w:rPr>
          <w:b/>
          <w:bCs/>
        </w:rPr>
      </w:r>
    </w:p>
    <w:p>
      <w:pPr>
        <w:pStyle w:val="Normal"/>
        <w:tabs>
          <w:tab w:val="left" w:pos="5260" w:leader="none"/>
        </w:tabs>
        <w:spacing w:lineRule="atLeast" w:line="240"/>
        <w:jc w:val="both"/>
        <w:rPr>
          <w:b/>
          <w:b/>
          <w:bCs/>
        </w:rPr>
      </w:pPr>
      <w:r>
        <w:rPr>
          <w:b/>
          <w:bCs/>
        </w:rPr>
      </w:r>
    </w:p>
    <w:p>
      <w:pPr>
        <w:pStyle w:val="Normal"/>
        <w:tabs>
          <w:tab w:val="left" w:pos="5260" w:leader="none"/>
        </w:tabs>
        <w:spacing w:lineRule="atLeast" w:line="240"/>
        <w:jc w:val="both"/>
        <w:rPr>
          <w:b/>
          <w:b/>
          <w:bCs/>
        </w:rPr>
      </w:pPr>
      <w:r>
        <w:rPr>
          <w:b/>
          <w:bCs/>
        </w:rPr>
      </w:r>
    </w:p>
    <w:p>
      <w:pPr>
        <w:pStyle w:val="Normal"/>
        <w:tabs>
          <w:tab w:val="left" w:pos="5260" w:leader="none"/>
        </w:tabs>
        <w:spacing w:lineRule="atLeast" w:line="240"/>
        <w:jc w:val="both"/>
        <w:rPr>
          <w:b/>
          <w:b/>
          <w:bCs/>
        </w:rPr>
      </w:pPr>
      <w:r>
        <w:rPr>
          <w:b/>
          <w:bCs/>
        </w:rPr>
      </w:r>
    </w:p>
    <w:p>
      <w:pPr>
        <w:pStyle w:val="Normal"/>
        <w:tabs>
          <w:tab w:val="left" w:pos="5260" w:leader="none"/>
        </w:tabs>
        <w:spacing w:lineRule="atLeast" w:line="240"/>
        <w:jc w:val="both"/>
        <w:rPr>
          <w:b/>
          <w:b/>
          <w:bCs/>
        </w:rPr>
      </w:pPr>
      <w:r>
        <w:rPr>
          <w:b/>
          <w:bCs/>
        </w:rPr>
      </w:r>
    </w:p>
    <w:p>
      <w:pPr>
        <w:pStyle w:val="Normal"/>
        <w:tabs>
          <w:tab w:val="left" w:pos="5260" w:leader="none"/>
        </w:tabs>
        <w:spacing w:lineRule="atLeast" w:line="240"/>
        <w:jc w:val="both"/>
        <w:rPr>
          <w:b/>
          <w:b/>
          <w:bCs/>
        </w:rPr>
      </w:pPr>
      <w:r>
        <w:rPr>
          <w:b/>
          <w:bCs/>
        </w:rPr>
        <w:t xml:space="preserve">L’organisation syndicale SNI2A CFE-CGC, représentée par Monsieur </w:t>
      </w:r>
    </w:p>
    <w:p>
      <w:pPr>
        <w:pStyle w:val="Normal"/>
        <w:tabs>
          <w:tab w:val="left" w:pos="5260" w:leader="none"/>
        </w:tabs>
        <w:spacing w:lineRule="atLeast" w:line="240"/>
        <w:jc w:val="both"/>
        <w:rPr>
          <w:b/>
          <w:b/>
          <w:bCs/>
        </w:rPr>
      </w:pPr>
      <w:r>
        <w:rPr>
          <w:b/>
          <w:bCs/>
        </w:rPr>
      </w:r>
    </w:p>
    <w:p>
      <w:pPr>
        <w:pStyle w:val="Normal"/>
        <w:tabs>
          <w:tab w:val="left" w:pos="5260" w:leader="none"/>
        </w:tabs>
        <w:spacing w:lineRule="atLeast" w:line="240"/>
        <w:jc w:val="both"/>
        <w:rPr>
          <w:b/>
          <w:b/>
          <w:bCs/>
        </w:rPr>
      </w:pPr>
      <w:r>
        <w:rPr>
          <w:b/>
          <w:bCs/>
        </w:rPr>
      </w:r>
    </w:p>
    <w:p>
      <w:pPr>
        <w:pStyle w:val="Normal"/>
        <w:tabs>
          <w:tab w:val="left" w:pos="5260" w:leader="none"/>
        </w:tabs>
        <w:spacing w:lineRule="atLeast" w:line="240"/>
        <w:jc w:val="both"/>
        <w:rPr>
          <w:b/>
          <w:b/>
          <w:bCs/>
        </w:rPr>
      </w:pPr>
      <w:r>
        <w:rPr>
          <w:b/>
          <w:bCs/>
        </w:rPr>
      </w:r>
    </w:p>
    <w:p>
      <w:pPr>
        <w:pStyle w:val="Normal"/>
        <w:tabs>
          <w:tab w:val="left" w:pos="5260" w:leader="none"/>
        </w:tabs>
        <w:spacing w:lineRule="atLeast" w:line="240"/>
        <w:jc w:val="both"/>
        <w:rPr>
          <w:b/>
          <w:b/>
          <w:bCs/>
        </w:rPr>
      </w:pPr>
      <w:r>
        <w:rPr>
          <w:b/>
          <w:bCs/>
        </w:rPr>
      </w:r>
    </w:p>
    <w:p>
      <w:pPr>
        <w:pStyle w:val="Normal"/>
        <w:tabs>
          <w:tab w:val="left" w:pos="5260" w:leader="none"/>
        </w:tabs>
        <w:spacing w:lineRule="atLeast" w:line="240"/>
        <w:jc w:val="both"/>
        <w:rPr>
          <w:b/>
          <w:b/>
          <w:bCs/>
        </w:rPr>
      </w:pPr>
      <w:r>
        <w:rPr>
          <w:b/>
          <w:bCs/>
        </w:rPr>
      </w:r>
    </w:p>
    <w:p>
      <w:pPr>
        <w:pStyle w:val="Normal"/>
        <w:tabs>
          <w:tab w:val="left" w:pos="5260" w:leader="none"/>
        </w:tabs>
        <w:spacing w:lineRule="atLeast" w:line="240"/>
        <w:jc w:val="both"/>
        <w:rPr>
          <w:b/>
          <w:b/>
          <w:bCs/>
        </w:rPr>
      </w:pPr>
      <w:r>
        <w:rPr>
          <w:b/>
          <w:bCs/>
        </w:rPr>
      </w:r>
    </w:p>
    <w:p>
      <w:pPr>
        <w:pStyle w:val="Normal"/>
        <w:tabs>
          <w:tab w:val="left" w:pos="5260" w:leader="none"/>
        </w:tabs>
        <w:spacing w:lineRule="atLeast" w:line="240"/>
        <w:jc w:val="both"/>
        <w:rPr>
          <w:b/>
          <w:b/>
          <w:bCs/>
        </w:rPr>
      </w:pPr>
      <w:r>
        <w:rPr>
          <w:b/>
          <w:bCs/>
        </w:rPr>
        <w:t xml:space="preserve">Pour la société Pernod Ricard France, </w:t>
        <w:tab/>
      </w:r>
    </w:p>
    <w:p>
      <w:pPr>
        <w:pStyle w:val="Normal"/>
        <w:tabs>
          <w:tab w:val="left" w:pos="5260" w:leader="none"/>
        </w:tabs>
        <w:spacing w:lineRule="atLeast" w:line="240"/>
        <w:jc w:val="both"/>
        <w:rPr>
          <w:b/>
          <w:b/>
          <w:bCs/>
        </w:rPr>
      </w:pPr>
      <w:r>
        <w:rPr>
          <w:b/>
          <w:bCs/>
        </w:rPr>
      </w:r>
    </w:p>
    <w:p>
      <w:pPr>
        <w:pStyle w:val="Normal"/>
        <w:spacing w:lineRule="atLeast" w:line="240"/>
        <w:jc w:val="both"/>
        <w:rPr>
          <w:b/>
          <w:b/>
          <w:bCs/>
        </w:rPr>
      </w:pPr>
      <w:r>
        <w:rPr>
          <w:b/>
          <w:bCs/>
        </w:rPr>
      </w:r>
    </w:p>
    <w:p>
      <w:pPr>
        <w:pStyle w:val="Normal"/>
        <w:jc w:val="both"/>
        <w:rPr>
          <w:bCs/>
        </w:rPr>
      </w:pPr>
      <w:r>
        <w:rPr>
          <w:bCs/>
        </w:rPr>
      </w:r>
    </w:p>
    <w:sectPr>
      <w:headerReference w:type="default" r:id="rId2"/>
      <w:footerReference w:type="default" r:id="rId3"/>
      <w:type w:val="nextPage"/>
      <w:pgSz w:w="11906" w:h="16838"/>
      <w:pgMar w:left="1418" w:right="1418" w:header="720" w:top="1134" w:footer="72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imes">
    <w:altName w:val="Times New Roman"/>
    <w:charset w:val="00"/>
    <w:family w:val="roman"/>
    <w:pitch w:val="variable"/>
  </w:font>
  <w:font w:name="Liberation Sans">
    <w:altName w:val="Arial"/>
    <w:charset w:val="01"/>
    <w:family w:val="swiss"/>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Style w:val="PageNumber"/>
      </w:rPr>
      <w:fldChar w:fldCharType="begin"/>
    </w:r>
    <w:r>
      <w:instrText> PAGE </w:instrText>
    </w:r>
    <w:r>
      <w:fldChar w:fldCharType="separate"/>
    </w:r>
    <w:r>
      <w:t>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numFmt w:val="bullet"/>
      <w:lvlText w:val="-"/>
      <w:lvlJc w:val="left"/>
      <w:pPr>
        <w:ind w:left="720" w:hanging="360"/>
      </w:pPr>
      <w:rPr>
        <w:rFonts w:ascii="Times New Roman" w:hAnsi="Times New Roman" w:cs="Times New Roman" w:hint="default"/>
        <w:rFonts w:cs="Times New Roman"/>
      </w:rPr>
    </w:lvl>
  </w:abstractNum>
  <w:abstractNum w:abstractNumId="3">
    <w:lvl w:ilvl="0">
      <w:numFmt w:val="bullet"/>
      <w:lvlText w:val="-"/>
      <w:lvlJc w:val="left"/>
      <w:pPr>
        <w:ind w:left="720" w:hanging="360"/>
      </w:pPr>
      <w:rPr>
        <w:rFonts w:ascii="Times New Roman" w:hAnsi="Times New Roman" w:cs="Times New Roman" w:hint="default"/>
        <w:rFonts w:cs="Times New Roman"/>
      </w:rPr>
    </w:lvl>
  </w:abstractNum>
  <w:abstractNum w:abstractNumId="4">
    <w:lvl w:ilvl="0">
      <w:start w:val="63"/>
      <w:numFmt w:val="bullet"/>
      <w:lvlText w:val="-"/>
      <w:lvlJc w:val="left"/>
      <w:pPr>
        <w:ind w:left="720" w:hanging="360"/>
      </w:pPr>
      <w:rPr>
        <w:rFonts w:ascii="Times New Roman" w:hAnsi="Times New Roman" w:cs="Times New Roman" w:hint="default"/>
        <w:rFonts w:cs="Times New Roman"/>
      </w:rPr>
    </w:lvl>
  </w:abstractNum>
  <w:abstractNum w:abstractNumId="5">
    <w:lvl w:ilvl="0">
      <w:numFmt w:val="bullet"/>
      <w:lvlText w:val="-"/>
      <w:lvlJc w:val="left"/>
      <w:pPr>
        <w:ind w:left="720" w:hanging="360"/>
      </w:pPr>
      <w:rPr>
        <w:rFonts w:ascii="Times New Roman" w:hAnsi="Times New Roman" w:cs="Times New Roman" w:hint="default"/>
        <w:rFonts w:cs="Times New Roman"/>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paragraph" w:styleId="Heading1">
    <w:name w:val="Heading 1"/>
    <w:basedOn w:val="Normal"/>
    <w:next w:val="Normal"/>
    <w:qFormat/>
    <w:pPr>
      <w:keepNext w:val="true"/>
      <w:numPr>
        <w:ilvl w:val="0"/>
        <w:numId w:val="1"/>
      </w:numPr>
      <w:outlineLvl w:val="0"/>
    </w:pPr>
    <w:rPr>
      <w:b/>
      <w:bCs/>
      <w:i/>
      <w:iCs/>
    </w:rPr>
  </w:style>
  <w:style w:type="paragraph" w:styleId="Heading2">
    <w:name w:val="Heading 2"/>
    <w:basedOn w:val="Normal"/>
    <w:next w:val="Normal"/>
    <w:qFormat/>
    <w:pPr>
      <w:keepNext w:val="true"/>
      <w:numPr>
        <w:ilvl w:val="1"/>
        <w:numId w:val="1"/>
      </w:numPr>
      <w:pBdr>
        <w:top w:val="single" w:sz="4" w:space="1" w:color="000000"/>
        <w:left w:val="single" w:sz="4" w:space="4" w:color="000000"/>
        <w:bottom w:val="single" w:sz="4" w:space="1" w:color="000000"/>
        <w:right w:val="single" w:sz="4" w:space="4" w:color="000000"/>
      </w:pBdr>
      <w:jc w:val="center"/>
      <w:outlineLvl w:val="1"/>
    </w:pPr>
    <w:rPr>
      <w:b/>
      <w:bCs/>
      <w:sz w:val="28"/>
    </w:rPr>
  </w:style>
  <w:style w:type="paragraph" w:styleId="Heading3">
    <w:name w:val="Heading 3"/>
    <w:basedOn w:val="Normal"/>
    <w:next w:val="Normal"/>
    <w:qFormat/>
    <w:pPr>
      <w:keepNext w:val="true"/>
      <w:numPr>
        <w:ilvl w:val="2"/>
        <w:numId w:val="1"/>
      </w:numPr>
      <w:outlineLvl w:val="2"/>
    </w:pPr>
    <w:rPr>
      <w:b/>
      <w:bCs/>
    </w:rPr>
  </w:style>
  <w:style w:type="paragraph" w:styleId="Heading4">
    <w:name w:val="Heading 4"/>
    <w:basedOn w:val="Normal"/>
    <w:next w:val="Normal"/>
    <w:qFormat/>
    <w:pPr>
      <w:keepNext w:val="true"/>
      <w:numPr>
        <w:ilvl w:val="3"/>
        <w:numId w:val="1"/>
      </w:numPr>
      <w:outlineLvl w:val="3"/>
    </w:pPr>
    <w:rPr>
      <w:i/>
      <w:iCs/>
      <w:u w:val="single"/>
    </w:rPr>
  </w:style>
  <w:style w:type="paragraph" w:styleId="Heading5">
    <w:name w:val="Heading 5"/>
    <w:basedOn w:val="Normal"/>
    <w:next w:val="Normal"/>
    <w:qFormat/>
    <w:pPr>
      <w:keepNext w:val="true"/>
      <w:numPr>
        <w:ilvl w:val="4"/>
        <w:numId w:val="1"/>
      </w:numPr>
      <w:outlineLvl w:val="4"/>
    </w:pPr>
    <w:rPr>
      <w:u w:val="single"/>
    </w:rPr>
  </w:style>
  <w:style w:type="paragraph" w:styleId="Heading6">
    <w:name w:val="Heading 6"/>
    <w:basedOn w:val="Normal"/>
    <w:next w:val="Normal"/>
    <w:qFormat/>
    <w:pPr>
      <w:keepNext w:val="true"/>
      <w:numPr>
        <w:ilvl w:val="5"/>
        <w:numId w:val="1"/>
      </w:numPr>
      <w:outlineLvl w:val="5"/>
    </w:pPr>
    <w:rPr>
      <w:b/>
      <w:bCs/>
      <w:i/>
      <w:iCs/>
      <w:sz w:val="28"/>
      <w:u w:val="single"/>
    </w:rPr>
  </w:style>
  <w:style w:type="paragraph" w:styleId="Heading7">
    <w:name w:val="Heading 7"/>
    <w:basedOn w:val="Normal"/>
    <w:next w:val="Normal"/>
    <w:qFormat/>
    <w:pPr>
      <w:keepNext w:val="true"/>
      <w:numPr>
        <w:ilvl w:val="6"/>
        <w:numId w:val="1"/>
      </w:numPr>
      <w:outlineLvl w:val="6"/>
    </w:pPr>
    <w:rPr>
      <w:i/>
      <w:iCs/>
    </w:rPr>
  </w:style>
  <w:style w:type="paragraph" w:styleId="Heading8">
    <w:name w:val="Heading 8"/>
    <w:basedOn w:val="Normal"/>
    <w:next w:val="Normal"/>
    <w:qFormat/>
    <w:pPr>
      <w:keepNext w:val="true"/>
      <w:numPr>
        <w:ilvl w:val="7"/>
        <w:numId w:val="1"/>
      </w:numPr>
      <w:outlineLvl w:val="7"/>
    </w:pPr>
    <w:rPr>
      <w:b/>
      <w:bCs/>
      <w:u w:val="single"/>
    </w:rPr>
  </w:style>
  <w:style w:type="paragraph" w:styleId="Heading9">
    <w:name w:val="Heading 9"/>
    <w:basedOn w:val="Normal"/>
    <w:next w:val="Normal"/>
    <w:qFormat/>
    <w:pPr>
      <w:keepNext w:val="true"/>
      <w:numPr>
        <w:ilvl w:val="8"/>
        <w:numId w:val="1"/>
      </w:numPr>
      <w:jc w:val="both"/>
      <w:outlineLvl w:val="8"/>
    </w:pPr>
    <w:rPr>
      <w:b/>
      <w:bCs/>
      <w:u w:val="single"/>
    </w:rPr>
  </w:style>
  <w:style w:type="character" w:styleId="WW8Num1z0">
    <w:name w:val="WW8Num1z0"/>
    <w:qFormat/>
    <w:rPr>
      <w:rFonts w:ascii="Times New Roman" w:hAnsi="Times New Roman" w:eastAsia="Calibri"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Times New Roman" w:hAnsi="Times New Roman" w:eastAsia="Calibri"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Policepardfaut">
    <w:name w:val="Police par défaut"/>
    <w:qFormat/>
    <w:rPr/>
  </w:style>
  <w:style w:type="character" w:styleId="PageNumber">
    <w:name w:val="Page Number"/>
    <w:basedOn w:val="Policepardfaut"/>
    <w:rPr/>
  </w:style>
  <w:style w:type="character" w:styleId="Titre2Car">
    <w:name w:val="Titre 2 Car"/>
    <w:qFormat/>
    <w:rPr>
      <w:b/>
      <w:bCs/>
      <w:sz w:val="28"/>
      <w:szCs w:val="24"/>
    </w:rPr>
  </w:style>
  <w:style w:type="character" w:styleId="TexteCar">
    <w:name w:val="Texte Car"/>
    <w:qFormat/>
    <w:rPr>
      <w:rFonts w:ascii="Times" w:hAnsi="Times" w:cs="Times"/>
      <w:color w:val="000000"/>
      <w:sz w:val="24"/>
    </w:rPr>
  </w:style>
  <w:style w:type="character" w:styleId="ParagraphedelisteCar">
    <w:name w:val="Paragraphe de liste Car"/>
    <w:qFormat/>
    <w:rPr>
      <w:sz w:val="24"/>
      <w:szCs w:val="24"/>
    </w:rPr>
  </w:style>
  <w:style w:type="character" w:styleId="Marquedecommentaire">
    <w:name w:val="Marque de commentaire"/>
    <w:qFormat/>
    <w:rPr>
      <w:sz w:val="16"/>
      <w:szCs w:val="16"/>
    </w:rPr>
  </w:style>
  <w:style w:type="character" w:styleId="CommentaireCar">
    <w:name w:val="Commentaire Car"/>
    <w:basedOn w:val="Policepardfaut"/>
    <w:qFormat/>
    <w:rPr/>
  </w:style>
  <w:style w:type="character" w:styleId="ObjetducommentaireCar">
    <w:name w:val="Objet du commentaire Car"/>
    <w:qFormat/>
    <w:rPr>
      <w:b/>
      <w:bCs/>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rPr>
      <w:i/>
      <w:iCs/>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TextBodyIndent">
    <w:name w:val="Body Text Indent"/>
    <w:basedOn w:val="Normal"/>
    <w:pPr>
      <w:ind w:left="720" w:hanging="0"/>
    </w:pPr>
    <w:rPr/>
  </w:style>
  <w:style w:type="paragraph" w:styleId="Textedebulles">
    <w:name w:val="Texte de bulles"/>
    <w:basedOn w:val="Normal"/>
    <w:qFormat/>
    <w:pPr/>
    <w:rPr>
      <w:rFonts w:ascii="Tahoma" w:hAnsi="Tahoma" w:cs="Tahoma"/>
      <w:sz w:val="16"/>
      <w:szCs w:val="16"/>
    </w:rPr>
  </w:style>
  <w:style w:type="paragraph" w:styleId="Corpsdetexte2">
    <w:name w:val="Corps de texte 2"/>
    <w:basedOn w:val="Normal"/>
    <w:qFormat/>
    <w:pPr/>
    <w:rPr>
      <w:b/>
      <w:bCs/>
    </w:rPr>
  </w:style>
  <w:style w:type="paragraph" w:styleId="Corpsdetexte3">
    <w:name w:val="Corps de texte 3"/>
    <w:basedOn w:val="Normal"/>
    <w:qFormat/>
    <w:pPr>
      <w:jc w:val="both"/>
    </w:pPr>
    <w:rPr/>
  </w:style>
  <w:style w:type="paragraph" w:styleId="Retraitcorpsdetexte2">
    <w:name w:val="Retrait corps de texte 2"/>
    <w:basedOn w:val="Normal"/>
    <w:qFormat/>
    <w:pPr>
      <w:ind w:left="705" w:hanging="705"/>
      <w:jc w:val="both"/>
    </w:pPr>
    <w:rPr>
      <w:b/>
      <w:bCs/>
    </w:rPr>
  </w:style>
  <w:style w:type="paragraph" w:styleId="Retraitcorpsdetexte3">
    <w:name w:val="Retrait corps de texte 3"/>
    <w:basedOn w:val="Normal"/>
    <w:qFormat/>
    <w:pPr>
      <w:ind w:left="705" w:hanging="705"/>
      <w:jc w:val="both"/>
    </w:pPr>
    <w:rPr>
      <w:i/>
      <w:iCs/>
    </w:rPr>
  </w:style>
  <w:style w:type="paragraph" w:styleId="Paragraphedeliste">
    <w:name w:val="Paragraphe de liste"/>
    <w:basedOn w:val="Normal"/>
    <w:qFormat/>
    <w:pPr>
      <w:ind w:left="708" w:hanging="0"/>
    </w:pPr>
    <w:rPr/>
  </w:style>
  <w:style w:type="paragraph" w:styleId="NormalWeb">
    <w:name w:val="Normal (Web)"/>
    <w:basedOn w:val="Normal"/>
    <w:qFormat/>
    <w:pPr>
      <w:spacing w:before="100" w:after="100"/>
    </w:pPr>
    <w:rPr/>
  </w:style>
  <w:style w:type="paragraph" w:styleId="Texte">
    <w:name w:val="Texte"/>
    <w:qFormat/>
    <w:pPr>
      <w:widowControl/>
      <w:ind w:firstLine="480"/>
    </w:pPr>
    <w:rPr>
      <w:rFonts w:ascii="Times" w:hAnsi="Times" w:eastAsia="Times New Roman" w:cs="Times"/>
      <w:color w:val="000000"/>
      <w:sz w:val="24"/>
      <w:szCs w:val="20"/>
      <w:lang w:val="fr-FR" w:bidi="ar-SA" w:eastAsia="zh-CN"/>
    </w:rPr>
  </w:style>
  <w:style w:type="paragraph" w:styleId="Commentaire">
    <w:name w:val="Commentaire"/>
    <w:basedOn w:val="Normal"/>
    <w:qFormat/>
    <w:pPr/>
    <w:rPr>
      <w:sz w:val="20"/>
      <w:szCs w:val="20"/>
    </w:rPr>
  </w:style>
  <w:style w:type="paragraph" w:styleId="Objetducommentaire">
    <w:name w:val="Objet du commentaire"/>
    <w:basedOn w:val="Commentaire"/>
    <w:next w:val="Commentaire"/>
    <w:qFormat/>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2022-05-30T17:46:00Z</dcterms:created>
  <dc:creator/>
  <dc:description/>
  <dc:language>en-GB</dc:language>
  <cp:lastModifiedBy/>
  <cp:lastPrinted>2022-04-29T14:04:00Z</cp:lastPrinted>
  <dcterms:modified xsi:type="dcterms:W3CDTF">2022-05-30T17:47:00Z</dcterms:modified>
  <cp:revision>3</cp:revision>
  <dc:subject/>
  <dc:title>NEGOCIATION PARITAIRE</dc:title>
</cp:coreProperties>
</file>