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FAAB4D0" w14:textId="21D9A6C7" w:rsidP="00CB1C19" w:rsidR="00876897" w:rsidRDefault="00737794" w:rsidRPr="00566D09">
      <w:pPr>
        <w:pStyle w:val="Sansinterligne"/>
        <w:jc w:val="center"/>
        <w:rPr>
          <w:rFonts w:ascii="Verdana" w:hAnsi="Verdana"/>
          <w:b/>
          <w:sz w:val="40"/>
          <w:szCs w:val="44"/>
        </w:rPr>
      </w:pPr>
      <w:r>
        <w:rPr>
          <w:rFonts w:ascii="Verdana" w:hAnsi="Verdana"/>
          <w:b/>
          <w:sz w:val="40"/>
          <w:szCs w:val="44"/>
        </w:rPr>
        <w:t>DELTA ROUTE</w:t>
      </w:r>
      <w:r w:rsidR="002108E7" w:rsidRPr="00566D09">
        <w:rPr>
          <w:rFonts w:ascii="Verdana" w:hAnsi="Verdana"/>
          <w:b/>
          <w:sz w:val="40"/>
          <w:szCs w:val="44"/>
        </w:rPr>
        <w:t xml:space="preserve"> S</w:t>
      </w:r>
      <w:r w:rsidR="00755F24">
        <w:rPr>
          <w:rFonts w:ascii="Verdana" w:hAnsi="Verdana"/>
          <w:b/>
          <w:sz w:val="40"/>
          <w:szCs w:val="44"/>
        </w:rPr>
        <w:t>.</w:t>
      </w:r>
      <w:r w:rsidR="002108E7" w:rsidRPr="00566D09">
        <w:rPr>
          <w:rFonts w:ascii="Verdana" w:hAnsi="Verdana"/>
          <w:b/>
          <w:sz w:val="40"/>
          <w:szCs w:val="44"/>
        </w:rPr>
        <w:t>A</w:t>
      </w:r>
      <w:r w:rsidR="00755F24">
        <w:rPr>
          <w:rFonts w:ascii="Verdana" w:hAnsi="Verdana"/>
          <w:b/>
          <w:sz w:val="40"/>
          <w:szCs w:val="44"/>
        </w:rPr>
        <w:t>.</w:t>
      </w:r>
      <w:r w:rsidR="002108E7" w:rsidRPr="00566D09">
        <w:rPr>
          <w:rFonts w:ascii="Verdana" w:hAnsi="Verdana"/>
          <w:b/>
          <w:sz w:val="40"/>
          <w:szCs w:val="44"/>
        </w:rPr>
        <w:t>S</w:t>
      </w:r>
      <w:r w:rsidR="00755F24">
        <w:rPr>
          <w:rFonts w:ascii="Verdana" w:hAnsi="Verdana"/>
          <w:b/>
          <w:sz w:val="40"/>
          <w:szCs w:val="44"/>
        </w:rPr>
        <w:t>.</w:t>
      </w:r>
    </w:p>
    <w:p w14:paraId="42E74BCE" w14:textId="3F82583C" w:rsidP="00CB1C19" w:rsidR="002108E7" w:rsidRDefault="002108E7" w:rsidRPr="00734FFE">
      <w:pPr>
        <w:pStyle w:val="Sansinterligne"/>
        <w:jc w:val="center"/>
        <w:rPr>
          <w:rFonts w:ascii="Verdana" w:hAnsi="Verdana"/>
          <w:b/>
          <w:sz w:val="40"/>
          <w:szCs w:val="44"/>
          <w:u w:val="single"/>
        </w:rPr>
      </w:pPr>
      <w:r w:rsidRPr="00566D09">
        <w:rPr>
          <w:rFonts w:ascii="Verdana" w:hAnsi="Verdana"/>
          <w:b/>
          <w:sz w:val="40"/>
          <w:szCs w:val="44"/>
        </w:rPr>
        <w:t xml:space="preserve">ACCORD COLLECTIF D’ENTREPRISE SUR </w:t>
      </w:r>
      <w:r w:rsidR="00755DFC" w:rsidRPr="00566D09">
        <w:rPr>
          <w:rFonts w:ascii="Verdana" w:hAnsi="Verdana"/>
          <w:b/>
          <w:sz w:val="40"/>
          <w:szCs w:val="44"/>
        </w:rPr>
        <w:t>LES</w:t>
      </w:r>
      <w:r w:rsidR="000872ED" w:rsidRPr="00734FFE">
        <w:rPr>
          <w:rFonts w:ascii="Verdana" w:hAnsi="Verdana"/>
          <w:b/>
          <w:sz w:val="40"/>
          <w:szCs w:val="44"/>
        </w:rPr>
        <w:t xml:space="preserve"> </w:t>
      </w:r>
      <w:r w:rsidR="00B910AC" w:rsidRPr="00734FFE">
        <w:rPr>
          <w:rFonts w:ascii="Verdana" w:hAnsi="Verdana"/>
          <w:b/>
          <w:sz w:val="40"/>
          <w:szCs w:val="44"/>
        </w:rPr>
        <w:t>NÉGOCIATION</w:t>
      </w:r>
      <w:r w:rsidR="00755DFC">
        <w:rPr>
          <w:rFonts w:ascii="Verdana" w:hAnsi="Verdana"/>
          <w:b/>
          <w:sz w:val="40"/>
          <w:szCs w:val="44"/>
        </w:rPr>
        <w:t>S</w:t>
      </w:r>
      <w:r w:rsidR="000872ED" w:rsidRPr="00734FFE">
        <w:rPr>
          <w:rFonts w:ascii="Verdana" w:hAnsi="Verdana"/>
          <w:b/>
          <w:sz w:val="40"/>
          <w:szCs w:val="44"/>
        </w:rPr>
        <w:t xml:space="preserve"> ANNUELLE</w:t>
      </w:r>
      <w:r w:rsidR="00755DFC">
        <w:rPr>
          <w:rFonts w:ascii="Verdana" w:hAnsi="Verdana"/>
          <w:b/>
          <w:sz w:val="40"/>
          <w:szCs w:val="44"/>
        </w:rPr>
        <w:t>S</w:t>
      </w:r>
      <w:r w:rsidR="000872ED" w:rsidRPr="00734FFE">
        <w:rPr>
          <w:rFonts w:ascii="Verdana" w:hAnsi="Verdana"/>
          <w:b/>
          <w:sz w:val="40"/>
          <w:szCs w:val="44"/>
        </w:rPr>
        <w:t xml:space="preserve"> OBLIGATOIRE</w:t>
      </w:r>
      <w:r w:rsidR="00755DFC">
        <w:rPr>
          <w:rFonts w:ascii="Verdana" w:hAnsi="Verdana"/>
          <w:b/>
          <w:sz w:val="40"/>
          <w:szCs w:val="44"/>
        </w:rPr>
        <w:t>S</w:t>
      </w:r>
      <w:r w:rsidR="00F46B42" w:rsidRPr="00734FFE">
        <w:rPr>
          <w:rFonts w:ascii="Verdana" w:hAnsi="Verdana"/>
          <w:b/>
          <w:sz w:val="40"/>
          <w:szCs w:val="44"/>
        </w:rPr>
        <w:t xml:space="preserve"> </w:t>
      </w:r>
      <w:r w:rsidR="00737794">
        <w:rPr>
          <w:rFonts w:ascii="Verdana" w:hAnsi="Verdana"/>
          <w:b/>
          <w:sz w:val="40"/>
          <w:szCs w:val="44"/>
        </w:rPr>
        <w:t>2022</w:t>
      </w:r>
    </w:p>
    <w:p w14:paraId="3E53F92D" w14:textId="77777777" w:rsidP="0048051C" w:rsidR="00876897" w:rsidRDefault="00876897" w:rsidRPr="00734FFE">
      <w:pPr>
        <w:pStyle w:val="Sansinterligne"/>
        <w:jc w:val="both"/>
        <w:rPr>
          <w:rFonts w:ascii="Verdana" w:hAnsi="Verdana"/>
          <w:sz w:val="24"/>
          <w:szCs w:val="28"/>
        </w:rPr>
      </w:pPr>
    </w:p>
    <w:p w14:paraId="368AF6EF" w14:textId="77777777" w:rsidP="0048051C" w:rsidR="00023A47" w:rsidRDefault="00023A47" w:rsidRPr="00734FFE">
      <w:pPr>
        <w:pStyle w:val="Sansinterligne"/>
        <w:jc w:val="both"/>
        <w:rPr>
          <w:rFonts w:ascii="Verdana" w:hAnsi="Verdana"/>
          <w:b/>
          <w:sz w:val="18"/>
          <w:szCs w:val="20"/>
        </w:rPr>
      </w:pPr>
      <w:r w:rsidRPr="00734FFE">
        <w:rPr>
          <w:rFonts w:ascii="Verdana" w:hAnsi="Verdana"/>
          <w:b/>
          <w:sz w:val="18"/>
          <w:szCs w:val="20"/>
        </w:rPr>
        <w:t>ENTRE</w:t>
      </w:r>
    </w:p>
    <w:p w14:paraId="0C300286" w14:textId="77777777" w:rsidP="0048051C" w:rsidR="00023A47" w:rsidRDefault="00023A47" w:rsidRPr="00734FFE">
      <w:pPr>
        <w:pStyle w:val="Sansinterligne"/>
        <w:jc w:val="both"/>
        <w:rPr>
          <w:rFonts w:ascii="Verdana" w:hAnsi="Verdana"/>
          <w:sz w:val="18"/>
          <w:szCs w:val="20"/>
        </w:rPr>
      </w:pPr>
    </w:p>
    <w:p w14:paraId="5438F151" w14:textId="3F207088" w:rsidP="0048051C" w:rsidR="00023A47" w:rsidRDefault="00023A47" w:rsidRPr="00734FFE">
      <w:pPr>
        <w:pStyle w:val="Sansinterligne"/>
        <w:jc w:val="both"/>
        <w:rPr>
          <w:rFonts w:ascii="Verdana" w:hAnsi="Verdana"/>
          <w:sz w:val="18"/>
          <w:szCs w:val="20"/>
        </w:rPr>
      </w:pPr>
      <w:r w:rsidRPr="00734FFE">
        <w:rPr>
          <w:rFonts w:ascii="Verdana" w:hAnsi="Verdana"/>
          <w:sz w:val="18"/>
          <w:szCs w:val="20"/>
        </w:rPr>
        <w:t xml:space="preserve">La société </w:t>
      </w:r>
      <w:r w:rsidR="00737794">
        <w:rPr>
          <w:rFonts w:ascii="Verdana" w:hAnsi="Verdana"/>
          <w:sz w:val="18"/>
          <w:szCs w:val="20"/>
        </w:rPr>
        <w:t>DELTA ROUTE</w:t>
      </w:r>
      <w:r w:rsidRPr="00734FFE">
        <w:rPr>
          <w:rFonts w:ascii="Verdana" w:hAnsi="Verdana"/>
          <w:sz w:val="18"/>
          <w:szCs w:val="20"/>
        </w:rPr>
        <w:t>, Société par Actions Simplifiée,</w:t>
      </w:r>
      <w:r w:rsidR="00B576BF">
        <w:rPr>
          <w:rFonts w:ascii="Verdana" w:hAnsi="Verdana"/>
          <w:sz w:val="18"/>
          <w:szCs w:val="20"/>
        </w:rPr>
        <w:t xml:space="preserve"> </w:t>
      </w:r>
      <w:r w:rsidRPr="00734FFE">
        <w:rPr>
          <w:rFonts w:ascii="Verdana" w:hAnsi="Verdana"/>
          <w:sz w:val="18"/>
          <w:szCs w:val="20"/>
        </w:rPr>
        <w:t xml:space="preserve">dont le siège social est situé </w:t>
      </w:r>
      <w:r w:rsidR="00737794">
        <w:rPr>
          <w:rFonts w:ascii="Verdana" w:hAnsi="Verdana"/>
          <w:sz w:val="18"/>
          <w:szCs w:val="20"/>
        </w:rPr>
        <w:t>Quartier de l’Aiguille, BP 13 – 13180 GIGNAC LA NERTHE</w:t>
      </w:r>
      <w:r w:rsidRPr="00734FFE">
        <w:rPr>
          <w:rFonts w:ascii="Verdana" w:hAnsi="Verdana"/>
          <w:sz w:val="18"/>
          <w:szCs w:val="20"/>
        </w:rPr>
        <w:t xml:space="preserve">, immatriculée au Registre du Commerce et des Sociétés </w:t>
      </w:r>
      <w:r w:rsidR="00737794">
        <w:rPr>
          <w:rFonts w:ascii="Verdana" w:hAnsi="Verdana"/>
          <w:sz w:val="18"/>
          <w:szCs w:val="20"/>
        </w:rPr>
        <w:t>d’Aix-en-Provence</w:t>
      </w:r>
      <w:r w:rsidRPr="00734FFE">
        <w:rPr>
          <w:rFonts w:ascii="Verdana" w:hAnsi="Verdana"/>
          <w:sz w:val="18"/>
          <w:szCs w:val="20"/>
        </w:rPr>
        <w:t xml:space="preserve"> sous le numéro </w:t>
      </w:r>
      <w:r w:rsidR="00755F24">
        <w:rPr>
          <w:rFonts w:ascii="Verdana" w:hAnsi="Verdana"/>
          <w:sz w:val="18"/>
          <w:szCs w:val="20"/>
        </w:rPr>
        <w:t>641 620 505</w:t>
      </w:r>
      <w:r w:rsidRPr="00734FFE">
        <w:rPr>
          <w:rFonts w:ascii="Verdana" w:hAnsi="Verdana"/>
          <w:sz w:val="18"/>
          <w:szCs w:val="20"/>
        </w:rPr>
        <w:t>,</w:t>
      </w:r>
    </w:p>
    <w:p w14:paraId="278E864C" w14:textId="77777777" w:rsidP="0048051C" w:rsidR="00023A47" w:rsidRDefault="00023A47" w:rsidRPr="00734FFE">
      <w:pPr>
        <w:pStyle w:val="Sansinterligne"/>
        <w:jc w:val="both"/>
        <w:rPr>
          <w:rFonts w:ascii="Verdana" w:hAnsi="Verdana"/>
          <w:sz w:val="18"/>
          <w:szCs w:val="20"/>
        </w:rPr>
      </w:pPr>
    </w:p>
    <w:p w14:paraId="21C2CB3B" w14:textId="6DAA180B" w:rsidP="00755F24" w:rsidR="00023A47" w:rsidRDefault="00023A47" w:rsidRPr="00734FFE">
      <w:pPr>
        <w:pStyle w:val="Sansinterligne"/>
        <w:tabs>
          <w:tab w:pos="6900" w:val="left"/>
        </w:tabs>
        <w:jc w:val="both"/>
        <w:rPr>
          <w:rFonts w:ascii="Verdana" w:hAnsi="Verdana"/>
          <w:sz w:val="18"/>
          <w:szCs w:val="20"/>
        </w:rPr>
      </w:pPr>
      <w:r w:rsidRPr="00734FFE">
        <w:rPr>
          <w:rFonts w:ascii="Verdana" w:hAnsi="Verdana"/>
          <w:sz w:val="18"/>
          <w:szCs w:val="20"/>
        </w:rPr>
        <w:t xml:space="preserve">Représentée par Monsieur </w:t>
      </w:r>
      <w:r w:rsidR="00354EC5">
        <w:rPr>
          <w:rFonts w:ascii="Verdana" w:hAnsi="Verdana"/>
          <w:sz w:val="18"/>
          <w:szCs w:val="20"/>
        </w:rPr>
        <w:t>XXXXXXXXX</w:t>
      </w:r>
      <w:r w:rsidRPr="00734FFE">
        <w:rPr>
          <w:rFonts w:ascii="Verdana" w:hAnsi="Verdana"/>
          <w:sz w:val="18"/>
          <w:szCs w:val="20"/>
        </w:rPr>
        <w:t>,</w:t>
      </w:r>
      <w:r w:rsidR="004A0D89">
        <w:rPr>
          <w:rFonts w:ascii="Verdana" w:hAnsi="Verdana"/>
          <w:sz w:val="18"/>
          <w:szCs w:val="20"/>
        </w:rPr>
        <w:t xml:space="preserve"> agissant en qualité de directeur général</w:t>
      </w:r>
      <w:r w:rsidRPr="00734FFE">
        <w:rPr>
          <w:rFonts w:ascii="Verdana" w:hAnsi="Verdana"/>
          <w:sz w:val="18"/>
          <w:szCs w:val="20"/>
        </w:rPr>
        <w:t xml:space="preserve">, </w:t>
      </w:r>
      <w:r w:rsidR="00755F24">
        <w:rPr>
          <w:rFonts w:ascii="Verdana" w:hAnsi="Verdana"/>
          <w:sz w:val="18"/>
          <w:szCs w:val="20"/>
        </w:rPr>
        <w:tab/>
      </w:r>
    </w:p>
    <w:p w14:paraId="48FB640F" w14:textId="77777777" w:rsidP="0048051C" w:rsidR="00023A47" w:rsidRDefault="00023A47" w:rsidRPr="00734FFE">
      <w:pPr>
        <w:pStyle w:val="Sansinterligne"/>
        <w:jc w:val="both"/>
        <w:rPr>
          <w:rFonts w:ascii="Verdana" w:hAnsi="Verdana"/>
          <w:sz w:val="18"/>
          <w:szCs w:val="20"/>
        </w:rPr>
      </w:pPr>
    </w:p>
    <w:p w14:paraId="6F3A742E" w14:textId="77777777" w:rsidP="0048051C" w:rsidR="00023A47" w:rsidRDefault="00023A47" w:rsidRPr="00734FFE">
      <w:pPr>
        <w:pStyle w:val="Sansinterligne"/>
        <w:jc w:val="both"/>
        <w:rPr>
          <w:rFonts w:ascii="Verdana" w:hAnsi="Verdana"/>
          <w:sz w:val="18"/>
          <w:szCs w:val="20"/>
        </w:rPr>
      </w:pPr>
      <w:r w:rsidRPr="00734FFE">
        <w:rPr>
          <w:rFonts w:ascii="Verdana" w:hAnsi="Verdana"/>
          <w:sz w:val="18"/>
          <w:szCs w:val="20"/>
        </w:rPr>
        <w:t xml:space="preserve">Ci-après dénommée </w:t>
      </w:r>
      <w:smartTag w:element="PersonName" w:uri="urn:schemas-microsoft-com:office:smarttags">
        <w:smartTagPr>
          <w:attr w:name="ProductID" w:val="la &quot;Soci￩t￩"/>
        </w:smartTagPr>
        <w:r w:rsidRPr="00734FFE">
          <w:rPr>
            <w:rFonts w:ascii="Verdana" w:hAnsi="Verdana"/>
            <w:sz w:val="18"/>
            <w:szCs w:val="20"/>
          </w:rPr>
          <w:t>la "Société</w:t>
        </w:r>
      </w:smartTag>
      <w:r w:rsidRPr="00734FFE">
        <w:rPr>
          <w:rFonts w:ascii="Verdana" w:hAnsi="Verdana"/>
          <w:sz w:val="18"/>
          <w:szCs w:val="20"/>
        </w:rPr>
        <w:t>",</w:t>
      </w:r>
    </w:p>
    <w:p w14:paraId="21448A72" w14:textId="77777777" w:rsidP="0048051C" w:rsidR="00CB1C19" w:rsidRDefault="00CB1C19" w:rsidRPr="00734FFE">
      <w:pPr>
        <w:pStyle w:val="Sansinterligne"/>
        <w:jc w:val="both"/>
        <w:rPr>
          <w:rFonts w:ascii="Verdana" w:hAnsi="Verdana"/>
          <w:sz w:val="18"/>
          <w:szCs w:val="20"/>
        </w:rPr>
      </w:pPr>
    </w:p>
    <w:p w14:paraId="3087F5A8" w14:textId="77777777" w:rsidP="00CB1C19" w:rsidR="00023A47" w:rsidRDefault="00023A47" w:rsidRPr="00734FFE">
      <w:pPr>
        <w:pStyle w:val="Sansinterligne"/>
        <w:jc w:val="right"/>
        <w:rPr>
          <w:rFonts w:ascii="Verdana" w:hAnsi="Verdana"/>
          <w:b/>
          <w:sz w:val="18"/>
          <w:szCs w:val="20"/>
        </w:rPr>
      </w:pPr>
      <w:r w:rsidRPr="00734FFE">
        <w:rPr>
          <w:rFonts w:ascii="Verdana" w:hAnsi="Verdana"/>
          <w:b/>
          <w:sz w:val="18"/>
          <w:szCs w:val="20"/>
        </w:rPr>
        <w:t>D’UNE PART</w:t>
      </w:r>
    </w:p>
    <w:p w14:paraId="6AE80C10" w14:textId="77777777" w:rsidP="0048051C" w:rsidR="00023A47" w:rsidRDefault="00023A47" w:rsidRPr="00734FFE">
      <w:pPr>
        <w:pStyle w:val="Sansinterligne"/>
        <w:jc w:val="both"/>
        <w:rPr>
          <w:rFonts w:ascii="Verdana" w:hAnsi="Verdana"/>
          <w:b/>
          <w:sz w:val="18"/>
          <w:szCs w:val="20"/>
        </w:rPr>
      </w:pPr>
      <w:r w:rsidRPr="00734FFE">
        <w:rPr>
          <w:rFonts w:ascii="Verdana" w:hAnsi="Verdana"/>
          <w:b/>
          <w:sz w:val="18"/>
          <w:szCs w:val="20"/>
        </w:rPr>
        <w:t>ET</w:t>
      </w:r>
    </w:p>
    <w:p w14:paraId="6323C071" w14:textId="77777777" w:rsidP="0048051C" w:rsidR="00023A47" w:rsidRDefault="00023A47" w:rsidRPr="00734FFE">
      <w:pPr>
        <w:pStyle w:val="Sansinterligne"/>
        <w:jc w:val="both"/>
        <w:rPr>
          <w:rFonts w:ascii="Verdana" w:hAnsi="Verdana"/>
          <w:sz w:val="18"/>
          <w:szCs w:val="20"/>
        </w:rPr>
      </w:pPr>
    </w:p>
    <w:p w14:paraId="6D9A87FD" w14:textId="70CFB5CD" w:rsidP="0048051C" w:rsidR="00023A47" w:rsidRDefault="004A0D89" w:rsidRPr="00734FFE">
      <w:pPr>
        <w:pStyle w:val="Sansinterligne"/>
        <w:jc w:val="both"/>
        <w:rPr>
          <w:rFonts w:ascii="Verdana" w:hAnsi="Verdana"/>
          <w:sz w:val="18"/>
          <w:szCs w:val="20"/>
        </w:rPr>
      </w:pPr>
      <w:r>
        <w:rPr>
          <w:rFonts w:ascii="Verdana" w:hAnsi="Verdana"/>
          <w:sz w:val="18"/>
          <w:szCs w:val="20"/>
        </w:rPr>
        <w:t>L’Organisation Syndicale, </w:t>
      </w:r>
      <w:r w:rsidR="00023A47" w:rsidRPr="00734FFE">
        <w:rPr>
          <w:rFonts w:ascii="Verdana" w:hAnsi="Verdana"/>
          <w:sz w:val="18"/>
          <w:szCs w:val="20"/>
        </w:rPr>
        <w:t xml:space="preserve">Syndicat Professionnel Autonome de </w:t>
      </w:r>
      <w:r w:rsidR="00737794">
        <w:rPr>
          <w:rFonts w:ascii="Verdana" w:hAnsi="Verdana"/>
          <w:sz w:val="18"/>
          <w:szCs w:val="20"/>
        </w:rPr>
        <w:t>DELTA ROUTE</w:t>
      </w:r>
      <w:r w:rsidR="00023A47" w:rsidRPr="00734FFE">
        <w:rPr>
          <w:rFonts w:ascii="Verdana" w:hAnsi="Verdana"/>
          <w:sz w:val="18"/>
          <w:szCs w:val="20"/>
        </w:rPr>
        <w:t>, représentée p</w:t>
      </w:r>
      <w:r w:rsidR="00B576BF">
        <w:rPr>
          <w:rFonts w:ascii="Verdana" w:hAnsi="Verdana"/>
          <w:sz w:val="18"/>
          <w:szCs w:val="20"/>
        </w:rPr>
        <w:t xml:space="preserve">ar Monsieur </w:t>
      </w:r>
      <w:r w:rsidR="00354EC5">
        <w:rPr>
          <w:rFonts w:ascii="Verdana" w:hAnsi="Verdana"/>
          <w:sz w:val="18"/>
          <w:szCs w:val="20"/>
        </w:rPr>
        <w:t>XXXXXXXXXXXX</w:t>
      </w:r>
      <w:r w:rsidR="00737794">
        <w:rPr>
          <w:rFonts w:ascii="Verdana" w:hAnsi="Verdana"/>
          <w:sz w:val="18"/>
          <w:szCs w:val="20"/>
        </w:rPr>
        <w:t>,</w:t>
      </w:r>
      <w:r w:rsidR="00023A47" w:rsidRPr="00734FFE">
        <w:rPr>
          <w:rFonts w:ascii="Verdana" w:hAnsi="Verdana"/>
          <w:sz w:val="18"/>
          <w:szCs w:val="20"/>
        </w:rPr>
        <w:t xml:space="preserve"> dûment mandaté,</w:t>
      </w:r>
    </w:p>
    <w:p w14:paraId="5C5FE60D" w14:textId="77777777" w:rsidP="0048051C" w:rsidR="00023A47" w:rsidRDefault="00023A47" w:rsidRPr="00734FFE">
      <w:pPr>
        <w:pStyle w:val="Sansinterligne"/>
        <w:jc w:val="both"/>
        <w:rPr>
          <w:rFonts w:ascii="Verdana" w:hAnsi="Verdana"/>
          <w:sz w:val="18"/>
          <w:szCs w:val="20"/>
        </w:rPr>
      </w:pPr>
    </w:p>
    <w:p w14:paraId="66096559" w14:textId="77777777" w:rsidP="00CB1C19" w:rsidR="00023A47" w:rsidRDefault="00023A47" w:rsidRPr="00734FFE">
      <w:pPr>
        <w:pStyle w:val="Sansinterligne"/>
        <w:jc w:val="right"/>
        <w:rPr>
          <w:rFonts w:ascii="Verdana" w:hAnsi="Verdana"/>
          <w:b/>
          <w:sz w:val="18"/>
          <w:szCs w:val="20"/>
        </w:rPr>
      </w:pPr>
      <w:r w:rsidRPr="00734FFE">
        <w:rPr>
          <w:rFonts w:ascii="Verdana" w:hAnsi="Verdana"/>
          <w:b/>
          <w:sz w:val="18"/>
          <w:szCs w:val="20"/>
        </w:rPr>
        <w:t>D’AUTRE PART</w:t>
      </w:r>
    </w:p>
    <w:p w14:paraId="1182055D" w14:textId="77777777" w:rsidP="0048051C" w:rsidR="00023A47" w:rsidRDefault="00023A47" w:rsidRPr="00734FFE">
      <w:pPr>
        <w:pStyle w:val="Sansinterligne"/>
        <w:jc w:val="both"/>
        <w:rPr>
          <w:rFonts w:ascii="Verdana" w:hAnsi="Verdana"/>
          <w:sz w:val="18"/>
          <w:szCs w:val="20"/>
        </w:rPr>
      </w:pPr>
    </w:p>
    <w:p w14:paraId="44148831" w14:textId="77777777" w:rsidP="0048051C" w:rsidR="00023A47" w:rsidRDefault="00023A47" w:rsidRPr="00734FFE">
      <w:pPr>
        <w:pStyle w:val="Sansinterligne"/>
        <w:jc w:val="both"/>
        <w:rPr>
          <w:rFonts w:ascii="Verdana" w:hAnsi="Verdana"/>
          <w:sz w:val="18"/>
          <w:szCs w:val="20"/>
        </w:rPr>
      </w:pPr>
      <w:r w:rsidRPr="00734FFE">
        <w:rPr>
          <w:rFonts w:ascii="Verdana" w:hAnsi="Verdana"/>
          <w:sz w:val="18"/>
          <w:szCs w:val="20"/>
        </w:rPr>
        <w:t>Il a été décidé et convenu entre les parties ce qui suit :</w:t>
      </w:r>
    </w:p>
    <w:p w14:paraId="62B99D9C" w14:textId="77777777" w:rsidP="0048051C" w:rsidR="00023A47" w:rsidRDefault="00023A47" w:rsidRPr="00734FFE">
      <w:pPr>
        <w:pStyle w:val="Sansinterligne"/>
        <w:jc w:val="both"/>
        <w:rPr>
          <w:rFonts w:ascii="Verdana" w:hAnsi="Verdana"/>
          <w:sz w:val="18"/>
          <w:szCs w:val="20"/>
        </w:rPr>
      </w:pPr>
    </w:p>
    <w:p w14:paraId="05E05366" w14:textId="27F0DBF1" w:rsidP="0048051C" w:rsidR="00023A47" w:rsidRDefault="005F4B62" w:rsidRPr="00734FFE">
      <w:pPr>
        <w:pStyle w:val="Sansinterligne"/>
        <w:jc w:val="both"/>
        <w:rPr>
          <w:rFonts w:ascii="Verdana" w:hAnsi="Verdana"/>
          <w:b/>
          <w:sz w:val="18"/>
          <w:szCs w:val="20"/>
        </w:rPr>
      </w:pPr>
      <w:r w:rsidRPr="00734FFE">
        <w:rPr>
          <w:rFonts w:ascii="Verdana" w:hAnsi="Verdana"/>
          <w:b/>
          <w:sz w:val="18"/>
          <w:szCs w:val="20"/>
        </w:rPr>
        <w:t>PRÉAMBULE</w:t>
      </w:r>
    </w:p>
    <w:p w14:paraId="09EC2ED9" w14:textId="77777777" w:rsidP="0048051C" w:rsidR="00593B84" w:rsidRDefault="00593B84" w:rsidRPr="00734FFE">
      <w:pPr>
        <w:pStyle w:val="Sansinterligne"/>
        <w:jc w:val="both"/>
        <w:rPr>
          <w:rFonts w:ascii="Verdana" w:hAnsi="Verdana"/>
          <w:b/>
          <w:sz w:val="18"/>
          <w:szCs w:val="20"/>
          <w:u w:val="single"/>
        </w:rPr>
      </w:pPr>
    </w:p>
    <w:p w14:paraId="44CDF68D" w14:textId="25EA12EE" w:rsidP="0048051C" w:rsidR="006B7D52" w:rsidRDefault="00593B84" w:rsidRPr="00734FFE">
      <w:pPr>
        <w:pStyle w:val="Sansinterligne"/>
        <w:jc w:val="both"/>
        <w:rPr>
          <w:rFonts w:ascii="Verdana" w:hAnsi="Verdana"/>
          <w:sz w:val="18"/>
          <w:szCs w:val="20"/>
        </w:rPr>
      </w:pPr>
      <w:r w:rsidRPr="00734FFE">
        <w:rPr>
          <w:rFonts w:ascii="Verdana" w:hAnsi="Verdana"/>
          <w:sz w:val="18"/>
          <w:szCs w:val="20"/>
        </w:rPr>
        <w:t xml:space="preserve">Conformément aux </w:t>
      </w:r>
      <w:r w:rsidR="00C80A49" w:rsidRPr="00734FFE">
        <w:rPr>
          <w:rFonts w:ascii="Verdana" w:hAnsi="Verdana"/>
          <w:sz w:val="18"/>
          <w:szCs w:val="20"/>
        </w:rPr>
        <w:t>dispositions</w:t>
      </w:r>
      <w:r w:rsidR="00031DB3" w:rsidRPr="00734FFE">
        <w:rPr>
          <w:rFonts w:ascii="Verdana" w:hAnsi="Verdana"/>
          <w:sz w:val="18"/>
          <w:szCs w:val="20"/>
        </w:rPr>
        <w:t xml:space="preserve"> du Code du Travail</w:t>
      </w:r>
      <w:r w:rsidR="006B7D52" w:rsidRPr="00734FFE">
        <w:rPr>
          <w:rFonts w:ascii="Verdana" w:hAnsi="Verdana"/>
          <w:sz w:val="18"/>
          <w:szCs w:val="20"/>
        </w:rPr>
        <w:t xml:space="preserve">, </w:t>
      </w:r>
      <w:r w:rsidRPr="00734FFE">
        <w:rPr>
          <w:rFonts w:ascii="Verdana" w:hAnsi="Verdana"/>
          <w:sz w:val="18"/>
          <w:szCs w:val="20"/>
        </w:rPr>
        <w:t>une négociation s’est engagée</w:t>
      </w:r>
      <w:r w:rsidR="00C80A49" w:rsidRPr="00734FFE">
        <w:rPr>
          <w:rFonts w:ascii="Verdana" w:hAnsi="Verdana"/>
          <w:sz w:val="18"/>
          <w:szCs w:val="20"/>
        </w:rPr>
        <w:t xml:space="preserve"> </w:t>
      </w:r>
      <w:r w:rsidR="006B7D52" w:rsidRPr="00734FFE">
        <w:rPr>
          <w:rFonts w:ascii="Verdana" w:hAnsi="Verdana"/>
          <w:sz w:val="18"/>
          <w:szCs w:val="20"/>
        </w:rPr>
        <w:t xml:space="preserve">entre la Direction et l’organisation syndicale représentative dans la société </w:t>
      </w:r>
      <w:r w:rsidR="00734FFE" w:rsidRPr="00734FFE">
        <w:rPr>
          <w:rFonts w:ascii="Verdana" w:hAnsi="Verdana"/>
          <w:sz w:val="18"/>
          <w:szCs w:val="20"/>
        </w:rPr>
        <w:t>« </w:t>
      </w:r>
      <w:r w:rsidR="00737794">
        <w:rPr>
          <w:rFonts w:ascii="Verdana" w:hAnsi="Verdana"/>
          <w:sz w:val="18"/>
          <w:szCs w:val="20"/>
        </w:rPr>
        <w:t>Syndicat Autonome DELTA ROUTE</w:t>
      </w:r>
      <w:r w:rsidR="00734FFE" w:rsidRPr="00734FFE">
        <w:rPr>
          <w:rFonts w:ascii="Verdana" w:hAnsi="Verdana"/>
          <w:sz w:val="18"/>
          <w:szCs w:val="20"/>
        </w:rPr>
        <w:t> »</w:t>
      </w:r>
      <w:r w:rsidR="006B7D52" w:rsidRPr="00734FFE">
        <w:rPr>
          <w:rFonts w:ascii="Verdana" w:hAnsi="Verdana"/>
          <w:sz w:val="18"/>
          <w:szCs w:val="20"/>
        </w:rPr>
        <w:t xml:space="preserve">, </w:t>
      </w:r>
      <w:r w:rsidR="00C80A49" w:rsidRPr="00734FFE">
        <w:rPr>
          <w:rFonts w:ascii="Verdana" w:hAnsi="Verdana"/>
          <w:sz w:val="18"/>
          <w:szCs w:val="20"/>
        </w:rPr>
        <w:t>portant sur</w:t>
      </w:r>
      <w:r w:rsidR="006B7D52" w:rsidRPr="00734FFE">
        <w:rPr>
          <w:rFonts w:ascii="Verdana" w:hAnsi="Verdana"/>
          <w:sz w:val="18"/>
          <w:szCs w:val="20"/>
        </w:rPr>
        <w:t> :</w:t>
      </w:r>
    </w:p>
    <w:p w14:paraId="2C785026" w14:textId="77777777" w:rsidP="0048051C" w:rsidR="006B7D52" w:rsidRDefault="006B7D52"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L</w:t>
      </w:r>
      <w:r w:rsidR="00C80A49" w:rsidRPr="00734FFE">
        <w:rPr>
          <w:rFonts w:ascii="Verdana" w:hAnsi="Verdana"/>
          <w:sz w:val="18"/>
          <w:szCs w:val="20"/>
        </w:rPr>
        <w:t xml:space="preserve">es </w:t>
      </w:r>
      <w:r w:rsidR="00593B84" w:rsidRPr="00734FFE">
        <w:rPr>
          <w:rFonts w:ascii="Verdana" w:hAnsi="Verdana"/>
          <w:sz w:val="18"/>
          <w:szCs w:val="20"/>
        </w:rPr>
        <w:t>salaires</w:t>
      </w:r>
      <w:r w:rsidRPr="00734FFE">
        <w:rPr>
          <w:rFonts w:ascii="Verdana" w:hAnsi="Verdana"/>
          <w:sz w:val="18"/>
          <w:szCs w:val="20"/>
        </w:rPr>
        <w:t xml:space="preserve"> effectifs, </w:t>
      </w:r>
    </w:p>
    <w:p w14:paraId="1EA77BE0" w14:textId="77777777" w:rsidP="0048051C" w:rsidR="006B7D52" w:rsidRDefault="006B7D52"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L</w:t>
      </w:r>
      <w:r w:rsidR="00C80A49" w:rsidRPr="00734FFE">
        <w:rPr>
          <w:rFonts w:ascii="Verdana" w:hAnsi="Verdana"/>
          <w:sz w:val="18"/>
          <w:szCs w:val="20"/>
        </w:rPr>
        <w:t>a durée effecti</w:t>
      </w:r>
      <w:r w:rsidR="00031DB3" w:rsidRPr="00734FFE">
        <w:rPr>
          <w:rFonts w:ascii="Verdana" w:hAnsi="Verdana"/>
          <w:sz w:val="18"/>
          <w:szCs w:val="20"/>
        </w:rPr>
        <w:t xml:space="preserve">ve et l’organisation du travail, </w:t>
      </w:r>
    </w:p>
    <w:p w14:paraId="1A481173" w14:textId="77777777" w:rsidP="0048051C" w:rsidR="00031DB3" w:rsidRDefault="00031DB3"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Le partage de la valeur ajoutée,</w:t>
      </w:r>
    </w:p>
    <w:p w14:paraId="59D230C8" w14:textId="77777777" w:rsidP="0048051C" w:rsidR="00031DB3" w:rsidRDefault="006B7D52"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 xml:space="preserve">Le </w:t>
      </w:r>
      <w:r w:rsidR="00C80A49" w:rsidRPr="00734FFE">
        <w:rPr>
          <w:rFonts w:ascii="Verdana" w:hAnsi="Verdana"/>
          <w:sz w:val="18"/>
          <w:szCs w:val="20"/>
        </w:rPr>
        <w:t>suivi de la mise en œuvre des mesures visant à supprimer les écarts de rémunérations et les différences de déroulement de carrière entre le</w:t>
      </w:r>
      <w:r w:rsidR="00CF60A2" w:rsidRPr="00734FFE">
        <w:rPr>
          <w:rFonts w:ascii="Verdana" w:hAnsi="Verdana"/>
          <w:sz w:val="18"/>
          <w:szCs w:val="20"/>
        </w:rPr>
        <w:t>s</w:t>
      </w:r>
      <w:r w:rsidR="00C80A49" w:rsidRPr="00734FFE">
        <w:rPr>
          <w:rFonts w:ascii="Verdana" w:hAnsi="Verdana"/>
          <w:sz w:val="18"/>
          <w:szCs w:val="20"/>
        </w:rPr>
        <w:t xml:space="preserve"> femmes et les hommes,</w:t>
      </w:r>
    </w:p>
    <w:p w14:paraId="6FA657D9" w14:textId="77777777" w:rsidP="0048051C" w:rsidR="00031DB3" w:rsidRDefault="006B7D52"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L</w:t>
      </w:r>
      <w:r w:rsidR="000872ED" w:rsidRPr="00734FFE">
        <w:rPr>
          <w:rFonts w:ascii="Verdana" w:hAnsi="Verdana"/>
          <w:sz w:val="18"/>
          <w:szCs w:val="20"/>
        </w:rPr>
        <w:t>’insertion professionnelle</w:t>
      </w:r>
      <w:r w:rsidR="00593B84" w:rsidRPr="00734FFE">
        <w:rPr>
          <w:rFonts w:ascii="Verdana" w:hAnsi="Verdana"/>
          <w:sz w:val="18"/>
          <w:szCs w:val="20"/>
        </w:rPr>
        <w:t xml:space="preserve"> et le maintien dans l’emploi </w:t>
      </w:r>
      <w:r w:rsidR="00CF60A2" w:rsidRPr="00734FFE">
        <w:rPr>
          <w:rFonts w:ascii="Verdana" w:hAnsi="Verdana"/>
          <w:sz w:val="18"/>
          <w:szCs w:val="20"/>
        </w:rPr>
        <w:t>d</w:t>
      </w:r>
      <w:r w:rsidR="00593B84" w:rsidRPr="00734FFE">
        <w:rPr>
          <w:rFonts w:ascii="Verdana" w:hAnsi="Verdana"/>
          <w:sz w:val="18"/>
          <w:szCs w:val="20"/>
        </w:rPr>
        <w:t>es travailleurs handicapés</w:t>
      </w:r>
      <w:r w:rsidR="00CF60A2" w:rsidRPr="00734FFE">
        <w:rPr>
          <w:rFonts w:ascii="Verdana" w:hAnsi="Verdana"/>
          <w:sz w:val="18"/>
          <w:szCs w:val="20"/>
        </w:rPr>
        <w:t>,</w:t>
      </w:r>
    </w:p>
    <w:p w14:paraId="5B850EF3" w14:textId="77777777" w:rsidP="0048051C" w:rsidR="00031DB3" w:rsidRDefault="00031DB3"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La prévoyance,</w:t>
      </w:r>
    </w:p>
    <w:p w14:paraId="1A9B6881" w14:textId="77777777" w:rsidP="0048051C" w:rsidR="00031DB3" w:rsidRDefault="00031DB3"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 xml:space="preserve">Le droit d’expression directe et collective des salariés, </w:t>
      </w:r>
    </w:p>
    <w:p w14:paraId="5704E9BD" w14:textId="77777777" w:rsidP="0048051C" w:rsidR="00031DB3" w:rsidRDefault="00031DB3"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Le droit à la déconnexion</w:t>
      </w:r>
      <w:r w:rsidR="00A40B6B" w:rsidRPr="00734FFE">
        <w:rPr>
          <w:rFonts w:ascii="Verdana" w:hAnsi="Verdana"/>
          <w:sz w:val="18"/>
          <w:szCs w:val="20"/>
        </w:rPr>
        <w:t>,</w:t>
      </w:r>
    </w:p>
    <w:p w14:paraId="7287DF6F" w14:textId="77777777" w:rsidP="0048051C" w:rsidR="00593B84" w:rsidRDefault="00031DB3" w:rsidRPr="00734FFE">
      <w:pPr>
        <w:pStyle w:val="Sansinterligne"/>
        <w:numPr>
          <w:ilvl w:val="0"/>
          <w:numId w:val="12"/>
        </w:numPr>
        <w:ind w:hanging="256" w:left="426"/>
        <w:jc w:val="both"/>
        <w:rPr>
          <w:rFonts w:ascii="Verdana" w:hAnsi="Verdana"/>
          <w:sz w:val="18"/>
          <w:szCs w:val="20"/>
        </w:rPr>
      </w:pPr>
      <w:r w:rsidRPr="00734FFE">
        <w:rPr>
          <w:rFonts w:ascii="Verdana" w:hAnsi="Verdana"/>
          <w:sz w:val="18"/>
          <w:szCs w:val="20"/>
        </w:rPr>
        <w:t>Et les mesures visant à améliorer la mobilité des salariés</w:t>
      </w:r>
      <w:r w:rsidR="00593B84" w:rsidRPr="00734FFE">
        <w:rPr>
          <w:rFonts w:ascii="Verdana" w:hAnsi="Verdana"/>
          <w:sz w:val="18"/>
          <w:szCs w:val="20"/>
        </w:rPr>
        <w:t>.</w:t>
      </w:r>
    </w:p>
    <w:p w14:paraId="6193951E" w14:textId="77777777" w:rsidP="0048051C" w:rsidR="00593B84" w:rsidRDefault="00593B84" w:rsidRPr="00734FFE">
      <w:pPr>
        <w:pStyle w:val="Sansinterligne"/>
        <w:jc w:val="both"/>
        <w:rPr>
          <w:rFonts w:ascii="Verdana" w:hAnsi="Verdana"/>
          <w:sz w:val="18"/>
          <w:szCs w:val="20"/>
        </w:rPr>
      </w:pPr>
    </w:p>
    <w:p w14:paraId="75CC7A09" w14:textId="77777777" w:rsidP="0048051C" w:rsidR="00593B84" w:rsidRDefault="00593B84" w:rsidRPr="00734FFE">
      <w:pPr>
        <w:pStyle w:val="Sansinterligne"/>
        <w:jc w:val="both"/>
        <w:rPr>
          <w:rFonts w:ascii="Verdana" w:hAnsi="Verdana"/>
          <w:sz w:val="18"/>
          <w:szCs w:val="20"/>
        </w:rPr>
      </w:pPr>
      <w:r w:rsidRPr="00734FFE">
        <w:rPr>
          <w:rFonts w:ascii="Verdana" w:hAnsi="Verdana"/>
          <w:sz w:val="18"/>
          <w:szCs w:val="20"/>
        </w:rPr>
        <w:t>Dans ce cadre, la Direction et l’organisation syndicale se sont rencontrées selon le calendrier suivant :</w:t>
      </w:r>
    </w:p>
    <w:p w14:paraId="407298D1" w14:textId="77777777" w:rsidP="0048051C" w:rsidR="00593B84" w:rsidRDefault="00593B84" w:rsidRPr="00734FFE">
      <w:pPr>
        <w:pStyle w:val="Sansinterligne"/>
        <w:jc w:val="both"/>
        <w:rPr>
          <w:rFonts w:ascii="Verdana" w:hAnsi="Verdana"/>
          <w:sz w:val="18"/>
          <w:szCs w:val="20"/>
        </w:rPr>
      </w:pPr>
    </w:p>
    <w:p w14:paraId="075D52FC" w14:textId="0DCC140B" w:rsidP="0048051C" w:rsidR="00593B84" w:rsidRDefault="00593B84" w:rsidRPr="00734FFE">
      <w:pPr>
        <w:pStyle w:val="Sansinterligne"/>
        <w:numPr>
          <w:ilvl w:val="0"/>
          <w:numId w:val="1"/>
        </w:numPr>
        <w:jc w:val="both"/>
        <w:rPr>
          <w:rFonts w:ascii="Verdana" w:hAnsi="Verdana"/>
          <w:sz w:val="18"/>
          <w:szCs w:val="20"/>
        </w:rPr>
      </w:pPr>
      <w:r w:rsidRPr="00734FFE">
        <w:rPr>
          <w:rFonts w:ascii="Verdana" w:hAnsi="Verdana"/>
          <w:sz w:val="18"/>
          <w:szCs w:val="20"/>
        </w:rPr>
        <w:t>1</w:t>
      </w:r>
      <w:r w:rsidRPr="00734FFE">
        <w:rPr>
          <w:rFonts w:ascii="Verdana" w:hAnsi="Verdana"/>
          <w:sz w:val="18"/>
          <w:szCs w:val="20"/>
          <w:vertAlign w:val="superscript"/>
        </w:rPr>
        <w:t>ère</w:t>
      </w:r>
      <w:r w:rsidR="00F46B42" w:rsidRPr="00734FFE">
        <w:rPr>
          <w:rFonts w:ascii="Verdana" w:hAnsi="Verdana"/>
          <w:sz w:val="18"/>
          <w:szCs w:val="20"/>
        </w:rPr>
        <w:t xml:space="preserve"> réunion : </w:t>
      </w:r>
      <w:r w:rsidR="00737794">
        <w:rPr>
          <w:rFonts w:ascii="Verdana" w:hAnsi="Verdana"/>
          <w:sz w:val="18"/>
          <w:szCs w:val="20"/>
        </w:rPr>
        <w:t>10 mars 2022</w:t>
      </w:r>
    </w:p>
    <w:p w14:paraId="224544D9" w14:textId="25EF9DE8" w:rsidP="0048051C" w:rsidR="00593B84" w:rsidRDefault="00593B84" w:rsidRPr="00737794">
      <w:pPr>
        <w:pStyle w:val="Sansinterligne"/>
        <w:numPr>
          <w:ilvl w:val="0"/>
          <w:numId w:val="1"/>
        </w:numPr>
        <w:jc w:val="both"/>
        <w:rPr>
          <w:rFonts w:ascii="Verdana" w:hAnsi="Verdana"/>
          <w:sz w:val="18"/>
          <w:szCs w:val="20"/>
        </w:rPr>
      </w:pPr>
      <w:r w:rsidRPr="00737794">
        <w:rPr>
          <w:rFonts w:ascii="Verdana" w:hAnsi="Verdana"/>
          <w:sz w:val="18"/>
          <w:szCs w:val="20"/>
        </w:rPr>
        <w:t>2</w:t>
      </w:r>
      <w:r w:rsidRPr="00737794">
        <w:rPr>
          <w:rFonts w:ascii="Verdana" w:hAnsi="Verdana"/>
          <w:sz w:val="18"/>
          <w:szCs w:val="20"/>
          <w:vertAlign w:val="superscript"/>
        </w:rPr>
        <w:t>ème</w:t>
      </w:r>
      <w:r w:rsidR="00F46B42" w:rsidRPr="00737794">
        <w:rPr>
          <w:rFonts w:ascii="Verdana" w:hAnsi="Verdana"/>
          <w:sz w:val="18"/>
          <w:szCs w:val="20"/>
        </w:rPr>
        <w:t xml:space="preserve"> réunion</w:t>
      </w:r>
      <w:r w:rsidR="00737794" w:rsidRPr="00737794">
        <w:rPr>
          <w:rFonts w:ascii="Verdana" w:hAnsi="Verdana"/>
          <w:sz w:val="18"/>
          <w:szCs w:val="20"/>
        </w:rPr>
        <w:t> : 23 mars 2022</w:t>
      </w:r>
    </w:p>
    <w:p w14:paraId="57C5200B" w14:textId="1F0DC39E" w:rsidP="0048051C" w:rsidR="00734FFE" w:rsidRDefault="00734FFE" w:rsidRPr="00737794">
      <w:pPr>
        <w:pStyle w:val="Sansinterligne"/>
        <w:numPr>
          <w:ilvl w:val="0"/>
          <w:numId w:val="1"/>
        </w:numPr>
        <w:jc w:val="both"/>
        <w:rPr>
          <w:rFonts w:ascii="Verdana" w:hAnsi="Verdana"/>
          <w:sz w:val="18"/>
          <w:szCs w:val="20"/>
        </w:rPr>
      </w:pPr>
      <w:r w:rsidRPr="00737794">
        <w:rPr>
          <w:rFonts w:ascii="Verdana" w:hAnsi="Verdana"/>
          <w:sz w:val="18"/>
          <w:szCs w:val="20"/>
        </w:rPr>
        <w:t>3</w:t>
      </w:r>
      <w:r w:rsidRPr="00737794">
        <w:rPr>
          <w:rFonts w:ascii="Verdana" w:hAnsi="Verdana"/>
          <w:sz w:val="18"/>
          <w:szCs w:val="20"/>
          <w:vertAlign w:val="superscript"/>
        </w:rPr>
        <w:t>ème</w:t>
      </w:r>
      <w:r w:rsidRPr="00737794">
        <w:rPr>
          <w:rFonts w:ascii="Verdana" w:hAnsi="Verdana"/>
          <w:sz w:val="18"/>
          <w:szCs w:val="20"/>
        </w:rPr>
        <w:t xml:space="preserve"> réunion</w:t>
      </w:r>
      <w:r w:rsidR="00737794" w:rsidRPr="00737794">
        <w:rPr>
          <w:rFonts w:ascii="Verdana" w:hAnsi="Verdana"/>
          <w:sz w:val="18"/>
          <w:szCs w:val="20"/>
        </w:rPr>
        <w:t> : 30 mars 2022</w:t>
      </w:r>
      <w:r w:rsidR="00DA6461" w:rsidRPr="00737794">
        <w:rPr>
          <w:rFonts w:ascii="Verdana" w:hAnsi="Verdana"/>
          <w:sz w:val="18"/>
          <w:szCs w:val="20"/>
        </w:rPr>
        <w:t xml:space="preserve"> (pour signature</w:t>
      </w:r>
      <w:r w:rsidR="00EA54AA" w:rsidRPr="00737794">
        <w:rPr>
          <w:rFonts w:ascii="Verdana" w:hAnsi="Verdana"/>
          <w:sz w:val="18"/>
          <w:szCs w:val="20"/>
        </w:rPr>
        <w:t xml:space="preserve"> </w:t>
      </w:r>
      <w:r w:rsidR="00737794">
        <w:rPr>
          <w:rFonts w:ascii="Verdana" w:hAnsi="Verdana"/>
          <w:sz w:val="18"/>
          <w:szCs w:val="20"/>
        </w:rPr>
        <w:t>du PV d’</w:t>
      </w:r>
      <w:r w:rsidR="00EA54AA" w:rsidRPr="00737794">
        <w:rPr>
          <w:rFonts w:ascii="Verdana" w:hAnsi="Verdana"/>
          <w:sz w:val="18"/>
          <w:szCs w:val="20"/>
        </w:rPr>
        <w:t>accord</w:t>
      </w:r>
      <w:r w:rsidR="00DA6461" w:rsidRPr="00737794">
        <w:rPr>
          <w:rFonts w:ascii="Verdana" w:hAnsi="Verdana"/>
          <w:sz w:val="18"/>
          <w:szCs w:val="20"/>
        </w:rPr>
        <w:t>)</w:t>
      </w:r>
    </w:p>
    <w:p w14:paraId="566EEE41" w14:textId="77777777" w:rsidP="0048051C" w:rsidR="00593B84" w:rsidRDefault="00593B84" w:rsidRPr="00737794">
      <w:pPr>
        <w:pStyle w:val="Sansinterligne"/>
        <w:jc w:val="both"/>
        <w:rPr>
          <w:rFonts w:ascii="Verdana" w:hAnsi="Verdana"/>
          <w:sz w:val="18"/>
          <w:szCs w:val="20"/>
        </w:rPr>
      </w:pPr>
    </w:p>
    <w:p w14:paraId="78B72101" w14:textId="77777777" w:rsidP="0048051C" w:rsidR="00593B84" w:rsidRDefault="00593B84" w:rsidRPr="00734FFE">
      <w:pPr>
        <w:pStyle w:val="Sansinterligne"/>
        <w:jc w:val="both"/>
        <w:rPr>
          <w:rFonts w:ascii="Verdana" w:hAnsi="Verdana"/>
          <w:sz w:val="18"/>
          <w:szCs w:val="20"/>
        </w:rPr>
      </w:pPr>
      <w:r w:rsidRPr="00734FFE">
        <w:rPr>
          <w:rFonts w:ascii="Verdana" w:hAnsi="Verdana"/>
          <w:sz w:val="18"/>
          <w:szCs w:val="20"/>
        </w:rPr>
        <w:t>Après discussions et échanges sur les propositions faites par la Direction et les revendications de l’organisation syndicale, il a été c</w:t>
      </w:r>
      <w:r w:rsidR="00F46B42" w:rsidRPr="00734FFE">
        <w:rPr>
          <w:rFonts w:ascii="Verdana" w:hAnsi="Verdana"/>
          <w:sz w:val="18"/>
          <w:szCs w:val="20"/>
        </w:rPr>
        <w:t>onvenu, à l’issue de la troisième</w:t>
      </w:r>
      <w:r w:rsidRPr="00734FFE">
        <w:rPr>
          <w:rFonts w:ascii="Verdana" w:hAnsi="Verdana"/>
          <w:sz w:val="18"/>
          <w:szCs w:val="20"/>
        </w:rPr>
        <w:t xml:space="preserve"> réunion, l’application des dispositions ci-après </w:t>
      </w:r>
      <w:r w:rsidR="000A0FAB" w:rsidRPr="00734FFE">
        <w:rPr>
          <w:rFonts w:ascii="Verdana" w:hAnsi="Verdana"/>
          <w:sz w:val="18"/>
          <w:szCs w:val="20"/>
        </w:rPr>
        <w:t>:</w:t>
      </w:r>
    </w:p>
    <w:p w14:paraId="247A2B0F" w14:textId="77777777" w:rsidP="0048051C" w:rsidR="00593B84" w:rsidRDefault="00593B84" w:rsidRPr="00734FFE">
      <w:pPr>
        <w:pStyle w:val="Sansinterligne"/>
        <w:jc w:val="both"/>
        <w:rPr>
          <w:rFonts w:ascii="Verdana" w:hAnsi="Verdana"/>
          <w:sz w:val="18"/>
          <w:szCs w:val="20"/>
        </w:rPr>
      </w:pPr>
    </w:p>
    <w:p w14:paraId="7DD2B67D" w14:textId="77777777" w:rsidP="0048051C" w:rsidR="00EE0318" w:rsidRDefault="00593B84" w:rsidRPr="00734FFE">
      <w:pPr>
        <w:pStyle w:val="Sansinterligne"/>
        <w:jc w:val="both"/>
        <w:rPr>
          <w:rFonts w:ascii="Verdana" w:hAnsi="Verdana"/>
          <w:b/>
          <w:sz w:val="18"/>
          <w:szCs w:val="20"/>
          <w:u w:val="single"/>
        </w:rPr>
      </w:pPr>
      <w:r w:rsidRPr="00734FFE">
        <w:rPr>
          <w:rFonts w:ascii="Verdana" w:hAnsi="Verdana"/>
          <w:b/>
          <w:sz w:val="18"/>
          <w:szCs w:val="20"/>
          <w:u w:val="single"/>
        </w:rPr>
        <w:t>ARTICLE 1</w:t>
      </w:r>
      <w:r w:rsidRPr="00734FFE">
        <w:rPr>
          <w:rFonts w:ascii="Verdana" w:hAnsi="Verdana"/>
          <w:b/>
          <w:sz w:val="18"/>
          <w:szCs w:val="20"/>
          <w:u w:val="single"/>
          <w:vertAlign w:val="superscript"/>
        </w:rPr>
        <w:t>er </w:t>
      </w:r>
      <w:r w:rsidRPr="00734FFE">
        <w:rPr>
          <w:rFonts w:ascii="Verdana" w:hAnsi="Verdana"/>
          <w:b/>
          <w:sz w:val="18"/>
          <w:szCs w:val="20"/>
          <w:u w:val="single"/>
        </w:rPr>
        <w:t xml:space="preserve">: </w:t>
      </w:r>
      <w:r w:rsidR="000872ED" w:rsidRPr="00734FFE">
        <w:rPr>
          <w:rFonts w:ascii="Verdana" w:hAnsi="Verdana"/>
          <w:b/>
          <w:sz w:val="18"/>
          <w:szCs w:val="20"/>
          <w:u w:val="single"/>
        </w:rPr>
        <w:t>Champ d’application de l’accord</w:t>
      </w:r>
      <w:r w:rsidR="0068052C" w:rsidRPr="00734FFE">
        <w:rPr>
          <w:rFonts w:ascii="Verdana" w:hAnsi="Verdana"/>
          <w:b/>
          <w:sz w:val="18"/>
          <w:szCs w:val="20"/>
          <w:u w:val="single"/>
        </w:rPr>
        <w:t xml:space="preserve"> </w:t>
      </w:r>
    </w:p>
    <w:p w14:paraId="17AFC3A9" w14:textId="77777777" w:rsidP="0048051C" w:rsidR="00EE0318" w:rsidRDefault="00EE0318" w:rsidRPr="00734FFE">
      <w:pPr>
        <w:pStyle w:val="Sansinterligne"/>
        <w:jc w:val="both"/>
        <w:rPr>
          <w:rFonts w:ascii="Verdana" w:hAnsi="Verdana"/>
          <w:sz w:val="18"/>
          <w:szCs w:val="20"/>
        </w:rPr>
      </w:pPr>
    </w:p>
    <w:p w14:paraId="4CF1F3C0" w14:textId="63A2842B" w:rsidP="0048051C" w:rsidR="000872ED" w:rsidRDefault="000872ED">
      <w:pPr>
        <w:pStyle w:val="Sansinterligne"/>
        <w:jc w:val="both"/>
        <w:rPr>
          <w:rFonts w:ascii="Verdana" w:hAnsi="Verdana"/>
          <w:sz w:val="18"/>
          <w:szCs w:val="20"/>
        </w:rPr>
      </w:pPr>
      <w:r w:rsidRPr="00734FFE">
        <w:rPr>
          <w:rFonts w:ascii="Verdana" w:hAnsi="Verdana"/>
          <w:sz w:val="18"/>
          <w:szCs w:val="20"/>
        </w:rPr>
        <w:t xml:space="preserve">Le présent accord s’applique à l’ensemble des salariés de la société </w:t>
      </w:r>
      <w:r w:rsidR="00755F24">
        <w:rPr>
          <w:rFonts w:ascii="Verdana" w:hAnsi="Verdana"/>
          <w:sz w:val="18"/>
          <w:szCs w:val="20"/>
        </w:rPr>
        <w:t>DELTA ROUTE S.A.S.</w:t>
      </w:r>
      <w:r w:rsidRPr="00734FFE">
        <w:rPr>
          <w:rFonts w:ascii="Verdana" w:hAnsi="Verdana"/>
          <w:sz w:val="18"/>
          <w:szCs w:val="20"/>
        </w:rPr>
        <w:t>, quel q</w:t>
      </w:r>
      <w:r w:rsidR="00734FFE">
        <w:rPr>
          <w:rFonts w:ascii="Verdana" w:hAnsi="Verdana"/>
          <w:sz w:val="18"/>
          <w:szCs w:val="20"/>
        </w:rPr>
        <w:t>ue soit leur contrat de travail, pour une durée de 12 mois.</w:t>
      </w:r>
    </w:p>
    <w:p w14:paraId="3A8466BC" w14:textId="77777777" w:rsidP="0048051C" w:rsidR="003E155A" w:rsidRDefault="003E155A">
      <w:pPr>
        <w:pStyle w:val="Sansinterligne"/>
        <w:jc w:val="both"/>
        <w:rPr>
          <w:rFonts w:ascii="Verdana" w:hAnsi="Verdana"/>
          <w:sz w:val="18"/>
          <w:szCs w:val="20"/>
        </w:rPr>
      </w:pPr>
    </w:p>
    <w:p w14:paraId="0CDE7F26" w14:textId="77777777" w:rsidP="003E155A" w:rsidR="003E155A" w:rsidRDefault="003E155A" w:rsidRPr="003E155A">
      <w:pPr>
        <w:pStyle w:val="Sansinterligne"/>
        <w:jc w:val="both"/>
        <w:rPr>
          <w:rFonts w:ascii="Verdana" w:hAnsi="Verdana"/>
          <w:sz w:val="18"/>
          <w:szCs w:val="20"/>
        </w:rPr>
      </w:pPr>
      <w:r w:rsidRPr="003E155A">
        <w:rPr>
          <w:rFonts w:ascii="Verdana" w:hAnsi="Verdana"/>
          <w:sz w:val="18"/>
          <w:szCs w:val="20"/>
        </w:rPr>
        <w:t>Les dispositions du présent accord se substituent à l’ensemble des usages, accords et décisions unilatérales portant sur les sujets qui y sont abordés.</w:t>
      </w:r>
    </w:p>
    <w:p w14:paraId="62BD5B2C" w14:textId="4AEB6752" w:rsidP="00755DFC" w:rsidR="00734FFE" w:rsidRDefault="00734FFE">
      <w:pPr>
        <w:spacing w:line="276" w:lineRule="auto"/>
        <w:rPr>
          <w:rFonts w:ascii="Verdana" w:cstheme="minorBidi" w:eastAsiaTheme="minorHAnsi" w:hAnsi="Verdana"/>
          <w:b/>
          <w:sz w:val="18"/>
          <w:szCs w:val="20"/>
          <w:highlight w:val="yellow"/>
          <w:u w:val="single"/>
          <w:lang w:eastAsia="en-US"/>
        </w:rPr>
      </w:pPr>
    </w:p>
    <w:p w14:paraId="1838CDC0" w14:textId="77777777" w:rsidR="00D8785B" w:rsidRDefault="00D8785B">
      <w:pPr>
        <w:spacing w:after="200" w:line="276" w:lineRule="auto"/>
        <w:rPr>
          <w:rFonts w:ascii="Verdana" w:cstheme="minorBidi" w:eastAsiaTheme="minorHAnsi" w:hAnsi="Verdana"/>
          <w:b/>
          <w:sz w:val="18"/>
          <w:szCs w:val="20"/>
          <w:u w:val="single"/>
          <w:lang w:eastAsia="en-US"/>
        </w:rPr>
      </w:pPr>
      <w:r>
        <w:rPr>
          <w:rFonts w:ascii="Verdana" w:hAnsi="Verdana"/>
          <w:b/>
          <w:sz w:val="18"/>
          <w:szCs w:val="20"/>
          <w:u w:val="single"/>
        </w:rPr>
        <w:br w:type="page"/>
      </w:r>
    </w:p>
    <w:p w14:paraId="64E7B272" w14:textId="38C5D2E8" w:rsidP="0048051C" w:rsidR="000872ED" w:rsidRDefault="000872ED" w:rsidRPr="00F75012">
      <w:pPr>
        <w:pStyle w:val="Sansinterligne"/>
        <w:jc w:val="both"/>
        <w:rPr>
          <w:rFonts w:ascii="Verdana" w:hAnsi="Verdana"/>
          <w:b/>
          <w:sz w:val="18"/>
          <w:szCs w:val="20"/>
          <w:u w:val="single"/>
        </w:rPr>
      </w:pPr>
      <w:r w:rsidRPr="00F75012">
        <w:rPr>
          <w:rFonts w:ascii="Verdana" w:hAnsi="Verdana"/>
          <w:b/>
          <w:sz w:val="18"/>
          <w:szCs w:val="20"/>
          <w:u w:val="single"/>
        </w:rPr>
        <w:lastRenderedPageBreak/>
        <w:t xml:space="preserve">ARTICLE 2 : Les salaires effectifs </w:t>
      </w:r>
    </w:p>
    <w:p w14:paraId="27B5BAE6" w14:textId="77777777" w:rsidP="0048051C" w:rsidR="000872ED" w:rsidRDefault="000872ED" w:rsidRPr="00734FFE">
      <w:pPr>
        <w:pStyle w:val="Sansinterligne"/>
        <w:jc w:val="both"/>
        <w:rPr>
          <w:rFonts w:ascii="Verdana" w:hAnsi="Verdana"/>
          <w:sz w:val="18"/>
          <w:szCs w:val="20"/>
          <w:highlight w:val="yellow"/>
        </w:rPr>
      </w:pPr>
    </w:p>
    <w:p w14:paraId="01CFCA39" w14:textId="6A3E7688" w:rsidP="0048051C" w:rsidR="000872ED" w:rsidRDefault="000872ED" w:rsidRPr="00F75012">
      <w:pPr>
        <w:pStyle w:val="Sansinterligne"/>
        <w:jc w:val="both"/>
        <w:rPr>
          <w:rFonts w:ascii="Verdana" w:hAnsi="Verdana"/>
          <w:sz w:val="18"/>
          <w:szCs w:val="20"/>
        </w:rPr>
      </w:pPr>
      <w:r w:rsidRPr="00F75012">
        <w:rPr>
          <w:rFonts w:ascii="Verdana" w:hAnsi="Verdana"/>
          <w:sz w:val="18"/>
          <w:szCs w:val="20"/>
        </w:rPr>
        <w:t>Pour l’année 202</w:t>
      </w:r>
      <w:r w:rsidR="00755F24">
        <w:rPr>
          <w:rFonts w:ascii="Verdana" w:hAnsi="Verdana"/>
          <w:sz w:val="18"/>
          <w:szCs w:val="20"/>
        </w:rPr>
        <w:t>2</w:t>
      </w:r>
      <w:r w:rsidR="003A70E6" w:rsidRPr="00F75012">
        <w:rPr>
          <w:rFonts w:ascii="Verdana" w:hAnsi="Verdana"/>
          <w:sz w:val="18"/>
          <w:szCs w:val="20"/>
        </w:rPr>
        <w:t xml:space="preserve">, les parties ont convenu </w:t>
      </w:r>
      <w:r w:rsidR="00C533E1">
        <w:rPr>
          <w:rFonts w:ascii="Verdana" w:hAnsi="Verdana"/>
          <w:sz w:val="18"/>
          <w:szCs w:val="20"/>
        </w:rPr>
        <w:t xml:space="preserve">de </w:t>
      </w:r>
      <w:r w:rsidR="003A70E6" w:rsidRPr="00F75012">
        <w:rPr>
          <w:rFonts w:ascii="Verdana" w:hAnsi="Verdana"/>
          <w:sz w:val="18"/>
          <w:szCs w:val="20"/>
        </w:rPr>
        <w:t>l’application des dispositions d’augmentation de salaire suivantes :</w:t>
      </w:r>
    </w:p>
    <w:p w14:paraId="1B8D96D2" w14:textId="10EBD0BC" w:rsidP="0048051C" w:rsidR="009F4392" w:rsidRDefault="009F4392" w:rsidRPr="007D607F">
      <w:pPr>
        <w:pStyle w:val="Sansinterligne"/>
        <w:numPr>
          <w:ilvl w:val="0"/>
          <w:numId w:val="5"/>
        </w:numPr>
        <w:jc w:val="both"/>
        <w:rPr>
          <w:rFonts w:ascii="Verdana" w:hAnsi="Verdana"/>
          <w:sz w:val="18"/>
          <w:szCs w:val="20"/>
        </w:rPr>
      </w:pPr>
      <w:r w:rsidRPr="007D607F">
        <w:rPr>
          <w:rFonts w:ascii="Verdana" w:hAnsi="Verdana"/>
          <w:sz w:val="18"/>
          <w:szCs w:val="20"/>
        </w:rPr>
        <w:t>R</w:t>
      </w:r>
      <w:r w:rsidR="001D22D4" w:rsidRPr="007D607F">
        <w:rPr>
          <w:rFonts w:ascii="Verdana" w:hAnsi="Verdana"/>
          <w:sz w:val="18"/>
          <w:szCs w:val="20"/>
        </w:rPr>
        <w:t>evalorisation</w:t>
      </w:r>
      <w:r w:rsidRPr="007D607F">
        <w:rPr>
          <w:rFonts w:ascii="Verdana" w:hAnsi="Verdana"/>
          <w:sz w:val="18"/>
          <w:szCs w:val="20"/>
        </w:rPr>
        <w:t xml:space="preserve"> du taux horaire brut </w:t>
      </w:r>
      <w:r w:rsidR="00755F24">
        <w:rPr>
          <w:rFonts w:ascii="Verdana" w:hAnsi="Verdana"/>
          <w:sz w:val="18"/>
          <w:szCs w:val="20"/>
        </w:rPr>
        <w:t xml:space="preserve">conducteur </w:t>
      </w:r>
      <w:r w:rsidRPr="007D607F">
        <w:rPr>
          <w:rFonts w:ascii="Verdana" w:hAnsi="Verdana"/>
          <w:sz w:val="18"/>
          <w:szCs w:val="20"/>
        </w:rPr>
        <w:t>de</w:t>
      </w:r>
      <w:r w:rsidR="003730FE">
        <w:rPr>
          <w:rFonts w:ascii="Verdana" w:hAnsi="Verdana"/>
          <w:sz w:val="18"/>
          <w:szCs w:val="20"/>
        </w:rPr>
        <w:t xml:space="preserve"> 2</w:t>
      </w:r>
      <w:r w:rsidR="00755F24">
        <w:rPr>
          <w:rFonts w:ascii="Verdana" w:hAnsi="Verdana"/>
          <w:sz w:val="18"/>
          <w:szCs w:val="20"/>
        </w:rPr>
        <w:t>% au 01/03/2022</w:t>
      </w:r>
      <w:r w:rsidR="003730FE">
        <w:rPr>
          <w:rFonts w:ascii="Verdana" w:hAnsi="Verdana"/>
          <w:sz w:val="18"/>
          <w:szCs w:val="20"/>
        </w:rPr>
        <w:t>.</w:t>
      </w:r>
      <w:r w:rsidRPr="007D607F">
        <w:rPr>
          <w:rFonts w:ascii="Verdana" w:hAnsi="Verdana"/>
          <w:sz w:val="18"/>
          <w:szCs w:val="20"/>
        </w:rPr>
        <w:t xml:space="preserve"> </w:t>
      </w:r>
    </w:p>
    <w:p w14:paraId="21DFACEB" w14:textId="61FC04BF" w:rsidP="0048051C" w:rsidR="00D06842" w:rsidRDefault="00D06842" w:rsidRPr="007D607F">
      <w:pPr>
        <w:pStyle w:val="Sansinterligne"/>
        <w:numPr>
          <w:ilvl w:val="0"/>
          <w:numId w:val="5"/>
        </w:numPr>
        <w:jc w:val="both"/>
        <w:rPr>
          <w:rFonts w:ascii="Verdana" w:hAnsi="Verdana"/>
          <w:sz w:val="18"/>
          <w:szCs w:val="20"/>
        </w:rPr>
      </w:pPr>
      <w:r w:rsidRPr="007D607F">
        <w:rPr>
          <w:rFonts w:ascii="Verdana" w:hAnsi="Verdana"/>
          <w:sz w:val="18"/>
          <w:szCs w:val="20"/>
        </w:rPr>
        <w:t>Revalorisa</w:t>
      </w:r>
      <w:r w:rsidR="007D607F" w:rsidRPr="007D607F">
        <w:rPr>
          <w:rFonts w:ascii="Verdana" w:hAnsi="Verdana"/>
          <w:sz w:val="18"/>
          <w:szCs w:val="20"/>
        </w:rPr>
        <w:t xml:space="preserve">tion du taux horaire brut </w:t>
      </w:r>
      <w:r w:rsidR="003730FE">
        <w:rPr>
          <w:rFonts w:ascii="Verdana" w:hAnsi="Verdana"/>
          <w:sz w:val="18"/>
          <w:szCs w:val="20"/>
        </w:rPr>
        <w:t>conducteur de 1.5% au 01/05/2022</w:t>
      </w:r>
      <w:r w:rsidR="00880DC0" w:rsidRPr="007D607F">
        <w:rPr>
          <w:rFonts w:ascii="Verdana" w:hAnsi="Verdana"/>
          <w:sz w:val="18"/>
          <w:szCs w:val="20"/>
        </w:rPr>
        <w:t>.</w:t>
      </w:r>
    </w:p>
    <w:p w14:paraId="21AED161" w14:textId="29875B1E" w:rsidP="0000030E" w:rsidR="00282A76" w:rsidRDefault="00533A97" w:rsidRPr="00BE04A1">
      <w:pPr>
        <w:pStyle w:val="Sansinterligne"/>
        <w:numPr>
          <w:ilvl w:val="0"/>
          <w:numId w:val="5"/>
        </w:numPr>
        <w:jc w:val="both"/>
        <w:rPr>
          <w:rFonts w:ascii="Verdana" w:hAnsi="Verdana"/>
          <w:b/>
          <w:sz w:val="18"/>
          <w:szCs w:val="20"/>
          <w:u w:val="single"/>
        </w:rPr>
      </w:pPr>
      <w:r w:rsidRPr="003730FE">
        <w:rPr>
          <w:rFonts w:ascii="Verdana" w:hAnsi="Verdana"/>
          <w:sz w:val="18"/>
          <w:szCs w:val="20"/>
        </w:rPr>
        <w:t>Revalori</w:t>
      </w:r>
      <w:r w:rsidR="00874F8F" w:rsidRPr="003730FE">
        <w:rPr>
          <w:rFonts w:ascii="Verdana" w:hAnsi="Verdana"/>
          <w:sz w:val="18"/>
          <w:szCs w:val="20"/>
        </w:rPr>
        <w:t>sa</w:t>
      </w:r>
      <w:r w:rsidR="007D607F" w:rsidRPr="003730FE">
        <w:rPr>
          <w:rFonts w:ascii="Verdana" w:hAnsi="Verdana"/>
          <w:sz w:val="18"/>
          <w:szCs w:val="20"/>
        </w:rPr>
        <w:t xml:space="preserve">tion du taux horaire brut </w:t>
      </w:r>
      <w:r w:rsidR="003730FE" w:rsidRPr="003730FE">
        <w:rPr>
          <w:rFonts w:ascii="Verdana" w:hAnsi="Verdana"/>
          <w:sz w:val="18"/>
          <w:szCs w:val="20"/>
        </w:rPr>
        <w:t>sédentaire individuellement</w:t>
      </w:r>
      <w:r w:rsidR="005C49BB">
        <w:rPr>
          <w:rFonts w:ascii="Verdana" w:hAnsi="Verdana"/>
          <w:sz w:val="18"/>
          <w:szCs w:val="20"/>
        </w:rPr>
        <w:t xml:space="preserve"> pouvant atteindre 2.5% au 01/05/2022 avec effet rétroactif au 01/01/2022.</w:t>
      </w:r>
    </w:p>
    <w:p w14:paraId="10812542" w14:textId="77777777" w:rsidP="00BE04A1" w:rsidR="00BE04A1" w:rsidRDefault="00BE04A1">
      <w:pPr>
        <w:pStyle w:val="Sansinterligne"/>
        <w:jc w:val="both"/>
        <w:rPr>
          <w:rFonts w:ascii="Verdana" w:hAnsi="Verdana"/>
          <w:sz w:val="18"/>
          <w:szCs w:val="20"/>
        </w:rPr>
      </w:pPr>
    </w:p>
    <w:p w14:paraId="0D71CB20" w14:textId="1335BBB7" w:rsidP="00BE04A1" w:rsidR="00BE04A1" w:rsidRDefault="00BE04A1">
      <w:pPr>
        <w:pStyle w:val="Sansinterligne"/>
        <w:jc w:val="both"/>
        <w:rPr>
          <w:rFonts w:ascii="Verdana" w:hAnsi="Verdana"/>
          <w:sz w:val="18"/>
          <w:szCs w:val="20"/>
        </w:rPr>
      </w:pPr>
      <w:r>
        <w:rPr>
          <w:rFonts w:ascii="Verdana" w:hAnsi="Verdana"/>
          <w:sz w:val="18"/>
          <w:szCs w:val="20"/>
        </w:rPr>
        <w:t xml:space="preserve">Étant précisé que </w:t>
      </w:r>
      <w:r w:rsidRPr="005778C8">
        <w:rPr>
          <w:rFonts w:ascii="Verdana" w:hAnsi="Verdana"/>
          <w:sz w:val="18"/>
          <w:szCs w:val="20"/>
        </w:rPr>
        <w:t xml:space="preserve">les parties s’engagent à rediscuter </w:t>
      </w:r>
      <w:r>
        <w:rPr>
          <w:rFonts w:ascii="Verdana" w:hAnsi="Verdana"/>
          <w:sz w:val="18"/>
          <w:szCs w:val="20"/>
        </w:rPr>
        <w:t xml:space="preserve">de l’opportunité et </w:t>
      </w:r>
      <w:r w:rsidRPr="005778C8">
        <w:rPr>
          <w:rFonts w:ascii="Verdana" w:hAnsi="Verdana"/>
          <w:sz w:val="18"/>
          <w:szCs w:val="20"/>
        </w:rPr>
        <w:t>des conditions d</w:t>
      </w:r>
      <w:r>
        <w:rPr>
          <w:rFonts w:ascii="Verdana" w:hAnsi="Verdana"/>
          <w:sz w:val="18"/>
          <w:szCs w:val="20"/>
        </w:rPr>
        <w:t>’une nouvelle revalorisation des taux horaires</w:t>
      </w:r>
      <w:r w:rsidR="00151317">
        <w:rPr>
          <w:rFonts w:ascii="Verdana" w:hAnsi="Verdana"/>
          <w:sz w:val="18"/>
          <w:szCs w:val="20"/>
        </w:rPr>
        <w:t xml:space="preserve"> au 01 octobre 2022</w:t>
      </w:r>
    </w:p>
    <w:p w14:paraId="7E767C1B" w14:textId="77777777" w:rsidP="003730FE" w:rsidR="00EA54AA" w:rsidRDefault="00EA54AA" w:rsidRPr="00EA54AA">
      <w:pPr>
        <w:pStyle w:val="Sansinterligne"/>
        <w:ind w:left="720"/>
        <w:jc w:val="both"/>
        <w:rPr>
          <w:rFonts w:ascii="Verdana" w:hAnsi="Verdana"/>
          <w:b/>
          <w:sz w:val="18"/>
          <w:szCs w:val="20"/>
          <w:highlight w:val="yellow"/>
          <w:u w:val="single"/>
        </w:rPr>
      </w:pPr>
    </w:p>
    <w:p w14:paraId="4AA34776" w14:textId="52ED0249" w:rsidP="0048051C" w:rsidR="001D22D4" w:rsidRDefault="005C49BB" w:rsidRPr="00A05C68">
      <w:pPr>
        <w:pStyle w:val="Sansinterligne"/>
        <w:jc w:val="both"/>
        <w:rPr>
          <w:rFonts w:ascii="Verdana" w:hAnsi="Verdana"/>
          <w:b/>
          <w:sz w:val="18"/>
          <w:szCs w:val="20"/>
          <w:u w:val="single"/>
        </w:rPr>
      </w:pPr>
      <w:r>
        <w:rPr>
          <w:rFonts w:ascii="Verdana" w:hAnsi="Verdana"/>
          <w:b/>
          <w:sz w:val="18"/>
          <w:szCs w:val="20"/>
          <w:u w:val="single"/>
        </w:rPr>
        <w:t>ARTICLE 2 : Ancienneté</w:t>
      </w:r>
      <w:r w:rsidR="001D22D4" w:rsidRPr="00A05C68">
        <w:rPr>
          <w:rFonts w:ascii="Verdana" w:hAnsi="Verdana"/>
          <w:b/>
          <w:sz w:val="18"/>
          <w:szCs w:val="20"/>
          <w:u w:val="single"/>
        </w:rPr>
        <w:t xml:space="preserve"> </w:t>
      </w:r>
    </w:p>
    <w:p w14:paraId="74F94FCF" w14:textId="77777777" w:rsidP="0048051C" w:rsidR="001D22D4" w:rsidRDefault="001D22D4" w:rsidRPr="00A05C68">
      <w:pPr>
        <w:pStyle w:val="Sansinterligne"/>
        <w:jc w:val="both"/>
        <w:rPr>
          <w:rFonts w:ascii="Verdana" w:hAnsi="Verdana"/>
          <w:sz w:val="18"/>
          <w:szCs w:val="20"/>
        </w:rPr>
      </w:pPr>
    </w:p>
    <w:p w14:paraId="3725BB55" w14:textId="21C1525B" w:rsidP="0048051C" w:rsidR="001D22D4" w:rsidRDefault="005C49BB" w:rsidRPr="00714A57">
      <w:pPr>
        <w:pStyle w:val="Sansinterligne"/>
        <w:jc w:val="both"/>
        <w:rPr>
          <w:rFonts w:ascii="Verdana" w:hAnsi="Verdana"/>
          <w:b/>
          <w:sz w:val="18"/>
          <w:szCs w:val="20"/>
          <w:u w:val="single"/>
        </w:rPr>
      </w:pPr>
      <w:r>
        <w:rPr>
          <w:rFonts w:ascii="Verdana" w:hAnsi="Verdana"/>
          <w:b/>
          <w:sz w:val="18"/>
          <w:szCs w:val="20"/>
          <w:u w:val="single"/>
        </w:rPr>
        <w:t>2</w:t>
      </w:r>
      <w:r w:rsidR="006D7D35" w:rsidRPr="00714A57">
        <w:rPr>
          <w:rFonts w:ascii="Verdana" w:hAnsi="Verdana"/>
          <w:b/>
          <w:sz w:val="18"/>
          <w:szCs w:val="20"/>
          <w:u w:val="single"/>
        </w:rPr>
        <w:t xml:space="preserve">.1 </w:t>
      </w:r>
      <w:r>
        <w:rPr>
          <w:rFonts w:ascii="Verdana" w:hAnsi="Verdana"/>
          <w:b/>
          <w:sz w:val="18"/>
          <w:szCs w:val="20"/>
          <w:u w:val="single"/>
        </w:rPr>
        <w:t>Déplafonnement de l’</w:t>
      </w:r>
      <w:r w:rsidR="004A0D89">
        <w:rPr>
          <w:rFonts w:ascii="Verdana" w:hAnsi="Verdana"/>
          <w:b/>
          <w:sz w:val="18"/>
          <w:szCs w:val="20"/>
          <w:u w:val="single"/>
        </w:rPr>
        <w:t xml:space="preserve">ancienneté </w:t>
      </w:r>
      <w:r w:rsidR="00BE04A1">
        <w:rPr>
          <w:rFonts w:ascii="Verdana" w:hAnsi="Verdana"/>
          <w:b/>
          <w:sz w:val="18"/>
          <w:szCs w:val="20"/>
          <w:u w:val="single"/>
        </w:rPr>
        <w:t>conducteur</w:t>
      </w:r>
      <w:r w:rsidR="008D7054" w:rsidRPr="00714A57">
        <w:rPr>
          <w:rFonts w:ascii="Verdana" w:hAnsi="Verdana"/>
          <w:b/>
          <w:sz w:val="18"/>
          <w:szCs w:val="20"/>
          <w:u w:val="single"/>
        </w:rPr>
        <w:t>:</w:t>
      </w:r>
    </w:p>
    <w:p w14:paraId="7F0956A0" w14:textId="77777777" w:rsidP="0048051C" w:rsidR="005778C8" w:rsidRDefault="005778C8">
      <w:pPr>
        <w:pStyle w:val="Sansinterligne"/>
        <w:jc w:val="both"/>
        <w:rPr>
          <w:rFonts w:ascii="Verdana" w:hAnsi="Verdana"/>
          <w:sz w:val="18"/>
          <w:szCs w:val="20"/>
          <w:u w:val="single"/>
        </w:rPr>
      </w:pPr>
    </w:p>
    <w:p w14:paraId="5032F204" w14:textId="6931ED70" w:rsidP="00DA6461" w:rsidR="00DA6461" w:rsidRDefault="005C49BB" w:rsidRPr="005C49BB">
      <w:pPr>
        <w:tabs>
          <w:tab w:pos="270" w:val="left"/>
          <w:tab w:pos="1170" w:val="left"/>
          <w:tab w:pos="2970" w:val="left"/>
        </w:tabs>
        <w:ind w:right="-82"/>
        <w:jc w:val="both"/>
        <w:rPr>
          <w:rFonts w:ascii="Verdana" w:cstheme="minorBidi" w:eastAsiaTheme="minorHAnsi" w:hAnsi="Verdana"/>
          <w:sz w:val="18"/>
          <w:szCs w:val="20"/>
          <w:lang w:eastAsia="en-US"/>
        </w:rPr>
      </w:pPr>
      <w:r>
        <w:rPr>
          <w:rFonts w:ascii="Verdana" w:cstheme="minorBidi" w:eastAsiaTheme="minorHAnsi" w:hAnsi="Verdana"/>
          <w:sz w:val="18"/>
          <w:szCs w:val="20"/>
          <w:lang w:eastAsia="en-US"/>
        </w:rPr>
        <w:t>A</w:t>
      </w:r>
      <w:r w:rsidR="004A0D89">
        <w:rPr>
          <w:rFonts w:ascii="Verdana" w:cstheme="minorBidi" w:eastAsiaTheme="minorHAnsi" w:hAnsi="Verdana"/>
          <w:sz w:val="18"/>
          <w:szCs w:val="20"/>
          <w:lang w:eastAsia="en-US"/>
        </w:rPr>
        <w:t xml:space="preserve">près discussion, la direction accepte de déplafonner l’ancienneté </w:t>
      </w:r>
      <w:r w:rsidR="003608BE">
        <w:rPr>
          <w:rFonts w:ascii="Verdana" w:cstheme="minorBidi" w:eastAsiaTheme="minorHAnsi" w:hAnsi="Verdana"/>
          <w:sz w:val="18"/>
          <w:szCs w:val="20"/>
          <w:lang w:eastAsia="en-US"/>
        </w:rPr>
        <w:t>conducteur à 19 ans contre 18 ans actuellement. La mise en œuvre de cette mesure est programmée au 01/03/2022</w:t>
      </w:r>
    </w:p>
    <w:p w14:paraId="1EAD38E9" w14:textId="77777777" w:rsidP="0048051C" w:rsidR="00DA6461" w:rsidRDefault="00DA6461" w:rsidRPr="005778C8">
      <w:pPr>
        <w:pStyle w:val="Sansinterligne"/>
        <w:jc w:val="both"/>
        <w:rPr>
          <w:rFonts w:ascii="Verdana" w:hAnsi="Verdana"/>
          <w:sz w:val="18"/>
          <w:szCs w:val="20"/>
          <w:u w:val="single"/>
        </w:rPr>
      </w:pPr>
    </w:p>
    <w:p w14:paraId="1EA28B99" w14:textId="77777777" w:rsidP="0048051C" w:rsidR="00714A57" w:rsidRDefault="00714A57">
      <w:pPr>
        <w:pStyle w:val="Sansinterligne"/>
        <w:jc w:val="both"/>
        <w:rPr>
          <w:rFonts w:ascii="Verdana" w:hAnsi="Verdana"/>
          <w:sz w:val="18"/>
          <w:szCs w:val="20"/>
          <w:highlight w:val="yellow"/>
        </w:rPr>
      </w:pPr>
    </w:p>
    <w:p w14:paraId="7A1FB352" w14:textId="3092C164" w:rsidP="005C1661" w:rsidR="005C1661" w:rsidRDefault="005C49BB" w:rsidRPr="00714A57">
      <w:pPr>
        <w:tabs>
          <w:tab w:pos="270" w:val="left"/>
          <w:tab w:pos="1170" w:val="left"/>
          <w:tab w:pos="2970" w:val="left"/>
        </w:tabs>
        <w:ind w:right="-853"/>
        <w:jc w:val="both"/>
        <w:rPr>
          <w:rFonts w:ascii="Verdana" w:cs="Arial" w:hAnsi="Verdana"/>
          <w:b/>
          <w:sz w:val="18"/>
          <w:szCs w:val="20"/>
          <w:u w:val="single"/>
        </w:rPr>
      </w:pPr>
      <w:r>
        <w:rPr>
          <w:rFonts w:ascii="Verdana" w:cs="Arial" w:hAnsi="Verdana"/>
          <w:b/>
          <w:sz w:val="18"/>
          <w:szCs w:val="20"/>
          <w:u w:val="single"/>
        </w:rPr>
        <w:t>2.2</w:t>
      </w:r>
      <w:r w:rsidR="005C1661" w:rsidRPr="00714A57">
        <w:rPr>
          <w:rFonts w:ascii="Verdana" w:cs="Arial" w:hAnsi="Verdana"/>
          <w:b/>
          <w:sz w:val="18"/>
          <w:szCs w:val="20"/>
          <w:u w:val="single"/>
        </w:rPr>
        <w:t xml:space="preserve"> </w:t>
      </w:r>
      <w:r w:rsidR="00BE04A1">
        <w:rPr>
          <w:rFonts w:ascii="Verdana" w:cs="Arial" w:hAnsi="Verdana"/>
          <w:b/>
          <w:sz w:val="18"/>
          <w:szCs w:val="20"/>
          <w:u w:val="single"/>
        </w:rPr>
        <w:t xml:space="preserve">Revalorisation de l’ancienneté du personnel atelier/technique </w:t>
      </w:r>
      <w:r w:rsidR="005C1661">
        <w:rPr>
          <w:rFonts w:ascii="Verdana" w:cs="Arial" w:hAnsi="Verdana"/>
          <w:b/>
          <w:sz w:val="18"/>
          <w:szCs w:val="20"/>
          <w:u w:val="single"/>
        </w:rPr>
        <w:t>:</w:t>
      </w:r>
    </w:p>
    <w:p w14:paraId="71FAB7DE" w14:textId="77777777" w:rsidP="0048051C" w:rsidR="005C1661" w:rsidRDefault="005C1661">
      <w:pPr>
        <w:pStyle w:val="Sansinterligne"/>
        <w:jc w:val="both"/>
        <w:rPr>
          <w:rFonts w:ascii="Verdana" w:hAnsi="Verdana"/>
          <w:sz w:val="18"/>
          <w:szCs w:val="20"/>
          <w:highlight w:val="yellow"/>
        </w:rPr>
      </w:pPr>
    </w:p>
    <w:p w14:paraId="2417116D" w14:textId="3B114CEF" w:rsidP="005C1661" w:rsidR="005C1661" w:rsidRDefault="005C1661">
      <w:pPr>
        <w:pStyle w:val="Sansinterligne"/>
        <w:jc w:val="both"/>
        <w:rPr>
          <w:rFonts w:ascii="Verdana" w:hAnsi="Verdana"/>
          <w:sz w:val="18"/>
          <w:szCs w:val="20"/>
        </w:rPr>
      </w:pPr>
      <w:r>
        <w:rPr>
          <w:rFonts w:ascii="Verdana" w:hAnsi="Verdana"/>
          <w:sz w:val="18"/>
          <w:szCs w:val="20"/>
        </w:rPr>
        <w:t xml:space="preserve">Après discussion il a été convenu </w:t>
      </w:r>
      <w:r w:rsidR="00BE04A1">
        <w:rPr>
          <w:rFonts w:ascii="Verdana" w:hAnsi="Verdana"/>
          <w:sz w:val="18"/>
          <w:szCs w:val="20"/>
        </w:rPr>
        <w:t>de revaloriser de 1€  brut l’indemnité d’ancienneté afin de la porter à 10</w:t>
      </w:r>
      <w:r w:rsidR="00BE04A1">
        <w:rPr>
          <w:rFonts w:ascii="Verdana" w:hAnsi="Verdana"/>
          <w:sz w:val="18"/>
          <w:szCs w:val="20"/>
          <w:vertAlign w:val="superscript"/>
        </w:rPr>
        <w:t>€</w:t>
      </w:r>
      <w:r w:rsidR="00BE04A1">
        <w:rPr>
          <w:rFonts w:ascii="Verdana" w:hAnsi="Verdana"/>
          <w:sz w:val="18"/>
          <w:szCs w:val="20"/>
        </w:rPr>
        <w:t xml:space="preserve"> par année d’ancienneté </w:t>
      </w:r>
      <w:r>
        <w:rPr>
          <w:rFonts w:ascii="Verdana" w:hAnsi="Verdana"/>
          <w:sz w:val="18"/>
          <w:szCs w:val="20"/>
        </w:rPr>
        <w:t xml:space="preserve">pour le </w:t>
      </w:r>
      <w:r w:rsidRPr="00BE04A1">
        <w:rPr>
          <w:rFonts w:ascii="Verdana" w:hAnsi="Verdana"/>
          <w:sz w:val="18"/>
          <w:szCs w:val="20"/>
        </w:rPr>
        <w:t xml:space="preserve">personnel </w:t>
      </w:r>
      <w:r w:rsidR="00BE04A1" w:rsidRPr="00BE04A1">
        <w:rPr>
          <w:rFonts w:ascii="Verdana" w:hAnsi="Verdana"/>
          <w:sz w:val="18"/>
          <w:szCs w:val="20"/>
        </w:rPr>
        <w:t>atelier/technique, plafonnée</w:t>
      </w:r>
      <w:r w:rsidR="00BE04A1">
        <w:rPr>
          <w:rFonts w:ascii="Verdana" w:hAnsi="Verdana"/>
          <w:sz w:val="18"/>
          <w:szCs w:val="20"/>
        </w:rPr>
        <w:t xml:space="preserve"> à 17</w:t>
      </w:r>
      <w:r>
        <w:rPr>
          <w:rFonts w:ascii="Verdana" w:hAnsi="Verdana"/>
          <w:sz w:val="18"/>
          <w:szCs w:val="20"/>
        </w:rPr>
        <w:t xml:space="preserve"> ans</w:t>
      </w:r>
      <w:r w:rsidR="005E6C90">
        <w:rPr>
          <w:rFonts w:ascii="Verdana" w:hAnsi="Verdana"/>
          <w:sz w:val="18"/>
          <w:szCs w:val="20"/>
        </w:rPr>
        <w:t xml:space="preserve">, à compter </w:t>
      </w:r>
      <w:r w:rsidR="005E6C90" w:rsidRPr="00BE04A1">
        <w:rPr>
          <w:rFonts w:ascii="Verdana" w:hAnsi="Verdana"/>
          <w:sz w:val="18"/>
          <w:szCs w:val="20"/>
        </w:rPr>
        <w:t xml:space="preserve">du </w:t>
      </w:r>
      <w:r w:rsidR="00BE04A1">
        <w:rPr>
          <w:rFonts w:ascii="Verdana" w:hAnsi="Verdana"/>
          <w:sz w:val="18"/>
          <w:szCs w:val="20"/>
        </w:rPr>
        <w:t>01 avril</w:t>
      </w:r>
      <w:r w:rsidR="00BE04A1" w:rsidRPr="00BE04A1">
        <w:rPr>
          <w:rFonts w:ascii="Verdana" w:hAnsi="Verdana"/>
          <w:sz w:val="18"/>
          <w:szCs w:val="20"/>
        </w:rPr>
        <w:t xml:space="preserve"> 2022</w:t>
      </w:r>
      <w:r w:rsidRPr="00BE04A1">
        <w:rPr>
          <w:rFonts w:ascii="Verdana" w:hAnsi="Verdana"/>
          <w:sz w:val="18"/>
          <w:szCs w:val="20"/>
        </w:rPr>
        <w:t>.</w:t>
      </w:r>
    </w:p>
    <w:p w14:paraId="150CD487" w14:textId="77777777" w:rsidP="005C1661" w:rsidR="005C1661" w:rsidRDefault="005C1661">
      <w:pPr>
        <w:pStyle w:val="Sansinterligne"/>
        <w:jc w:val="both"/>
        <w:rPr>
          <w:rFonts w:ascii="Verdana" w:hAnsi="Verdana"/>
          <w:sz w:val="18"/>
          <w:szCs w:val="20"/>
        </w:rPr>
      </w:pPr>
    </w:p>
    <w:p w14:paraId="02E778B0" w14:textId="77777777" w:rsidP="005E6C90" w:rsidR="005E6C90" w:rsidRDefault="005E6C90" w:rsidRPr="005778C8">
      <w:pPr>
        <w:pStyle w:val="Sansinterligne"/>
        <w:jc w:val="both"/>
        <w:rPr>
          <w:rFonts w:ascii="Verdana" w:hAnsi="Verdana"/>
          <w:sz w:val="18"/>
          <w:szCs w:val="20"/>
        </w:rPr>
      </w:pPr>
      <w:r w:rsidRPr="005778C8">
        <w:rPr>
          <w:rFonts w:ascii="Verdana" w:hAnsi="Verdana"/>
          <w:sz w:val="18"/>
          <w:szCs w:val="20"/>
        </w:rPr>
        <w:t xml:space="preserve">Étant précisé que </w:t>
      </w:r>
      <w:r>
        <w:rPr>
          <w:rFonts w:ascii="Verdana" w:hAnsi="Verdana"/>
          <w:sz w:val="18"/>
          <w:szCs w:val="20"/>
        </w:rPr>
        <w:t xml:space="preserve">cette prime ne constitue pas un usage et que </w:t>
      </w:r>
      <w:r w:rsidRPr="005778C8">
        <w:rPr>
          <w:rFonts w:ascii="Verdana" w:hAnsi="Verdana"/>
          <w:sz w:val="18"/>
          <w:szCs w:val="20"/>
        </w:rPr>
        <w:t xml:space="preserve">les parties s’engagent à rediscuter </w:t>
      </w:r>
      <w:r>
        <w:rPr>
          <w:rFonts w:ascii="Verdana" w:hAnsi="Verdana"/>
          <w:sz w:val="18"/>
          <w:szCs w:val="20"/>
        </w:rPr>
        <w:t xml:space="preserve">de l’opportunité et </w:t>
      </w:r>
      <w:r w:rsidRPr="005778C8">
        <w:rPr>
          <w:rFonts w:ascii="Verdana" w:hAnsi="Verdana"/>
          <w:sz w:val="18"/>
          <w:szCs w:val="20"/>
        </w:rPr>
        <w:t>des conditions du renouvellement de cette prime dans le cadre de la prochaine NAO.</w:t>
      </w:r>
    </w:p>
    <w:p w14:paraId="17D48AE5" w14:textId="77777777" w:rsidP="0048051C" w:rsidR="00C0611F" w:rsidRDefault="00C0611F" w:rsidRPr="00734FFE">
      <w:pPr>
        <w:pStyle w:val="Sansinterligne"/>
        <w:jc w:val="both"/>
        <w:rPr>
          <w:rFonts w:ascii="Verdana" w:hAnsi="Verdana"/>
          <w:sz w:val="18"/>
          <w:szCs w:val="20"/>
          <w:highlight w:val="yellow"/>
        </w:rPr>
      </w:pPr>
    </w:p>
    <w:p w14:paraId="1F828A14" w14:textId="77777777" w:rsidP="0048051C" w:rsidR="00492FA9" w:rsidRDefault="00492FA9" w:rsidRPr="007C1D0C">
      <w:pPr>
        <w:pStyle w:val="Sansinterligne"/>
        <w:jc w:val="both"/>
        <w:rPr>
          <w:rFonts w:ascii="Verdana" w:hAnsi="Verdana"/>
          <w:sz w:val="18"/>
          <w:szCs w:val="20"/>
        </w:rPr>
      </w:pPr>
    </w:p>
    <w:p w14:paraId="6DF7E2D3" w14:textId="137083F6" w:rsidP="0048051C" w:rsidR="00F53461" w:rsidRDefault="00BE04A1" w:rsidRPr="0096311D">
      <w:pPr>
        <w:pStyle w:val="Sansinterligne"/>
        <w:jc w:val="both"/>
        <w:rPr>
          <w:rFonts w:ascii="Verdana" w:hAnsi="Verdana"/>
          <w:b/>
          <w:sz w:val="18"/>
          <w:szCs w:val="20"/>
          <w:u w:val="single"/>
        </w:rPr>
      </w:pPr>
      <w:r>
        <w:rPr>
          <w:rFonts w:ascii="Verdana" w:hAnsi="Verdana"/>
          <w:b/>
          <w:sz w:val="18"/>
          <w:szCs w:val="20"/>
          <w:u w:val="single"/>
        </w:rPr>
        <w:t>ARTICLE 3</w:t>
      </w:r>
      <w:r w:rsidR="00F53461" w:rsidRPr="00A05C68">
        <w:rPr>
          <w:rFonts w:ascii="Verdana" w:hAnsi="Verdana"/>
          <w:b/>
          <w:sz w:val="18"/>
          <w:szCs w:val="20"/>
          <w:u w:val="single"/>
        </w:rPr>
        <w:t> : Le partage de la valeur ajoutée</w:t>
      </w:r>
      <w:r w:rsidR="00F53461" w:rsidRPr="0096311D">
        <w:rPr>
          <w:rFonts w:ascii="Verdana" w:hAnsi="Verdana"/>
          <w:b/>
          <w:sz w:val="18"/>
          <w:szCs w:val="20"/>
          <w:u w:val="single"/>
        </w:rPr>
        <w:t xml:space="preserve"> </w:t>
      </w:r>
    </w:p>
    <w:p w14:paraId="59C5B661" w14:textId="77777777" w:rsidP="0048051C" w:rsidR="00F53461" w:rsidRDefault="00F53461" w:rsidRPr="00734FFE">
      <w:pPr>
        <w:pStyle w:val="Sansinterligne"/>
        <w:jc w:val="both"/>
        <w:rPr>
          <w:rFonts w:ascii="Verdana" w:hAnsi="Verdana"/>
          <w:sz w:val="18"/>
          <w:szCs w:val="20"/>
          <w:highlight w:val="yellow"/>
        </w:rPr>
      </w:pPr>
    </w:p>
    <w:p w14:paraId="61E6471A" w14:textId="6A17CA11" w:rsidP="0096311D" w:rsidR="0096311D" w:rsidRDefault="00BE04A1" w:rsidRPr="000A1E60">
      <w:pPr>
        <w:pStyle w:val="Sansinterligne"/>
        <w:jc w:val="both"/>
        <w:rPr>
          <w:rFonts w:ascii="Verdana" w:hAnsi="Verdana"/>
          <w:sz w:val="18"/>
          <w:szCs w:val="20"/>
          <w:u w:val="single"/>
        </w:rPr>
      </w:pPr>
      <w:r>
        <w:rPr>
          <w:rFonts w:ascii="Verdana" w:hAnsi="Verdana"/>
          <w:bCs/>
          <w:sz w:val="18"/>
          <w:szCs w:val="20"/>
          <w:u w:val="single"/>
        </w:rPr>
        <w:t>3</w:t>
      </w:r>
      <w:r w:rsidR="0096311D" w:rsidRPr="000A1E60">
        <w:rPr>
          <w:rFonts w:ascii="Verdana" w:hAnsi="Verdana"/>
          <w:bCs/>
          <w:sz w:val="18"/>
          <w:szCs w:val="20"/>
          <w:u w:val="single"/>
        </w:rPr>
        <w:t xml:space="preserve">.1. </w:t>
      </w:r>
      <w:r w:rsidR="0096311D">
        <w:rPr>
          <w:rFonts w:ascii="Verdana" w:hAnsi="Verdana"/>
          <w:bCs/>
          <w:sz w:val="18"/>
          <w:szCs w:val="20"/>
          <w:u w:val="single"/>
        </w:rPr>
        <w:t>Les dispositifs d’épargne salariale (intéressement et participation)</w:t>
      </w:r>
    </w:p>
    <w:p w14:paraId="198E6717" w14:textId="77777777" w:rsidP="0048051C" w:rsidR="0096311D" w:rsidRDefault="0096311D" w:rsidRPr="0096311D">
      <w:pPr>
        <w:pStyle w:val="Sansinterligne"/>
        <w:jc w:val="both"/>
        <w:rPr>
          <w:rFonts w:ascii="Verdana" w:hAnsi="Verdana"/>
          <w:sz w:val="18"/>
          <w:szCs w:val="20"/>
        </w:rPr>
      </w:pPr>
    </w:p>
    <w:p w14:paraId="2EC90C3B" w14:textId="07A4FCF0" w:rsidP="0048051C" w:rsidR="0096311D" w:rsidRDefault="00D33BCC">
      <w:pPr>
        <w:pStyle w:val="Sansinterligne"/>
        <w:jc w:val="both"/>
        <w:rPr>
          <w:rFonts w:ascii="Verdana" w:hAnsi="Verdana"/>
          <w:sz w:val="18"/>
          <w:szCs w:val="20"/>
        </w:rPr>
      </w:pPr>
      <w:r w:rsidRPr="0096311D">
        <w:rPr>
          <w:rFonts w:ascii="Verdana" w:hAnsi="Verdana"/>
          <w:sz w:val="18"/>
          <w:szCs w:val="20"/>
        </w:rPr>
        <w:t>Les parties rappellent qu’un accord de participation à d</w:t>
      </w:r>
      <w:r w:rsidR="00393447">
        <w:rPr>
          <w:rFonts w:ascii="Verdana" w:hAnsi="Verdana"/>
          <w:sz w:val="18"/>
          <w:szCs w:val="20"/>
        </w:rPr>
        <w:t>urée indéterminée a été conclu.</w:t>
      </w:r>
    </w:p>
    <w:p w14:paraId="3D985F64" w14:textId="77777777" w:rsidP="0048051C" w:rsidR="00B26F95" w:rsidRDefault="00B26F95">
      <w:pPr>
        <w:pStyle w:val="Sansinterligne"/>
        <w:jc w:val="both"/>
        <w:rPr>
          <w:rFonts w:ascii="Verdana" w:hAnsi="Verdana"/>
          <w:sz w:val="18"/>
          <w:szCs w:val="20"/>
        </w:rPr>
      </w:pPr>
    </w:p>
    <w:p w14:paraId="257D7A78" w14:textId="641336A6" w:rsidP="00B26F95" w:rsidR="00B26F95" w:rsidRDefault="00B26F95" w:rsidRPr="00B26F95">
      <w:pPr>
        <w:pStyle w:val="Sansinterligne"/>
        <w:rPr>
          <w:rFonts w:ascii="Verdana" w:hAnsi="Verdana"/>
          <w:sz w:val="18"/>
          <w:szCs w:val="20"/>
        </w:rPr>
      </w:pPr>
      <w:r w:rsidRPr="00B26F95">
        <w:rPr>
          <w:rFonts w:ascii="Verdana" w:hAnsi="Verdana"/>
          <w:sz w:val="18"/>
          <w:szCs w:val="20"/>
        </w:rPr>
        <w:t xml:space="preserve">Les collaborateurs de la société </w:t>
      </w:r>
      <w:r w:rsidR="00393447">
        <w:rPr>
          <w:rFonts w:ascii="Verdana" w:hAnsi="Verdana"/>
          <w:sz w:val="18"/>
          <w:szCs w:val="20"/>
        </w:rPr>
        <w:t>DELTA ROUTE</w:t>
      </w:r>
      <w:r w:rsidRPr="00B26F95">
        <w:rPr>
          <w:rFonts w:ascii="Verdana" w:hAnsi="Verdana"/>
          <w:sz w:val="18"/>
          <w:szCs w:val="20"/>
        </w:rPr>
        <w:t xml:space="preserve"> bénéficient donc du dispositif en place dans les conditions définies dans l’accord précité</w:t>
      </w:r>
      <w:r w:rsidR="00A95216">
        <w:rPr>
          <w:rFonts w:ascii="Verdana" w:hAnsi="Verdana"/>
          <w:sz w:val="18"/>
          <w:szCs w:val="20"/>
        </w:rPr>
        <w:t xml:space="preserve"> tel que modifié par l’avenant.</w:t>
      </w:r>
    </w:p>
    <w:p w14:paraId="452C282D" w14:textId="77777777" w:rsidP="0048051C" w:rsidR="0096311D" w:rsidRDefault="0096311D" w:rsidRPr="0096311D">
      <w:pPr>
        <w:pStyle w:val="Sansinterligne"/>
        <w:jc w:val="both"/>
        <w:rPr>
          <w:rFonts w:ascii="Verdana" w:hAnsi="Verdana"/>
          <w:sz w:val="18"/>
          <w:szCs w:val="20"/>
        </w:rPr>
      </w:pPr>
    </w:p>
    <w:p w14:paraId="10F29FA7" w14:textId="3189722D" w:rsidP="0048051C" w:rsidR="00D33BCC" w:rsidRDefault="00D33BCC" w:rsidRPr="0077203A">
      <w:pPr>
        <w:pStyle w:val="Sansinterligne"/>
        <w:jc w:val="both"/>
        <w:rPr>
          <w:rFonts w:ascii="Verdana" w:hAnsi="Verdana"/>
          <w:sz w:val="18"/>
          <w:szCs w:val="20"/>
        </w:rPr>
      </w:pPr>
      <w:r w:rsidRPr="0077203A">
        <w:rPr>
          <w:rFonts w:ascii="Verdana" w:hAnsi="Verdana"/>
          <w:sz w:val="18"/>
          <w:szCs w:val="20"/>
        </w:rPr>
        <w:t xml:space="preserve">Elles rappellent que l’accord d’intéressement conclu </w:t>
      </w:r>
      <w:r w:rsidR="00393447">
        <w:rPr>
          <w:rFonts w:ascii="Verdana" w:hAnsi="Verdana"/>
          <w:sz w:val="18"/>
          <w:szCs w:val="20"/>
        </w:rPr>
        <w:t>le 28 juin 2021 est en vigueur</w:t>
      </w:r>
      <w:r w:rsidRPr="0077203A">
        <w:rPr>
          <w:rFonts w:ascii="Verdana" w:hAnsi="Verdana"/>
          <w:sz w:val="18"/>
          <w:szCs w:val="20"/>
        </w:rPr>
        <w:t xml:space="preserve"> </w:t>
      </w:r>
      <w:r w:rsidR="0075573E" w:rsidRPr="0077203A">
        <w:rPr>
          <w:rFonts w:ascii="Verdana" w:hAnsi="Verdana"/>
          <w:sz w:val="18"/>
          <w:szCs w:val="20"/>
        </w:rPr>
        <w:t xml:space="preserve">était </w:t>
      </w:r>
      <w:r w:rsidR="00D56D31" w:rsidRPr="0077203A">
        <w:rPr>
          <w:rFonts w:ascii="Verdana" w:hAnsi="Verdana"/>
          <w:sz w:val="18"/>
          <w:szCs w:val="20"/>
        </w:rPr>
        <w:t>en vigueur jusqu’au 31 d</w:t>
      </w:r>
      <w:r w:rsidR="00393447">
        <w:rPr>
          <w:rFonts w:ascii="Verdana" w:hAnsi="Verdana"/>
          <w:sz w:val="18"/>
          <w:szCs w:val="20"/>
        </w:rPr>
        <w:t>écembre 2023</w:t>
      </w:r>
      <w:r w:rsidR="0075573E" w:rsidRPr="0077203A">
        <w:rPr>
          <w:rFonts w:ascii="Verdana" w:hAnsi="Verdana"/>
          <w:sz w:val="18"/>
          <w:szCs w:val="20"/>
        </w:rPr>
        <w:t xml:space="preserve">. Cet accord </w:t>
      </w:r>
      <w:r w:rsidR="005332C7">
        <w:rPr>
          <w:rFonts w:ascii="Verdana" w:hAnsi="Verdana"/>
          <w:sz w:val="18"/>
          <w:szCs w:val="20"/>
        </w:rPr>
        <w:t xml:space="preserve">est en cours </w:t>
      </w:r>
      <w:r w:rsidR="005E6C90">
        <w:rPr>
          <w:rFonts w:ascii="Verdana" w:hAnsi="Verdana"/>
          <w:sz w:val="18"/>
          <w:szCs w:val="20"/>
        </w:rPr>
        <w:t xml:space="preserve">de </w:t>
      </w:r>
      <w:r w:rsidR="005332C7">
        <w:rPr>
          <w:rFonts w:ascii="Verdana" w:hAnsi="Verdana"/>
          <w:sz w:val="18"/>
          <w:szCs w:val="20"/>
        </w:rPr>
        <w:t>renouvellement.</w:t>
      </w:r>
    </w:p>
    <w:p w14:paraId="1CC33504" w14:textId="77777777" w:rsidP="0048051C" w:rsidR="005332C7" w:rsidRDefault="005332C7">
      <w:pPr>
        <w:pStyle w:val="Sansinterligne"/>
        <w:jc w:val="both"/>
        <w:rPr>
          <w:rFonts w:ascii="Verdana" w:hAnsi="Verdana"/>
          <w:sz w:val="18"/>
          <w:szCs w:val="20"/>
          <w:highlight w:val="yellow"/>
        </w:rPr>
      </w:pPr>
    </w:p>
    <w:p w14:paraId="5F0895EB" w14:textId="503F1D95" w:rsidP="0096311D" w:rsidR="0096311D" w:rsidRDefault="00BE04A1" w:rsidRPr="000A1E60">
      <w:pPr>
        <w:pStyle w:val="Sansinterligne"/>
        <w:jc w:val="both"/>
        <w:rPr>
          <w:rFonts w:ascii="Verdana" w:hAnsi="Verdana"/>
          <w:sz w:val="18"/>
          <w:szCs w:val="20"/>
          <w:u w:val="single"/>
        </w:rPr>
      </w:pPr>
      <w:r>
        <w:rPr>
          <w:rFonts w:ascii="Verdana" w:hAnsi="Verdana"/>
          <w:bCs/>
          <w:sz w:val="18"/>
          <w:szCs w:val="20"/>
          <w:u w:val="single"/>
        </w:rPr>
        <w:t>3</w:t>
      </w:r>
      <w:r w:rsidR="0096311D">
        <w:rPr>
          <w:rFonts w:ascii="Verdana" w:hAnsi="Verdana"/>
          <w:bCs/>
          <w:sz w:val="18"/>
          <w:szCs w:val="20"/>
          <w:u w:val="single"/>
        </w:rPr>
        <w:t>.2</w:t>
      </w:r>
      <w:r w:rsidR="0096311D" w:rsidRPr="000A1E60">
        <w:rPr>
          <w:rFonts w:ascii="Verdana" w:hAnsi="Verdana"/>
          <w:bCs/>
          <w:sz w:val="18"/>
          <w:szCs w:val="20"/>
          <w:u w:val="single"/>
        </w:rPr>
        <w:t xml:space="preserve">. </w:t>
      </w:r>
      <w:r w:rsidR="0096311D">
        <w:rPr>
          <w:rFonts w:ascii="Verdana" w:hAnsi="Verdana"/>
          <w:bCs/>
          <w:sz w:val="18"/>
          <w:szCs w:val="20"/>
          <w:u w:val="single"/>
        </w:rPr>
        <w:t>Plan d’épargne entreprise (PEE)</w:t>
      </w:r>
    </w:p>
    <w:p w14:paraId="550BD054" w14:textId="77777777" w:rsidP="0048051C" w:rsidR="0096311D" w:rsidRDefault="0096311D">
      <w:pPr>
        <w:pStyle w:val="Sansinterligne"/>
        <w:jc w:val="both"/>
        <w:rPr>
          <w:rFonts w:ascii="Verdana" w:hAnsi="Verdana"/>
          <w:sz w:val="18"/>
          <w:szCs w:val="20"/>
          <w:highlight w:val="yellow"/>
        </w:rPr>
      </w:pPr>
    </w:p>
    <w:p w14:paraId="19305B7E" w14:textId="0D429521" w:rsidP="002256DC" w:rsidR="00A95216" w:rsidRDefault="00A95216" w:rsidRPr="00A36EBD">
      <w:pPr>
        <w:pStyle w:val="Sansinterligne"/>
        <w:jc w:val="both"/>
        <w:rPr>
          <w:rFonts w:ascii="Verdana" w:hAnsi="Verdana"/>
          <w:sz w:val="18"/>
          <w:szCs w:val="20"/>
        </w:rPr>
      </w:pPr>
      <w:r w:rsidRPr="00A36EBD">
        <w:rPr>
          <w:rFonts w:ascii="Verdana" w:hAnsi="Verdana"/>
          <w:sz w:val="18"/>
          <w:szCs w:val="20"/>
        </w:rPr>
        <w:t>La Direction rappelle que le PEE</w:t>
      </w:r>
      <w:r w:rsidR="002256DC" w:rsidRPr="00A36EBD">
        <w:rPr>
          <w:rFonts w:ascii="Verdana" w:hAnsi="Verdana"/>
          <w:sz w:val="18"/>
          <w:szCs w:val="20"/>
        </w:rPr>
        <w:t xml:space="preserve"> </w:t>
      </w:r>
      <w:r w:rsidR="00393447">
        <w:rPr>
          <w:rFonts w:ascii="Verdana" w:hAnsi="Verdana"/>
          <w:sz w:val="18"/>
          <w:szCs w:val="20"/>
        </w:rPr>
        <w:t>DELTA ROUTE</w:t>
      </w:r>
      <w:r w:rsidRPr="00A36EBD">
        <w:rPr>
          <w:rFonts w:ascii="Verdana" w:hAnsi="Verdana"/>
          <w:sz w:val="18"/>
          <w:szCs w:val="20"/>
        </w:rPr>
        <w:t xml:space="preserve"> fait l’objet d’un accord signé entre la société et la délégation du personnel</w:t>
      </w:r>
      <w:r w:rsidR="00393447">
        <w:rPr>
          <w:rFonts w:ascii="Verdana" w:hAnsi="Verdana"/>
          <w:sz w:val="18"/>
          <w:szCs w:val="20"/>
        </w:rPr>
        <w:t>.</w:t>
      </w:r>
    </w:p>
    <w:p w14:paraId="68D87906" w14:textId="77777777" w:rsidP="002256DC" w:rsidR="002256DC" w:rsidRDefault="002256DC" w:rsidRPr="00A36EBD">
      <w:pPr>
        <w:pStyle w:val="Sansinterligne"/>
        <w:jc w:val="both"/>
        <w:rPr>
          <w:rFonts w:ascii="Verdana" w:hAnsi="Verdana"/>
          <w:sz w:val="18"/>
          <w:szCs w:val="20"/>
        </w:rPr>
      </w:pPr>
    </w:p>
    <w:p w14:paraId="5767498A" w14:textId="77B024A7" w:rsidP="002256DC" w:rsidR="002256DC" w:rsidRDefault="002256DC" w:rsidRPr="00A36EBD">
      <w:pPr>
        <w:pStyle w:val="Sansinterligne"/>
        <w:jc w:val="both"/>
        <w:rPr>
          <w:rFonts w:ascii="Verdana" w:hAnsi="Verdana"/>
          <w:sz w:val="18"/>
          <w:szCs w:val="20"/>
        </w:rPr>
      </w:pPr>
      <w:r w:rsidRPr="00A36EBD">
        <w:rPr>
          <w:rFonts w:ascii="Verdana" w:hAnsi="Verdana"/>
          <w:sz w:val="18"/>
          <w:szCs w:val="20"/>
        </w:rPr>
        <w:t xml:space="preserve">Le PEE </w:t>
      </w:r>
      <w:r w:rsidR="00393447">
        <w:rPr>
          <w:rFonts w:ascii="Verdana" w:hAnsi="Verdana"/>
          <w:sz w:val="18"/>
          <w:szCs w:val="20"/>
        </w:rPr>
        <w:t>DELTA ROUTE</w:t>
      </w:r>
      <w:r w:rsidRPr="00A36EBD">
        <w:rPr>
          <w:rFonts w:ascii="Verdana" w:hAnsi="Verdana"/>
          <w:sz w:val="18"/>
          <w:szCs w:val="20"/>
        </w:rPr>
        <w:t xml:space="preserve"> offre aux salariés la possibilité d’investir dans </w:t>
      </w:r>
      <w:r w:rsidR="00C615B3">
        <w:rPr>
          <w:rFonts w:ascii="Verdana" w:hAnsi="Verdana"/>
          <w:sz w:val="18"/>
          <w:szCs w:val="20"/>
        </w:rPr>
        <w:t>trois</w:t>
      </w:r>
      <w:r w:rsidRPr="00A36EBD">
        <w:rPr>
          <w:rFonts w:ascii="Verdana" w:hAnsi="Verdana"/>
          <w:sz w:val="18"/>
          <w:szCs w:val="20"/>
        </w:rPr>
        <w:t xml:space="preserve"> Fonds communs de placement d’entreprise (FCPE) : </w:t>
      </w:r>
    </w:p>
    <w:p w14:paraId="484D9F4B" w14:textId="77777777" w:rsidP="002256DC" w:rsidR="002256DC" w:rsidRDefault="002256DC" w:rsidRPr="00A36EBD">
      <w:pPr>
        <w:pStyle w:val="Sansinterligne"/>
        <w:jc w:val="both"/>
        <w:rPr>
          <w:rFonts w:ascii="Verdana" w:hAnsi="Verdana"/>
          <w:sz w:val="18"/>
          <w:szCs w:val="20"/>
        </w:rPr>
      </w:pPr>
    </w:p>
    <w:p w14:paraId="056F4CFE" w14:textId="509249BC" w:rsidP="00C615B3" w:rsidR="00C615B3" w:rsidRDefault="002256DC">
      <w:pPr>
        <w:pStyle w:val="Sansinterligne"/>
        <w:numPr>
          <w:ilvl w:val="0"/>
          <w:numId w:val="4"/>
        </w:numPr>
        <w:jc w:val="both"/>
        <w:rPr>
          <w:rFonts w:ascii="Verdana" w:hAnsi="Verdana"/>
          <w:sz w:val="18"/>
          <w:szCs w:val="20"/>
        </w:rPr>
      </w:pPr>
      <w:r w:rsidRPr="00A36EBD">
        <w:rPr>
          <w:rFonts w:ascii="Verdana" w:hAnsi="Verdana"/>
          <w:sz w:val="18"/>
          <w:szCs w:val="20"/>
          <w:u w:val="single"/>
        </w:rPr>
        <w:t>Le</w:t>
      </w:r>
      <w:r w:rsidR="00C615B3">
        <w:rPr>
          <w:rFonts w:ascii="Verdana" w:hAnsi="Verdana"/>
          <w:sz w:val="18"/>
          <w:szCs w:val="20"/>
          <w:u w:val="single"/>
        </w:rPr>
        <w:t>s</w:t>
      </w:r>
      <w:r w:rsidRPr="00A36EBD">
        <w:rPr>
          <w:rFonts w:ascii="Verdana" w:hAnsi="Verdana"/>
          <w:sz w:val="18"/>
          <w:szCs w:val="20"/>
          <w:u w:val="single"/>
        </w:rPr>
        <w:t xml:space="preserve"> fonds </w:t>
      </w:r>
      <w:r w:rsidR="00A36EBD" w:rsidRPr="00A36EBD">
        <w:rPr>
          <w:rFonts w:ascii="Verdana" w:hAnsi="Verdana"/>
          <w:sz w:val="18"/>
          <w:szCs w:val="20"/>
          <w:u w:val="single"/>
        </w:rPr>
        <w:t>ARCANCIA</w:t>
      </w:r>
      <w:r w:rsidR="00A36EBD" w:rsidRPr="00C615B3">
        <w:rPr>
          <w:rFonts w:ascii="Verdana" w:hAnsi="Verdana"/>
          <w:sz w:val="18"/>
          <w:szCs w:val="20"/>
        </w:rPr>
        <w:t xml:space="preserve"> </w:t>
      </w:r>
      <w:r w:rsidRPr="00A36EBD">
        <w:rPr>
          <w:rFonts w:ascii="Verdana" w:hAnsi="Verdana"/>
          <w:sz w:val="18"/>
          <w:szCs w:val="20"/>
        </w:rPr>
        <w:t>qui s’adresse</w:t>
      </w:r>
      <w:r w:rsidR="00C615B3">
        <w:rPr>
          <w:rFonts w:ascii="Verdana" w:hAnsi="Verdana"/>
          <w:sz w:val="18"/>
          <w:szCs w:val="20"/>
        </w:rPr>
        <w:t>nt</w:t>
      </w:r>
      <w:r w:rsidRPr="00A36EBD">
        <w:rPr>
          <w:rFonts w:ascii="Verdana" w:hAnsi="Verdana"/>
          <w:sz w:val="18"/>
          <w:szCs w:val="20"/>
        </w:rPr>
        <w:t xml:space="preserve"> aux salariés ayant un horizon de placement à court/moyen terme et souhaitant prendre peu de risque (100% monétaire). Il</w:t>
      </w:r>
      <w:r w:rsidR="00C615B3">
        <w:rPr>
          <w:rFonts w:ascii="Verdana" w:hAnsi="Verdana"/>
          <w:sz w:val="18"/>
          <w:szCs w:val="20"/>
        </w:rPr>
        <w:t>s leur permettront</w:t>
      </w:r>
      <w:r w:rsidRPr="00A36EBD">
        <w:rPr>
          <w:rFonts w:ascii="Verdana" w:hAnsi="Verdana"/>
          <w:sz w:val="18"/>
          <w:szCs w:val="20"/>
        </w:rPr>
        <w:t xml:space="preserve"> de valoriser régulièrement leur capital en toute sérénité</w:t>
      </w:r>
      <w:r w:rsidR="00C615B3">
        <w:rPr>
          <w:rFonts w:ascii="Verdana" w:hAnsi="Verdana"/>
          <w:sz w:val="18"/>
          <w:szCs w:val="20"/>
        </w:rPr>
        <w:t xml:space="preserve"> : </w:t>
      </w:r>
    </w:p>
    <w:p w14:paraId="37FBC3C6" w14:textId="2D43E23E" w:rsidP="00C615B3" w:rsidR="00C615B3" w:rsidRDefault="00653E26" w:rsidRPr="00C615B3">
      <w:pPr>
        <w:pStyle w:val="Sansinterligne"/>
        <w:numPr>
          <w:ilvl w:val="1"/>
          <w:numId w:val="4"/>
        </w:numPr>
        <w:jc w:val="both"/>
        <w:rPr>
          <w:rFonts w:ascii="Verdana" w:hAnsi="Verdana"/>
          <w:sz w:val="18"/>
          <w:szCs w:val="20"/>
        </w:rPr>
      </w:pPr>
      <w:r>
        <w:rPr>
          <w:rFonts w:ascii="Verdana" w:hAnsi="Verdana"/>
          <w:sz w:val="18"/>
          <w:szCs w:val="20"/>
          <w:u w:val="single"/>
        </w:rPr>
        <w:t>ARCANC</w:t>
      </w:r>
      <w:r w:rsidR="00C615B3">
        <w:rPr>
          <w:rFonts w:ascii="Verdana" w:hAnsi="Verdana"/>
          <w:sz w:val="18"/>
          <w:szCs w:val="20"/>
          <w:u w:val="single"/>
        </w:rPr>
        <w:t>IA Compartiment Sécurité part 207</w:t>
      </w:r>
    </w:p>
    <w:p w14:paraId="2AAF9ECE" w14:textId="7546592A" w:rsidP="00C615B3" w:rsidR="00C615B3" w:rsidRDefault="00653E26" w:rsidRPr="00C615B3">
      <w:pPr>
        <w:pStyle w:val="Sansinterligne"/>
        <w:numPr>
          <w:ilvl w:val="1"/>
          <w:numId w:val="4"/>
        </w:numPr>
        <w:jc w:val="both"/>
        <w:rPr>
          <w:rFonts w:ascii="Verdana" w:hAnsi="Verdana"/>
          <w:sz w:val="18"/>
          <w:szCs w:val="20"/>
        </w:rPr>
      </w:pPr>
      <w:r>
        <w:rPr>
          <w:rFonts w:ascii="Verdana" w:hAnsi="Verdana"/>
          <w:sz w:val="18"/>
          <w:szCs w:val="20"/>
          <w:u w:val="single"/>
        </w:rPr>
        <w:t>ARCANC</w:t>
      </w:r>
      <w:r w:rsidR="00C615B3">
        <w:rPr>
          <w:rFonts w:ascii="Verdana" w:hAnsi="Verdana"/>
          <w:sz w:val="18"/>
          <w:szCs w:val="20"/>
          <w:u w:val="single"/>
        </w:rPr>
        <w:t>IA LABEL Équilibre et Solidaire part 409</w:t>
      </w:r>
    </w:p>
    <w:p w14:paraId="46AF8AA9" w14:textId="77777777" w:rsidP="002256DC" w:rsidR="002256DC" w:rsidRDefault="002256DC" w:rsidRPr="00A36EBD">
      <w:pPr>
        <w:pStyle w:val="Sansinterligne"/>
        <w:ind w:left="720"/>
        <w:jc w:val="both"/>
        <w:rPr>
          <w:rFonts w:ascii="Verdana" w:hAnsi="Verdana"/>
          <w:sz w:val="18"/>
          <w:szCs w:val="20"/>
        </w:rPr>
      </w:pPr>
    </w:p>
    <w:p w14:paraId="68345877" w14:textId="188FECE3" w:rsidP="002256DC" w:rsidR="002256DC" w:rsidRDefault="002256DC" w:rsidRPr="00A36EBD">
      <w:pPr>
        <w:pStyle w:val="Sansinterligne"/>
        <w:numPr>
          <w:ilvl w:val="0"/>
          <w:numId w:val="4"/>
        </w:numPr>
        <w:jc w:val="both"/>
        <w:rPr>
          <w:rFonts w:ascii="Verdana" w:hAnsi="Verdana"/>
          <w:sz w:val="18"/>
          <w:szCs w:val="20"/>
        </w:rPr>
      </w:pPr>
      <w:r w:rsidRPr="00A36EBD">
        <w:rPr>
          <w:rFonts w:ascii="Verdana" w:hAnsi="Verdana"/>
          <w:sz w:val="18"/>
          <w:szCs w:val="20"/>
          <w:u w:val="single"/>
        </w:rPr>
        <w:t>Le fonds CHARLES ANDRÉ</w:t>
      </w:r>
      <w:r w:rsidRPr="00A36EBD">
        <w:rPr>
          <w:rFonts w:ascii="Verdana" w:hAnsi="Verdana"/>
          <w:sz w:val="18"/>
          <w:szCs w:val="20"/>
        </w:rPr>
        <w:t xml:space="preserve"> qui présente à moyen/long terme un bon compromis entre sécurité (15% monétaire ; 35% obligations) et performances (50% actions). Il s’adresse aux salariés qui souhaitent valoriser leur capital et acceptent une prise de risque encadré</w:t>
      </w:r>
      <w:r w:rsidR="00A05C68">
        <w:rPr>
          <w:rFonts w:ascii="Verdana" w:hAnsi="Verdana"/>
          <w:sz w:val="18"/>
          <w:szCs w:val="20"/>
        </w:rPr>
        <w:t>e</w:t>
      </w:r>
      <w:r w:rsidRPr="00A36EBD">
        <w:rPr>
          <w:rFonts w:ascii="Verdana" w:hAnsi="Verdana"/>
          <w:sz w:val="18"/>
          <w:szCs w:val="20"/>
        </w:rPr>
        <w:t xml:space="preserve"> à moyen terme.</w:t>
      </w:r>
    </w:p>
    <w:p w14:paraId="6F32BA20" w14:textId="77777777" w:rsidP="002256DC" w:rsidR="00A95216" w:rsidRDefault="00A95216" w:rsidRPr="00A36EBD">
      <w:pPr>
        <w:pStyle w:val="Sansinterligne"/>
        <w:jc w:val="both"/>
        <w:rPr>
          <w:rFonts w:ascii="Verdana" w:hAnsi="Verdana"/>
          <w:sz w:val="18"/>
          <w:szCs w:val="20"/>
        </w:rPr>
      </w:pPr>
    </w:p>
    <w:p w14:paraId="1207AB78" w14:textId="4B1AC81D" w:rsidP="002256DC" w:rsidR="00A36EBD" w:rsidRDefault="00A36EBD" w:rsidRPr="00A36EBD">
      <w:pPr>
        <w:pStyle w:val="Sansinterligne"/>
        <w:jc w:val="both"/>
        <w:rPr>
          <w:rFonts w:ascii="Verdana" w:hAnsi="Verdana"/>
          <w:sz w:val="18"/>
          <w:szCs w:val="20"/>
        </w:rPr>
      </w:pPr>
      <w:r w:rsidRPr="00A36EBD">
        <w:rPr>
          <w:rFonts w:ascii="Verdana" w:hAnsi="Verdana"/>
          <w:sz w:val="18"/>
          <w:szCs w:val="20"/>
        </w:rPr>
        <w:t>Ces fonds constituent une véritable gamme de placement dont l’objectif est de satisfaire les différents besoins des épargnants, quels que soient la durée de placement envisagée et le degré de risque accepté.</w:t>
      </w:r>
    </w:p>
    <w:p w14:paraId="69C5A99B" w14:textId="77777777" w:rsidP="002256DC" w:rsidR="0096311D" w:rsidRDefault="0096311D" w:rsidRPr="00734FFE">
      <w:pPr>
        <w:pStyle w:val="Sansinterligne"/>
        <w:jc w:val="both"/>
        <w:rPr>
          <w:rFonts w:ascii="Verdana" w:hAnsi="Verdana"/>
          <w:sz w:val="18"/>
          <w:szCs w:val="20"/>
          <w:highlight w:val="yellow"/>
        </w:rPr>
      </w:pPr>
    </w:p>
    <w:p w14:paraId="2515FA94" w14:textId="6F94F79F" w:rsidP="0048051C" w:rsidR="00C80A49" w:rsidRDefault="00592A84" w:rsidRPr="00734FFE">
      <w:pPr>
        <w:pStyle w:val="Sansinterligne"/>
        <w:jc w:val="both"/>
        <w:rPr>
          <w:rFonts w:ascii="Verdana" w:hAnsi="Verdana"/>
          <w:b/>
          <w:sz w:val="18"/>
          <w:szCs w:val="20"/>
          <w:u w:val="single"/>
        </w:rPr>
      </w:pPr>
      <w:r w:rsidRPr="00837D4E">
        <w:rPr>
          <w:rFonts w:ascii="Verdana" w:hAnsi="Verdana"/>
          <w:b/>
          <w:sz w:val="18"/>
          <w:szCs w:val="20"/>
          <w:u w:val="single"/>
        </w:rPr>
        <w:t xml:space="preserve">ARTICLE </w:t>
      </w:r>
      <w:r w:rsidR="00BE04A1">
        <w:rPr>
          <w:rFonts w:ascii="Verdana" w:hAnsi="Verdana"/>
          <w:b/>
          <w:sz w:val="18"/>
          <w:szCs w:val="20"/>
          <w:u w:val="single"/>
        </w:rPr>
        <w:t>4</w:t>
      </w:r>
      <w:r w:rsidRPr="00837D4E">
        <w:rPr>
          <w:rFonts w:ascii="Verdana" w:hAnsi="Verdana"/>
          <w:b/>
          <w:sz w:val="18"/>
          <w:szCs w:val="20"/>
          <w:u w:val="single"/>
        </w:rPr>
        <w:t xml:space="preserve"> : </w:t>
      </w:r>
      <w:r w:rsidR="005F4B62" w:rsidRPr="00837D4E">
        <w:rPr>
          <w:rFonts w:ascii="Verdana" w:hAnsi="Verdana"/>
          <w:b/>
          <w:sz w:val="18"/>
          <w:szCs w:val="20"/>
          <w:u w:val="single"/>
        </w:rPr>
        <w:t>Égalité</w:t>
      </w:r>
      <w:r w:rsidRPr="00837D4E">
        <w:rPr>
          <w:rFonts w:ascii="Verdana" w:hAnsi="Verdana"/>
          <w:b/>
          <w:sz w:val="18"/>
          <w:szCs w:val="20"/>
          <w:u w:val="single"/>
        </w:rPr>
        <w:t xml:space="preserve"> femmes / hommes</w:t>
      </w:r>
    </w:p>
    <w:p w14:paraId="573AC659" w14:textId="77777777" w:rsidP="0048051C" w:rsidR="00C80A49" w:rsidRDefault="00C80A49" w:rsidRPr="00734FFE">
      <w:pPr>
        <w:pStyle w:val="Sansinterligne"/>
        <w:jc w:val="both"/>
        <w:rPr>
          <w:rFonts w:ascii="Verdana" w:hAnsi="Verdana"/>
          <w:sz w:val="18"/>
          <w:szCs w:val="20"/>
        </w:rPr>
      </w:pPr>
    </w:p>
    <w:p w14:paraId="789A792C" w14:textId="1730DDE4" w:rsidP="00837D4E" w:rsidR="00837D4E" w:rsidRDefault="00837D4E" w:rsidRPr="00837D4E">
      <w:pPr>
        <w:pStyle w:val="Sansinterligne"/>
        <w:jc w:val="both"/>
        <w:rPr>
          <w:rFonts w:ascii="Verdana" w:hAnsi="Verdana"/>
          <w:sz w:val="18"/>
          <w:szCs w:val="20"/>
        </w:rPr>
      </w:pPr>
      <w:r w:rsidRPr="00837D4E">
        <w:rPr>
          <w:rFonts w:ascii="Verdana" w:hAnsi="Verdana"/>
          <w:sz w:val="18"/>
          <w:szCs w:val="20"/>
        </w:rPr>
        <w:t>Les parties constatent et rappellent qu’un accord de branche pour l’égalité professionnelle entre les femm</w:t>
      </w:r>
      <w:r w:rsidR="00462246">
        <w:rPr>
          <w:rFonts w:ascii="Verdana" w:hAnsi="Verdana"/>
          <w:sz w:val="18"/>
          <w:szCs w:val="20"/>
        </w:rPr>
        <w:t>es et les hommes a été signé le 04 juin 2020</w:t>
      </w:r>
      <w:r w:rsidRPr="00837D4E">
        <w:rPr>
          <w:rFonts w:ascii="Verdana" w:hAnsi="Verdana"/>
          <w:sz w:val="18"/>
          <w:szCs w:val="20"/>
        </w:rPr>
        <w:t xml:space="preserve">, entre les partenaires sociaux de la branche du </w:t>
      </w:r>
      <w:r w:rsidR="00462246">
        <w:rPr>
          <w:rFonts w:ascii="Verdana" w:hAnsi="Verdana"/>
          <w:sz w:val="18"/>
          <w:szCs w:val="20"/>
        </w:rPr>
        <w:t>Transport</w:t>
      </w:r>
      <w:r w:rsidRPr="00837D4E">
        <w:rPr>
          <w:rFonts w:ascii="Verdana" w:hAnsi="Verdana"/>
          <w:sz w:val="18"/>
          <w:szCs w:val="20"/>
        </w:rPr>
        <w:t xml:space="preserve">. </w:t>
      </w:r>
    </w:p>
    <w:p w14:paraId="7653FA8D" w14:textId="77777777" w:rsidP="00837D4E" w:rsidR="00837D4E" w:rsidRDefault="00837D4E">
      <w:pPr>
        <w:pStyle w:val="Sansinterligne"/>
        <w:jc w:val="both"/>
        <w:rPr>
          <w:rFonts w:ascii="Verdana" w:hAnsi="Verdana"/>
          <w:sz w:val="18"/>
          <w:szCs w:val="20"/>
        </w:rPr>
      </w:pPr>
    </w:p>
    <w:p w14:paraId="1CDDFF30" w14:textId="34F61796" w:rsidP="00837D4E" w:rsidR="00837D4E" w:rsidRDefault="00837D4E" w:rsidRPr="00837D4E">
      <w:pPr>
        <w:pStyle w:val="Sansinterligne"/>
        <w:jc w:val="both"/>
        <w:rPr>
          <w:rFonts w:ascii="Verdana" w:hAnsi="Verdana"/>
          <w:sz w:val="18"/>
          <w:szCs w:val="20"/>
        </w:rPr>
      </w:pPr>
      <w:r w:rsidRPr="00837D4E">
        <w:rPr>
          <w:rFonts w:ascii="Verdana" w:hAnsi="Verdana"/>
          <w:sz w:val="18"/>
          <w:szCs w:val="20"/>
        </w:rPr>
        <w:t xml:space="preserve">L'Observatoire Prospectif des métiers et des qualifications dans les </w:t>
      </w:r>
      <w:r w:rsidR="00462246">
        <w:rPr>
          <w:rFonts w:ascii="Verdana" w:hAnsi="Verdana"/>
          <w:sz w:val="18"/>
          <w:szCs w:val="20"/>
        </w:rPr>
        <w:t>Transports et la Logistique</w:t>
      </w:r>
      <w:r w:rsidRPr="00837D4E">
        <w:rPr>
          <w:rFonts w:ascii="Verdana" w:hAnsi="Verdana"/>
          <w:sz w:val="18"/>
          <w:szCs w:val="20"/>
        </w:rPr>
        <w:t xml:space="preserve"> met en évidence, années après années, une sous-représentation des effectifs féminins employés dans le transport routier et les activités auxiliaires. Fin 2015, les femmes représentaient, en moyenne, 19% des effectifs salariés de la branche.</w:t>
      </w:r>
    </w:p>
    <w:p w14:paraId="0B93A79D" w14:textId="77777777" w:rsidP="00837D4E" w:rsidR="00837D4E" w:rsidRDefault="00837D4E" w:rsidRPr="00837D4E">
      <w:pPr>
        <w:pStyle w:val="Sansinterligne"/>
        <w:jc w:val="both"/>
        <w:rPr>
          <w:rFonts w:ascii="Verdana" w:hAnsi="Verdana"/>
          <w:sz w:val="18"/>
          <w:szCs w:val="20"/>
        </w:rPr>
      </w:pPr>
    </w:p>
    <w:p w14:paraId="3A91D6FA" w14:textId="77777777" w:rsidP="00837D4E" w:rsidR="00837D4E" w:rsidRDefault="00837D4E" w:rsidRPr="00837D4E">
      <w:pPr>
        <w:pStyle w:val="Sansinterligne"/>
        <w:jc w:val="both"/>
        <w:rPr>
          <w:rFonts w:ascii="Verdana" w:hAnsi="Verdana"/>
          <w:sz w:val="18"/>
          <w:szCs w:val="20"/>
        </w:rPr>
      </w:pPr>
      <w:r w:rsidRPr="00837D4E">
        <w:rPr>
          <w:rFonts w:ascii="Verdana" w:hAnsi="Verdana"/>
          <w:sz w:val="18"/>
          <w:szCs w:val="20"/>
        </w:rPr>
        <w:t xml:space="preserve">Pourtant la mixité et la diversité constituent des facteurs d’enrichissement humain et de cohésion sociale tout autant qu’une source de progrès économique et social, d’efficacité, de modernité et d’innovation dans l’entreprise. Convaincus par le fait que les femmes et les hommes doivent être présents de manière équilibrée dans toutes les fonctions et à tous les niveaux de la société, les parties du présent accord souhaitent réaffirmer leur volonté de garantir l’égalité professionnelle et de proscrire toute différence de traitement en considération du sexe. </w:t>
      </w:r>
    </w:p>
    <w:p w14:paraId="07F0FD5B" w14:textId="77777777" w:rsidP="00837D4E" w:rsidR="00837D4E" w:rsidRDefault="00837D4E" w:rsidRPr="00837D4E">
      <w:pPr>
        <w:pStyle w:val="Sansinterligne"/>
        <w:jc w:val="both"/>
        <w:rPr>
          <w:rFonts w:ascii="Verdana" w:hAnsi="Verdana"/>
          <w:sz w:val="18"/>
          <w:szCs w:val="20"/>
        </w:rPr>
      </w:pPr>
    </w:p>
    <w:p w14:paraId="433438F1" w14:textId="77777777" w:rsidP="00837D4E" w:rsidR="00837D4E" w:rsidRDefault="00837D4E" w:rsidRPr="00837D4E">
      <w:pPr>
        <w:pStyle w:val="Sansinterligne"/>
        <w:jc w:val="both"/>
        <w:rPr>
          <w:rFonts w:ascii="Verdana" w:hAnsi="Verdana"/>
          <w:sz w:val="18"/>
          <w:szCs w:val="20"/>
        </w:rPr>
      </w:pPr>
      <w:r w:rsidRPr="00837D4E">
        <w:rPr>
          <w:rFonts w:ascii="Verdana" w:hAnsi="Verdana"/>
          <w:sz w:val="18"/>
          <w:szCs w:val="20"/>
        </w:rPr>
        <w:t>La société souhaite marquer son opposition aux comportements discriminatoires mais également agir pour combattre les stéréotypes culturels et les représentations culturelles associées au sexe. C’est pourquoi l’entreprise doit agir dès l’embauche et à tous les stades de l’évolution professionnelle. L’accent doit au préalable être mis sur la communication et la sensibilisation.</w:t>
      </w:r>
    </w:p>
    <w:p w14:paraId="457947D2" w14:textId="77777777" w:rsidP="00837D4E" w:rsidR="00837D4E" w:rsidRDefault="00837D4E" w:rsidRPr="00837D4E">
      <w:pPr>
        <w:pStyle w:val="Sansinterligne"/>
        <w:jc w:val="both"/>
        <w:rPr>
          <w:rFonts w:ascii="Verdana" w:hAnsi="Verdana"/>
          <w:sz w:val="18"/>
          <w:szCs w:val="20"/>
        </w:rPr>
      </w:pPr>
    </w:p>
    <w:p w14:paraId="58C52E10" w14:textId="77777777" w:rsidP="00837D4E" w:rsidR="00837D4E" w:rsidRDefault="00837D4E">
      <w:pPr>
        <w:pStyle w:val="Sansinterligne"/>
        <w:jc w:val="both"/>
        <w:rPr>
          <w:rFonts w:ascii="Verdana" w:hAnsi="Verdana"/>
          <w:sz w:val="18"/>
          <w:szCs w:val="20"/>
        </w:rPr>
      </w:pPr>
      <w:r w:rsidRPr="00837D4E">
        <w:rPr>
          <w:rFonts w:ascii="Verdana" w:hAnsi="Verdana"/>
          <w:sz w:val="18"/>
          <w:szCs w:val="20"/>
        </w:rPr>
        <w:t>Ainsi, les partenaires sociaux reconnaissent qu’il serait opportun de réussir à négocier un accord dont l’objet serait de promouvoir l’égalité professionnelle entre les femmes et les hommes et la qualité de vie au travail au sein de la société, de fixer des objectifs de progression et de déterminer des actions permettant d’atteindre ces objectifs, en y associant des indicateurs chiffrés pour évaluer l’effet des actions mises en œuvre.</w:t>
      </w:r>
    </w:p>
    <w:p w14:paraId="5A12F8AF" w14:textId="77777777" w:rsidP="00837D4E" w:rsidR="00837D4E" w:rsidRDefault="00837D4E">
      <w:pPr>
        <w:pStyle w:val="Sansinterligne"/>
        <w:jc w:val="both"/>
        <w:rPr>
          <w:rFonts w:ascii="Verdana" w:hAnsi="Verdana"/>
          <w:sz w:val="18"/>
          <w:szCs w:val="20"/>
        </w:rPr>
      </w:pPr>
    </w:p>
    <w:p w14:paraId="2385374D" w14:textId="3D372D37" w:rsidP="00837D4E" w:rsidR="0077203A" w:rsidRDefault="00837D4E">
      <w:pPr>
        <w:pStyle w:val="Sansinterligne"/>
        <w:jc w:val="both"/>
        <w:rPr>
          <w:rFonts w:ascii="Verdana" w:hAnsi="Verdana"/>
          <w:sz w:val="18"/>
          <w:szCs w:val="20"/>
        </w:rPr>
      </w:pPr>
      <w:r w:rsidRPr="005332C7">
        <w:rPr>
          <w:rFonts w:ascii="Verdana" w:hAnsi="Verdana"/>
          <w:sz w:val="18"/>
          <w:szCs w:val="20"/>
        </w:rPr>
        <w:t>Les parties rappellent qu’une négociation a été ouverte l’année dernière, qui visait l’adoption d’un accord égalité femme/homme, cepe</w:t>
      </w:r>
      <w:r w:rsidR="00EF6BAA" w:rsidRPr="005332C7">
        <w:rPr>
          <w:rFonts w:ascii="Verdana" w:hAnsi="Verdana"/>
          <w:sz w:val="18"/>
          <w:szCs w:val="20"/>
        </w:rPr>
        <w:t xml:space="preserve">ndant, la crise sanitaire liée au Covid-19 a retardé la négociation qui avait été </w:t>
      </w:r>
      <w:r w:rsidR="005B3C15" w:rsidRPr="005332C7">
        <w:rPr>
          <w:rFonts w:ascii="Verdana" w:hAnsi="Verdana"/>
          <w:sz w:val="18"/>
          <w:szCs w:val="20"/>
        </w:rPr>
        <w:t>lancée,</w:t>
      </w:r>
      <w:r w:rsidR="00EF6BAA" w:rsidRPr="005332C7">
        <w:rPr>
          <w:rFonts w:ascii="Verdana" w:hAnsi="Verdana"/>
          <w:sz w:val="18"/>
          <w:szCs w:val="20"/>
        </w:rPr>
        <w:t xml:space="preserve"> de sorte qu’elle </w:t>
      </w:r>
      <w:r w:rsidRPr="005332C7">
        <w:rPr>
          <w:rFonts w:ascii="Verdana" w:hAnsi="Verdana"/>
          <w:sz w:val="18"/>
          <w:szCs w:val="20"/>
        </w:rPr>
        <w:t xml:space="preserve">a été reportée à l’année </w:t>
      </w:r>
      <w:r w:rsidR="00EF6BAA" w:rsidRPr="005332C7">
        <w:rPr>
          <w:rFonts w:ascii="Verdana" w:hAnsi="Verdana"/>
          <w:sz w:val="18"/>
          <w:szCs w:val="20"/>
        </w:rPr>
        <w:t>suivante.</w:t>
      </w:r>
      <w:r w:rsidR="00A05C68" w:rsidRPr="005332C7">
        <w:rPr>
          <w:rFonts w:ascii="Verdana" w:hAnsi="Verdana"/>
          <w:sz w:val="18"/>
          <w:szCs w:val="20"/>
        </w:rPr>
        <w:t xml:space="preserve"> Des négociations seront donc </w:t>
      </w:r>
      <w:r w:rsidR="005B3C15" w:rsidRPr="005332C7">
        <w:rPr>
          <w:rFonts w:ascii="Verdana" w:hAnsi="Verdana"/>
          <w:sz w:val="18"/>
          <w:szCs w:val="20"/>
        </w:rPr>
        <w:t xml:space="preserve">de nouveau </w:t>
      </w:r>
      <w:r w:rsidR="00A05C68" w:rsidRPr="005332C7">
        <w:rPr>
          <w:rFonts w:ascii="Verdana" w:hAnsi="Verdana"/>
          <w:sz w:val="18"/>
          <w:szCs w:val="20"/>
        </w:rPr>
        <w:t>lancé</w:t>
      </w:r>
      <w:r w:rsidR="00462246">
        <w:rPr>
          <w:rFonts w:ascii="Verdana" w:hAnsi="Verdana"/>
          <w:sz w:val="18"/>
          <w:szCs w:val="20"/>
        </w:rPr>
        <w:t>es sur ce thème sur l’année 2022</w:t>
      </w:r>
      <w:r w:rsidR="00A05C68" w:rsidRPr="005332C7">
        <w:rPr>
          <w:rFonts w:ascii="Verdana" w:hAnsi="Verdana"/>
          <w:sz w:val="18"/>
          <w:szCs w:val="20"/>
        </w:rPr>
        <w:t>.</w:t>
      </w:r>
    </w:p>
    <w:p w14:paraId="48A752BF" w14:textId="77777777" w:rsidP="00837D4E" w:rsidR="0077203A" w:rsidRDefault="0077203A" w:rsidRPr="00837D4E">
      <w:pPr>
        <w:pStyle w:val="Sansinterligne"/>
        <w:jc w:val="both"/>
        <w:rPr>
          <w:rFonts w:ascii="Verdana" w:hAnsi="Verdana"/>
          <w:sz w:val="18"/>
          <w:szCs w:val="20"/>
        </w:rPr>
      </w:pPr>
    </w:p>
    <w:p w14:paraId="49E24413" w14:textId="6CA3AF3A" w:rsidP="00837D4E" w:rsidR="00837D4E" w:rsidRDefault="00837D4E" w:rsidRPr="00837D4E">
      <w:pPr>
        <w:pStyle w:val="Sansinterligne"/>
        <w:jc w:val="both"/>
        <w:rPr>
          <w:rFonts w:ascii="Verdana" w:hAnsi="Verdana"/>
          <w:sz w:val="18"/>
          <w:szCs w:val="20"/>
        </w:rPr>
      </w:pPr>
      <w:r w:rsidRPr="00837D4E">
        <w:rPr>
          <w:rFonts w:ascii="Verdana" w:hAnsi="Verdana"/>
          <w:sz w:val="18"/>
          <w:szCs w:val="20"/>
        </w:rPr>
        <w:t xml:space="preserve">Par conséquent, </w:t>
      </w:r>
      <w:r>
        <w:rPr>
          <w:rFonts w:ascii="Verdana" w:hAnsi="Verdana"/>
          <w:sz w:val="18"/>
          <w:szCs w:val="20"/>
        </w:rPr>
        <w:t>les parties prennent acte de la publication du rapport de situation comparée réalisant un diagnostic chiffré sur l’égalité professionnelle. D</w:t>
      </w:r>
      <w:r w:rsidRPr="00837D4E">
        <w:rPr>
          <w:rFonts w:ascii="Verdana" w:hAnsi="Verdana"/>
          <w:sz w:val="18"/>
          <w:szCs w:val="20"/>
        </w:rPr>
        <w:t>es négociations vont s’ouvrir dans le but de conclure un accord sur l’égalité professionnelle, étant précisé que le suivi de la mise en œuvre des mesures dans le cadre de l’accord se fera lors des prochaines NAO.</w:t>
      </w:r>
    </w:p>
    <w:p w14:paraId="085A6313" w14:textId="77777777" w:rsidP="00837D4E" w:rsidR="00837D4E" w:rsidRDefault="00837D4E" w:rsidRPr="00837D4E">
      <w:pPr>
        <w:pStyle w:val="Sansinterligne"/>
        <w:jc w:val="both"/>
        <w:rPr>
          <w:rFonts w:ascii="Verdana" w:hAnsi="Verdana"/>
          <w:sz w:val="18"/>
          <w:szCs w:val="20"/>
        </w:rPr>
      </w:pPr>
    </w:p>
    <w:p w14:paraId="3E02CD63" w14:textId="2B6227E6" w:rsidP="00CF0B5E" w:rsidR="00CF0B5E" w:rsidRDefault="00EF6BAA">
      <w:pPr>
        <w:pStyle w:val="Sansinterligne"/>
        <w:jc w:val="both"/>
        <w:rPr>
          <w:rFonts w:ascii="Verdana" w:hAnsi="Verdana"/>
          <w:sz w:val="18"/>
          <w:szCs w:val="20"/>
        </w:rPr>
      </w:pPr>
      <w:r>
        <w:rPr>
          <w:rFonts w:ascii="Verdana" w:hAnsi="Verdana"/>
          <w:sz w:val="18"/>
          <w:szCs w:val="20"/>
        </w:rPr>
        <w:t>Ainsi</w:t>
      </w:r>
      <w:r w:rsidR="00837D4E" w:rsidRPr="00837D4E">
        <w:rPr>
          <w:rFonts w:ascii="Verdana" w:hAnsi="Verdana"/>
          <w:sz w:val="18"/>
          <w:szCs w:val="20"/>
        </w:rPr>
        <w:t xml:space="preserve">, les parties tiennent à préciser </w:t>
      </w:r>
      <w:r w:rsidR="005B3C15">
        <w:rPr>
          <w:rFonts w:ascii="Verdana" w:hAnsi="Verdana"/>
          <w:sz w:val="18"/>
          <w:szCs w:val="20"/>
        </w:rPr>
        <w:t xml:space="preserve">qu’à partir des données chiffrés, </w:t>
      </w:r>
      <w:r w:rsidR="00837D4E" w:rsidRPr="00837D4E">
        <w:rPr>
          <w:rFonts w:ascii="Verdana" w:hAnsi="Verdana"/>
          <w:sz w:val="18"/>
          <w:szCs w:val="20"/>
        </w:rPr>
        <w:t xml:space="preserve">lors de la NAO, elles ne constatent pas dans l’entreprise d’écarts de rémunération hommes / femmes. </w:t>
      </w:r>
    </w:p>
    <w:p w14:paraId="459AAEAE" w14:textId="77777777" w:rsidP="00CF0B5E" w:rsidR="00CF0B5E" w:rsidRDefault="00CF0B5E">
      <w:pPr>
        <w:pStyle w:val="Sansinterligne"/>
        <w:jc w:val="both"/>
        <w:rPr>
          <w:rFonts w:ascii="Verdana" w:hAnsi="Verdana"/>
          <w:sz w:val="18"/>
          <w:szCs w:val="20"/>
        </w:rPr>
      </w:pPr>
    </w:p>
    <w:p w14:paraId="4577E79B" w14:textId="6FA16BAF" w:rsidP="00CF0B5E" w:rsidR="00CF0B5E" w:rsidRDefault="00CF0B5E" w:rsidRPr="00CF0B5E">
      <w:pPr>
        <w:pStyle w:val="Sansinterligne"/>
        <w:jc w:val="both"/>
        <w:rPr>
          <w:rFonts w:ascii="Verdana" w:hAnsi="Verdana"/>
          <w:iCs/>
          <w:sz w:val="18"/>
          <w:szCs w:val="20"/>
        </w:rPr>
      </w:pPr>
      <w:r>
        <w:rPr>
          <w:rFonts w:ascii="Verdana" w:hAnsi="Verdana"/>
          <w:sz w:val="18"/>
          <w:szCs w:val="20"/>
        </w:rPr>
        <w:t>En effet, l</w:t>
      </w:r>
      <w:r w:rsidRPr="00CF0B5E">
        <w:rPr>
          <w:rFonts w:ascii="Verdana" w:hAnsi="Verdana"/>
          <w:iCs/>
          <w:sz w:val="18"/>
          <w:szCs w:val="20"/>
        </w:rPr>
        <w:t>a Direction indique que l’application de la grille de salaires de l’entreprise assure la stricte égalité entre les femmes et les hommes exerçant le même emploi</w:t>
      </w:r>
      <w:r w:rsidR="005B3C15">
        <w:rPr>
          <w:rFonts w:ascii="Verdana" w:hAnsi="Verdana"/>
          <w:iCs/>
          <w:sz w:val="18"/>
          <w:szCs w:val="20"/>
        </w:rPr>
        <w:t xml:space="preserve"> pour la catégorie du personnel roulant</w:t>
      </w:r>
      <w:r w:rsidRPr="00CF0B5E">
        <w:rPr>
          <w:rFonts w:ascii="Verdana" w:hAnsi="Verdana"/>
          <w:iCs/>
          <w:sz w:val="18"/>
          <w:szCs w:val="20"/>
        </w:rPr>
        <w:t>. Une vigilance particulière sera portée par la Direction, à une répartition équilibrée entre les femmes et les hommes, des augmentations individuelles lors de l’élaboration de la politique salariale.</w:t>
      </w:r>
    </w:p>
    <w:p w14:paraId="0E977F09" w14:textId="663BA479" w:rsidP="00837D4E" w:rsidR="00837D4E" w:rsidRDefault="00837D4E" w:rsidRPr="00837D4E">
      <w:pPr>
        <w:pStyle w:val="Sansinterligne"/>
        <w:jc w:val="both"/>
        <w:rPr>
          <w:rFonts w:ascii="Verdana" w:hAnsi="Verdana"/>
          <w:sz w:val="18"/>
          <w:szCs w:val="20"/>
        </w:rPr>
      </w:pPr>
    </w:p>
    <w:p w14:paraId="5E55FABB" w14:textId="4C13440C" w:rsidP="0048051C" w:rsidR="000422E2" w:rsidRDefault="00BE04A1" w:rsidRPr="001E34AA">
      <w:pPr>
        <w:tabs>
          <w:tab w:pos="270" w:val="left"/>
          <w:tab w:pos="1170" w:val="left"/>
          <w:tab w:pos="2970" w:val="left"/>
        </w:tabs>
        <w:ind w:right="-853"/>
        <w:jc w:val="both"/>
        <w:rPr>
          <w:rFonts w:ascii="Verdana" w:cs="Arial" w:hAnsi="Verdana"/>
          <w:b/>
          <w:sz w:val="18"/>
          <w:szCs w:val="20"/>
          <w:u w:val="single"/>
        </w:rPr>
      </w:pPr>
      <w:r>
        <w:rPr>
          <w:rFonts w:ascii="Verdana" w:cs="Arial" w:hAnsi="Verdana"/>
          <w:b/>
          <w:sz w:val="18"/>
          <w:szCs w:val="20"/>
          <w:u w:val="single"/>
        </w:rPr>
        <w:t>ARTICLE 5</w:t>
      </w:r>
      <w:r w:rsidR="000422E2" w:rsidRPr="001E34AA">
        <w:rPr>
          <w:rFonts w:ascii="Verdana" w:cs="Arial" w:hAnsi="Verdana"/>
          <w:b/>
          <w:sz w:val="18"/>
          <w:szCs w:val="20"/>
          <w:u w:val="single"/>
        </w:rPr>
        <w:t> : Les travailleurs handicapés</w:t>
      </w:r>
    </w:p>
    <w:p w14:paraId="2380D285" w14:textId="77777777" w:rsidP="00103A51" w:rsidR="000422E2" w:rsidRDefault="000422E2">
      <w:pPr>
        <w:pStyle w:val="NormalWeb"/>
        <w:spacing w:after="0" w:afterAutospacing="0" w:before="0" w:beforeAutospacing="0"/>
        <w:jc w:val="both"/>
        <w:rPr>
          <w:rFonts w:ascii="Verdana" w:cs="Times New Roman" w:hAnsi="Verdana"/>
          <w:sz w:val="18"/>
          <w:szCs w:val="20"/>
          <w:highlight w:val="yellow"/>
        </w:rPr>
      </w:pPr>
    </w:p>
    <w:p w14:paraId="59DC4BE8" w14:textId="4C98949A" w:rsidP="00103A51" w:rsidR="00BC4ECD" w:rsidRDefault="00BC4ECD" w:rsidRPr="005332C7">
      <w:pPr>
        <w:pStyle w:val="NormalWeb"/>
        <w:spacing w:after="0" w:afterAutospacing="0" w:before="0" w:beforeAutospacing="0"/>
        <w:jc w:val="both"/>
        <w:rPr>
          <w:rFonts w:ascii="Verdana" w:hAnsi="Verdana"/>
          <w:sz w:val="18"/>
          <w:szCs w:val="20"/>
        </w:rPr>
      </w:pPr>
      <w:r w:rsidRPr="005332C7">
        <w:rPr>
          <w:rFonts w:ascii="Verdana" w:hAnsi="Verdana"/>
          <w:sz w:val="18"/>
          <w:szCs w:val="20"/>
        </w:rPr>
        <w:t>Les parties constatent que pour l’année</w:t>
      </w:r>
      <w:r w:rsidR="003730FE">
        <w:rPr>
          <w:rFonts w:ascii="Verdana" w:hAnsi="Verdana"/>
          <w:sz w:val="18"/>
          <w:szCs w:val="20"/>
        </w:rPr>
        <w:t xml:space="preserve"> 2021</w:t>
      </w:r>
      <w:r w:rsidRPr="005332C7">
        <w:rPr>
          <w:rFonts w:ascii="Verdana" w:hAnsi="Verdana"/>
          <w:sz w:val="18"/>
          <w:szCs w:val="20"/>
        </w:rPr>
        <w:t xml:space="preserve">, l’effectif de travailleurs handicapés est de </w:t>
      </w:r>
      <w:r w:rsidR="00462246">
        <w:rPr>
          <w:rFonts w:ascii="Verdana" w:hAnsi="Verdana"/>
          <w:sz w:val="18"/>
          <w:szCs w:val="20"/>
        </w:rPr>
        <w:t>13</w:t>
      </w:r>
      <w:r w:rsidR="00103A51" w:rsidRPr="005332C7">
        <w:rPr>
          <w:rFonts w:ascii="Verdana" w:hAnsi="Verdana"/>
          <w:sz w:val="18"/>
          <w:szCs w:val="20"/>
        </w:rPr>
        <w:t xml:space="preserve"> </w:t>
      </w:r>
      <w:r w:rsidRPr="005332C7">
        <w:rPr>
          <w:rFonts w:ascii="Verdana" w:hAnsi="Verdana"/>
          <w:sz w:val="18"/>
          <w:szCs w:val="20"/>
        </w:rPr>
        <w:t>% contre les 6% imposé par l’artic</w:t>
      </w:r>
      <w:r w:rsidR="00103A51" w:rsidRPr="005332C7">
        <w:rPr>
          <w:rFonts w:ascii="Verdana" w:hAnsi="Verdana"/>
          <w:sz w:val="18"/>
          <w:szCs w:val="20"/>
        </w:rPr>
        <w:t>le L</w:t>
      </w:r>
      <w:r w:rsidR="00FA4F95" w:rsidRPr="005332C7">
        <w:rPr>
          <w:rFonts w:ascii="Verdana" w:hAnsi="Verdana"/>
          <w:sz w:val="18"/>
          <w:szCs w:val="20"/>
        </w:rPr>
        <w:t>.</w:t>
      </w:r>
      <w:r w:rsidR="00103A51" w:rsidRPr="005332C7">
        <w:rPr>
          <w:rFonts w:ascii="Verdana" w:hAnsi="Verdana"/>
          <w:sz w:val="18"/>
          <w:szCs w:val="20"/>
        </w:rPr>
        <w:t xml:space="preserve"> 5212-2 du code du travail.</w:t>
      </w:r>
    </w:p>
    <w:p w14:paraId="587D8EBE" w14:textId="77777777" w:rsidP="00103A51" w:rsidR="00103A51" w:rsidRDefault="00103A51" w:rsidRPr="005332C7">
      <w:pPr>
        <w:pStyle w:val="NormalWeb"/>
        <w:spacing w:after="0" w:afterAutospacing="0" w:before="0" w:beforeAutospacing="0"/>
        <w:jc w:val="both"/>
        <w:rPr>
          <w:rFonts w:ascii="Verdana" w:hAnsi="Verdana"/>
          <w:sz w:val="18"/>
          <w:szCs w:val="20"/>
        </w:rPr>
      </w:pPr>
    </w:p>
    <w:p w14:paraId="3B1DB171" w14:textId="0A913E33" w:rsidP="004F277B" w:rsidR="004F277B" w:rsidRDefault="00103A51" w:rsidRPr="005332C7">
      <w:pPr>
        <w:pStyle w:val="NormalWeb"/>
        <w:spacing w:after="0" w:afterAutospacing="0" w:before="0" w:beforeAutospacing="0"/>
        <w:jc w:val="both"/>
        <w:rPr>
          <w:rFonts w:ascii="Verdana" w:hAnsi="Verdana"/>
          <w:sz w:val="18"/>
          <w:szCs w:val="20"/>
        </w:rPr>
      </w:pPr>
      <w:r w:rsidRPr="005332C7">
        <w:rPr>
          <w:rFonts w:ascii="Verdana" w:cs="Times New Roman" w:hAnsi="Verdana"/>
          <w:sz w:val="18"/>
          <w:szCs w:val="20"/>
        </w:rPr>
        <w:t>Ainsi, les obligations imposées par l’article L. 5212-1 et suivants sont remplies.</w:t>
      </w:r>
    </w:p>
    <w:p w14:paraId="0DBE4125" w14:textId="77777777" w:rsidP="0048051C" w:rsidR="00ED7744" w:rsidRDefault="00ED7744">
      <w:pPr>
        <w:tabs>
          <w:tab w:pos="270" w:val="left"/>
          <w:tab w:pos="1170" w:val="left"/>
          <w:tab w:pos="2970" w:val="left"/>
        </w:tabs>
        <w:ind w:right="-82"/>
        <w:jc w:val="both"/>
        <w:rPr>
          <w:rFonts w:ascii="Verdana" w:cs="Arial" w:hAnsi="Verdana"/>
          <w:sz w:val="18"/>
          <w:szCs w:val="20"/>
        </w:rPr>
      </w:pPr>
    </w:p>
    <w:p w14:paraId="2018F217" w14:textId="2FB9A935" w:rsidP="0048051C" w:rsidR="003A70E6" w:rsidRDefault="00ED7744">
      <w:pPr>
        <w:tabs>
          <w:tab w:pos="270" w:val="left"/>
          <w:tab w:pos="1170" w:val="left"/>
          <w:tab w:pos="2970" w:val="left"/>
        </w:tabs>
        <w:ind w:right="-82"/>
        <w:jc w:val="both"/>
        <w:rPr>
          <w:rFonts w:ascii="Verdana" w:cs="Arial" w:hAnsi="Verdana"/>
          <w:sz w:val="18"/>
          <w:szCs w:val="20"/>
        </w:rPr>
      </w:pPr>
      <w:r>
        <w:rPr>
          <w:rFonts w:ascii="Verdana" w:cs="Arial" w:hAnsi="Verdana"/>
          <w:sz w:val="18"/>
          <w:szCs w:val="20"/>
        </w:rPr>
        <w:t>Il est rappelé que l</w:t>
      </w:r>
      <w:r w:rsidR="003A70E6" w:rsidRPr="008A6B57">
        <w:rPr>
          <w:rFonts w:ascii="Verdana" w:cs="Arial" w:hAnsi="Verdana"/>
          <w:sz w:val="18"/>
          <w:szCs w:val="20"/>
        </w:rPr>
        <w:t>a société s’engage à garantir les mêmes conditions d’accès à l’emploi lors de ses recrutements, en veillant à ce que le handicap soit compatible avec le type de poste proposé.</w:t>
      </w:r>
      <w:r w:rsidR="00755DFC">
        <w:rPr>
          <w:rFonts w:ascii="Verdana" w:cs="Arial" w:hAnsi="Verdana"/>
          <w:sz w:val="18"/>
          <w:szCs w:val="20"/>
        </w:rPr>
        <w:t xml:space="preserve"> Le handicap ne doit pas représenter un frein à l’évolution professionnelle. À ce titre l’entreprise s’engage à garantir : </w:t>
      </w:r>
    </w:p>
    <w:p w14:paraId="7848321D" w14:textId="3890AD1A" w:rsidP="00755DFC" w:rsidR="00755DFC" w:rsidRDefault="00755DFC" w:rsidRPr="00755DFC">
      <w:pPr>
        <w:numPr>
          <w:ilvl w:val="0"/>
          <w:numId w:val="22"/>
        </w:numPr>
        <w:tabs>
          <w:tab w:pos="270" w:val="left"/>
          <w:tab w:pos="1170" w:val="left"/>
          <w:tab w:pos="2970" w:val="left"/>
        </w:tabs>
        <w:ind w:right="-82"/>
        <w:jc w:val="both"/>
        <w:rPr>
          <w:rFonts w:ascii="Verdana" w:cs="Arial" w:hAnsi="Verdana"/>
          <w:sz w:val="18"/>
          <w:szCs w:val="20"/>
        </w:rPr>
      </w:pPr>
      <w:r w:rsidRPr="00755DFC">
        <w:rPr>
          <w:rFonts w:ascii="Verdana" w:cs="Arial" w:hAnsi="Verdana"/>
          <w:sz w:val="18"/>
          <w:szCs w:val="20"/>
        </w:rPr>
        <w:t>L’équité de traitement dans l’évolution professionnelle et salariale</w:t>
      </w:r>
      <w:r w:rsidR="00FA4F95">
        <w:rPr>
          <w:rFonts w:ascii="Verdana" w:cs="Arial" w:hAnsi="Verdana"/>
          <w:sz w:val="18"/>
          <w:szCs w:val="20"/>
        </w:rPr>
        <w:t> ;</w:t>
      </w:r>
    </w:p>
    <w:p w14:paraId="04B76BED" w14:textId="3A2B2AEE" w:rsidP="00755DFC" w:rsidR="00755DFC" w:rsidRDefault="00755DFC" w:rsidRPr="00755DFC">
      <w:pPr>
        <w:numPr>
          <w:ilvl w:val="0"/>
          <w:numId w:val="22"/>
        </w:numPr>
        <w:tabs>
          <w:tab w:pos="270" w:val="left"/>
          <w:tab w:pos="1170" w:val="left"/>
          <w:tab w:pos="2970" w:val="left"/>
        </w:tabs>
        <w:ind w:right="-82"/>
        <w:jc w:val="both"/>
        <w:rPr>
          <w:rFonts w:ascii="Verdana" w:cs="Arial" w:hAnsi="Verdana"/>
          <w:sz w:val="18"/>
          <w:szCs w:val="20"/>
        </w:rPr>
      </w:pPr>
      <w:r w:rsidRPr="00755DFC">
        <w:rPr>
          <w:rFonts w:ascii="Verdana" w:cs="Arial" w:hAnsi="Verdana"/>
          <w:sz w:val="18"/>
          <w:szCs w:val="20"/>
        </w:rPr>
        <w:t>L’égalité d’accès à la formation professionnelle</w:t>
      </w:r>
      <w:r w:rsidR="00FA4F95">
        <w:rPr>
          <w:rFonts w:ascii="Verdana" w:cs="Arial" w:hAnsi="Verdana"/>
          <w:sz w:val="18"/>
          <w:szCs w:val="20"/>
        </w:rPr>
        <w:t> ;</w:t>
      </w:r>
    </w:p>
    <w:p w14:paraId="0BB415D4" w14:textId="77777777" w:rsidP="00755DFC" w:rsidR="00755DFC" w:rsidRDefault="00755DFC" w:rsidRPr="00755DFC">
      <w:pPr>
        <w:numPr>
          <w:ilvl w:val="0"/>
          <w:numId w:val="22"/>
        </w:numPr>
        <w:tabs>
          <w:tab w:pos="270" w:val="left"/>
          <w:tab w:pos="1170" w:val="left"/>
          <w:tab w:pos="2970" w:val="left"/>
        </w:tabs>
        <w:ind w:right="-82"/>
        <w:jc w:val="both"/>
        <w:rPr>
          <w:rFonts w:ascii="Verdana" w:cs="Arial" w:hAnsi="Verdana"/>
          <w:sz w:val="18"/>
          <w:szCs w:val="20"/>
        </w:rPr>
      </w:pPr>
      <w:r w:rsidRPr="00755DFC">
        <w:rPr>
          <w:rFonts w:ascii="Verdana" w:cs="Arial" w:hAnsi="Verdana"/>
          <w:sz w:val="18"/>
          <w:szCs w:val="20"/>
        </w:rPr>
        <w:t>L’égalité des chances dans le cadre des promotions internes.</w:t>
      </w:r>
    </w:p>
    <w:p w14:paraId="780C118D" w14:textId="77777777" w:rsidP="0048051C" w:rsidR="00D4323E" w:rsidRDefault="00D4323E" w:rsidRPr="008A6B57">
      <w:pPr>
        <w:tabs>
          <w:tab w:pos="270" w:val="left"/>
          <w:tab w:pos="1170" w:val="left"/>
          <w:tab w:pos="2970" w:val="left"/>
        </w:tabs>
        <w:ind w:right="-82"/>
        <w:jc w:val="both"/>
        <w:rPr>
          <w:rFonts w:ascii="Verdana" w:cs="Arial" w:hAnsi="Verdana"/>
          <w:sz w:val="18"/>
          <w:szCs w:val="20"/>
        </w:rPr>
      </w:pPr>
    </w:p>
    <w:p w14:paraId="4C0B701A" w14:textId="32502B0F" w:rsidP="0048051C" w:rsidR="00CF0B5E" w:rsidRDefault="00755DFC">
      <w:pPr>
        <w:tabs>
          <w:tab w:pos="270" w:val="left"/>
          <w:tab w:pos="1170" w:val="left"/>
          <w:tab w:pos="2970" w:val="left"/>
        </w:tabs>
        <w:ind w:right="-82"/>
        <w:jc w:val="both"/>
        <w:rPr>
          <w:rFonts w:ascii="Verdana" w:cs="Arial" w:hAnsi="Verdana"/>
          <w:bCs/>
          <w:sz w:val="18"/>
          <w:szCs w:val="20"/>
        </w:rPr>
      </w:pPr>
      <w:r>
        <w:rPr>
          <w:rFonts w:ascii="Verdana" w:cs="Arial" w:hAnsi="Verdana"/>
          <w:bCs/>
          <w:sz w:val="18"/>
          <w:szCs w:val="20"/>
        </w:rPr>
        <w:t>Ainsi, la</w:t>
      </w:r>
      <w:r w:rsidR="008A6B57" w:rsidRPr="008A6B57">
        <w:rPr>
          <w:rFonts w:ascii="Verdana" w:cs="Arial" w:hAnsi="Verdana"/>
          <w:bCs/>
          <w:sz w:val="18"/>
          <w:szCs w:val="20"/>
        </w:rPr>
        <w:t xml:space="preserve"> Direction rappelle qu’aucune discrimination n’est pratiquée à l’éga</w:t>
      </w:r>
      <w:r>
        <w:rPr>
          <w:rFonts w:ascii="Verdana" w:cs="Arial" w:hAnsi="Verdana"/>
          <w:bCs/>
          <w:sz w:val="18"/>
          <w:szCs w:val="20"/>
        </w:rPr>
        <w:t>rd des travailleurs handicapés.</w:t>
      </w:r>
    </w:p>
    <w:p w14:paraId="2315567D" w14:textId="77777777" w:rsidP="0048051C" w:rsidR="00CF0B5E" w:rsidRDefault="00CF0B5E">
      <w:pPr>
        <w:tabs>
          <w:tab w:pos="270" w:val="left"/>
          <w:tab w:pos="1170" w:val="left"/>
          <w:tab w:pos="2970" w:val="left"/>
        </w:tabs>
        <w:ind w:right="-82"/>
        <w:jc w:val="both"/>
        <w:rPr>
          <w:rFonts w:ascii="Verdana" w:cs="Arial" w:hAnsi="Verdana"/>
          <w:bCs/>
          <w:sz w:val="18"/>
          <w:szCs w:val="20"/>
        </w:rPr>
      </w:pPr>
    </w:p>
    <w:p w14:paraId="020A4D15" w14:textId="6FD304E5" w:rsidP="0048051C" w:rsidR="000422E2" w:rsidRDefault="00755DFC" w:rsidRPr="008A6B57">
      <w:pPr>
        <w:tabs>
          <w:tab w:pos="270" w:val="left"/>
          <w:tab w:pos="1170" w:val="left"/>
          <w:tab w:pos="2970" w:val="left"/>
        </w:tabs>
        <w:ind w:right="-82"/>
        <w:jc w:val="both"/>
        <w:rPr>
          <w:rFonts w:ascii="Verdana" w:cs="Arial" w:hAnsi="Verdana"/>
          <w:sz w:val="18"/>
          <w:szCs w:val="20"/>
        </w:rPr>
      </w:pPr>
      <w:r>
        <w:rPr>
          <w:rFonts w:ascii="Verdana" w:cs="Arial" w:hAnsi="Verdana"/>
          <w:bCs/>
          <w:sz w:val="18"/>
          <w:szCs w:val="20"/>
        </w:rPr>
        <w:t>L</w:t>
      </w:r>
      <w:r w:rsidR="000422E2" w:rsidRPr="008A6B57">
        <w:rPr>
          <w:rFonts w:ascii="Verdana" w:cs="Arial" w:hAnsi="Verdana"/>
          <w:sz w:val="18"/>
          <w:szCs w:val="20"/>
        </w:rPr>
        <w:t>es parties du présent accord confirment leur volonté de favoriser l’intégration en son sein des personnes handicapées à travers les actions suivantes :</w:t>
      </w:r>
    </w:p>
    <w:p w14:paraId="6F35074B" w14:textId="77777777" w:rsidP="0048051C" w:rsidR="000422E2" w:rsidRDefault="000422E2"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cs="Arial" w:hAnsi="Verdana"/>
          <w:sz w:val="18"/>
          <w:szCs w:val="20"/>
        </w:rPr>
        <w:t>L’accès à la formation professionnelle pour les travailleurs handicapés dans les mêmes conditions que les autres salariés. Ils pourront saisir le responsable des ressources humaines pour que soit examiné leur parcours de formation et les besoins qu’ils estiment nécessaires. L’examen de chaque situation pourra être effectuée en dehors des entretiens professionnels ;</w:t>
      </w:r>
    </w:p>
    <w:p w14:paraId="319763C5" w14:textId="655CD372" w:rsidP="0048051C" w:rsidR="00D96D25" w:rsidRDefault="00D96D25"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cs="Arial" w:hAnsi="Verdana"/>
          <w:sz w:val="18"/>
          <w:szCs w:val="20"/>
        </w:rPr>
        <w:t>Les éventuelles recherches d'emploi faites par la société devront n'avoir aucune référence au handicap ou quelconque terminologie discriminante ;</w:t>
      </w:r>
    </w:p>
    <w:p w14:paraId="3FB97049" w14:textId="29EC2FA9" w:rsidP="0048051C" w:rsidR="00D96D25" w:rsidRDefault="00D96D25"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cs="Arial" w:hAnsi="Verdana"/>
          <w:sz w:val="18"/>
          <w:szCs w:val="20"/>
        </w:rPr>
        <w:lastRenderedPageBreak/>
        <w:t>Les entretiens de recrutement sont identiques et toutes questions pouvant se révéler discriminante est proscrite ;</w:t>
      </w:r>
    </w:p>
    <w:p w14:paraId="64ED2D93" w14:textId="3F3725DE" w:rsidP="0048051C" w:rsidR="00D96D25" w:rsidRDefault="00D96D25"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cs="Arial" w:hAnsi="Verdana"/>
          <w:sz w:val="18"/>
          <w:szCs w:val="20"/>
        </w:rPr>
        <w:t>Adapter le poste de travail au handicap ;</w:t>
      </w:r>
    </w:p>
    <w:p w14:paraId="6065C8F9" w14:textId="77777777" w:rsidP="0048051C" w:rsidR="000422E2" w:rsidRDefault="000422E2"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hAnsi="Verdana"/>
          <w:sz w:val="18"/>
          <w:szCs w:val="20"/>
        </w:rPr>
        <w:t>Atteindre les 6% de travailleurs handicapés dans l’entreprise en respectant la législation ;</w:t>
      </w:r>
    </w:p>
    <w:p w14:paraId="3BDBD4B2" w14:textId="77777777" w:rsidP="0048051C" w:rsidR="000422E2" w:rsidRDefault="000422E2"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hAnsi="Verdana"/>
          <w:sz w:val="18"/>
          <w:szCs w:val="20"/>
        </w:rPr>
        <w:t>La bonne intégration des travailleurs handicapés ;</w:t>
      </w:r>
    </w:p>
    <w:p w14:paraId="7B7B7B24" w14:textId="77777777" w:rsidP="0048051C" w:rsidR="000422E2" w:rsidRDefault="000422E2"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hAnsi="Verdana"/>
          <w:sz w:val="18"/>
          <w:szCs w:val="20"/>
        </w:rPr>
        <w:t>La sensibilisation les équipes ;</w:t>
      </w:r>
    </w:p>
    <w:p w14:paraId="0BF1BDA7" w14:textId="77777777" w:rsidP="0048051C" w:rsidR="000422E2" w:rsidRDefault="000422E2"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hAnsi="Verdana"/>
          <w:sz w:val="18"/>
          <w:szCs w:val="20"/>
        </w:rPr>
        <w:t>Véhiculer l’image d’une entreprise engagée ;</w:t>
      </w:r>
    </w:p>
    <w:p w14:paraId="6D043C42" w14:textId="5ADB8149" w:rsidP="00755DFC" w:rsidR="000422E2" w:rsidRDefault="00755DFC"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hAnsi="Verdana"/>
          <w:sz w:val="18"/>
          <w:szCs w:val="20"/>
        </w:rPr>
        <w:t xml:space="preserve">Réunions avec les </w:t>
      </w:r>
      <w:r w:rsidR="009A0F4E" w:rsidRPr="007C1D0C">
        <w:rPr>
          <w:rFonts w:ascii="Verdana" w:hAnsi="Verdana"/>
          <w:sz w:val="18"/>
          <w:szCs w:val="20"/>
        </w:rPr>
        <w:t>IRPP</w:t>
      </w:r>
      <w:r w:rsidRPr="007C1D0C">
        <w:rPr>
          <w:rFonts w:ascii="Verdana" w:hAnsi="Verdana"/>
          <w:sz w:val="18"/>
          <w:szCs w:val="20"/>
        </w:rPr>
        <w:t xml:space="preserve"> et r</w:t>
      </w:r>
      <w:r w:rsidR="000422E2" w:rsidRPr="007C1D0C">
        <w:rPr>
          <w:rFonts w:ascii="Verdana" w:hAnsi="Verdana"/>
          <w:sz w:val="18"/>
          <w:szCs w:val="20"/>
        </w:rPr>
        <w:t>éunions avec les différents responsables de service ;</w:t>
      </w:r>
    </w:p>
    <w:p w14:paraId="5688A6D0" w14:textId="77777777" w:rsidP="0048051C" w:rsidR="000422E2" w:rsidRDefault="000422E2"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hAnsi="Verdana"/>
          <w:sz w:val="18"/>
          <w:szCs w:val="20"/>
        </w:rPr>
        <w:t>Communiquer avec les différents prestataires ;</w:t>
      </w:r>
    </w:p>
    <w:p w14:paraId="16884E00" w14:textId="4B2E5BAE" w:rsidP="0048051C" w:rsidR="00CF0B5E" w:rsidRDefault="000422E2" w:rsidRPr="007C1D0C">
      <w:pPr>
        <w:pStyle w:val="NormalWeb"/>
        <w:numPr>
          <w:ilvl w:val="0"/>
          <w:numId w:val="6"/>
        </w:numPr>
        <w:spacing w:after="0" w:afterAutospacing="0" w:before="0" w:beforeAutospacing="0"/>
        <w:ind w:left="530"/>
        <w:jc w:val="both"/>
        <w:rPr>
          <w:rFonts w:ascii="Verdana" w:cs="Arial" w:hAnsi="Verdana"/>
          <w:sz w:val="18"/>
          <w:szCs w:val="20"/>
        </w:rPr>
      </w:pPr>
      <w:r w:rsidRPr="007C1D0C">
        <w:rPr>
          <w:rFonts w:ascii="Verdana" w:hAnsi="Verdana"/>
          <w:sz w:val="18"/>
          <w:szCs w:val="20"/>
        </w:rPr>
        <w:t>Aborder le handicap l</w:t>
      </w:r>
      <w:r w:rsidR="00D96D25" w:rsidRPr="007C1D0C">
        <w:rPr>
          <w:rFonts w:ascii="Verdana" w:hAnsi="Verdana"/>
          <w:sz w:val="18"/>
          <w:szCs w:val="20"/>
        </w:rPr>
        <w:t>ors des entretiens individuels.</w:t>
      </w:r>
    </w:p>
    <w:p w14:paraId="6609C40B" w14:textId="77777777" w:rsidP="0048051C" w:rsidR="000422E2" w:rsidRDefault="000422E2">
      <w:pPr>
        <w:pStyle w:val="Sansinterligne"/>
        <w:jc w:val="both"/>
        <w:rPr>
          <w:rFonts w:ascii="Verdana" w:hAnsi="Verdana"/>
          <w:sz w:val="18"/>
          <w:szCs w:val="20"/>
        </w:rPr>
      </w:pPr>
    </w:p>
    <w:p w14:paraId="1FB2D03C" w14:textId="4FB4E1CA" w:rsidP="0048051C" w:rsidR="00F53461" w:rsidRDefault="00BE04A1" w:rsidRPr="00FC3344">
      <w:pPr>
        <w:pStyle w:val="Sansinterligne"/>
        <w:jc w:val="both"/>
        <w:rPr>
          <w:rFonts w:ascii="Verdana" w:hAnsi="Verdana"/>
          <w:b/>
          <w:sz w:val="18"/>
          <w:szCs w:val="20"/>
          <w:u w:val="single"/>
        </w:rPr>
      </w:pPr>
      <w:r>
        <w:rPr>
          <w:rFonts w:ascii="Verdana" w:hAnsi="Verdana"/>
          <w:b/>
          <w:sz w:val="18"/>
          <w:szCs w:val="20"/>
          <w:u w:val="single"/>
        </w:rPr>
        <w:t>ARTICLE 6</w:t>
      </w:r>
      <w:r w:rsidR="00F53461" w:rsidRPr="00FC3344">
        <w:rPr>
          <w:rFonts w:ascii="Verdana" w:hAnsi="Verdana"/>
          <w:b/>
          <w:sz w:val="18"/>
          <w:szCs w:val="20"/>
          <w:u w:val="single"/>
        </w:rPr>
        <w:t> : L</w:t>
      </w:r>
      <w:r w:rsidR="000422E2" w:rsidRPr="00FC3344">
        <w:rPr>
          <w:rFonts w:ascii="Verdana" w:hAnsi="Verdana"/>
          <w:b/>
          <w:sz w:val="18"/>
          <w:szCs w:val="20"/>
          <w:u w:val="single"/>
        </w:rPr>
        <w:t>a prévoyance</w:t>
      </w:r>
      <w:r w:rsidR="00C74C2C" w:rsidRPr="00FC3344">
        <w:rPr>
          <w:rFonts w:ascii="Verdana" w:hAnsi="Verdana"/>
          <w:b/>
          <w:sz w:val="18"/>
          <w:szCs w:val="20"/>
          <w:u w:val="single"/>
        </w:rPr>
        <w:t xml:space="preserve"> et la mutuelle</w:t>
      </w:r>
    </w:p>
    <w:p w14:paraId="29EB5967" w14:textId="77777777" w:rsidP="0048051C" w:rsidR="00A40B6B" w:rsidRDefault="00A40B6B">
      <w:pPr>
        <w:pStyle w:val="Sansinterligne"/>
        <w:jc w:val="both"/>
        <w:rPr>
          <w:rFonts w:ascii="Verdana" w:hAnsi="Verdana"/>
          <w:sz w:val="18"/>
          <w:szCs w:val="20"/>
        </w:rPr>
      </w:pPr>
    </w:p>
    <w:p w14:paraId="52B9BA2E" w14:textId="77777777" w:rsidP="00E05814" w:rsidR="00E05814" w:rsidRDefault="00E05814" w:rsidRPr="00E05814">
      <w:pPr>
        <w:pStyle w:val="Sansinterligne"/>
        <w:rPr>
          <w:rFonts w:ascii="Verdana" w:hAnsi="Verdana"/>
          <w:sz w:val="18"/>
          <w:szCs w:val="20"/>
        </w:rPr>
      </w:pPr>
      <w:r w:rsidRPr="00E05814">
        <w:rPr>
          <w:rFonts w:ascii="Verdana" w:hAnsi="Verdana"/>
          <w:sz w:val="18"/>
          <w:szCs w:val="20"/>
        </w:rPr>
        <w:t xml:space="preserve">L’employeur s’engage à mettre à disposition des salariés, l’information concernant l’objet, les conditions d’accès et le montant des garanties collectives offertes par l’entreprise. </w:t>
      </w:r>
    </w:p>
    <w:p w14:paraId="05C0158C" w14:textId="77777777" w:rsidP="0048051C" w:rsidR="00E05814" w:rsidRDefault="00E05814">
      <w:pPr>
        <w:pStyle w:val="Sansinterligne"/>
        <w:jc w:val="both"/>
        <w:rPr>
          <w:rFonts w:ascii="Verdana" w:hAnsi="Verdana"/>
          <w:sz w:val="18"/>
          <w:szCs w:val="20"/>
        </w:rPr>
      </w:pPr>
    </w:p>
    <w:p w14:paraId="2A4AF2C6" w14:textId="3D988BCB" w:rsidP="005332C7" w:rsidR="005332C7" w:rsidRDefault="005332C7">
      <w:pPr>
        <w:pStyle w:val="Sansinterligne"/>
        <w:jc w:val="both"/>
        <w:rPr>
          <w:rFonts w:ascii="Verdana" w:hAnsi="Verdana"/>
          <w:sz w:val="18"/>
          <w:szCs w:val="20"/>
        </w:rPr>
      </w:pPr>
      <w:r>
        <w:rPr>
          <w:rFonts w:ascii="Verdana" w:hAnsi="Verdana"/>
          <w:sz w:val="18"/>
          <w:szCs w:val="20"/>
        </w:rPr>
        <w:t>En matière de prévoyance, la Direction précise que la société est dotée d’un régime de prévoyance obligatoire en vertu de l’accord de prévoyance du 20 avril 2016 concernant le décès et l’invalidité des salariés relevant de la convention collective du transport routier de marchandises et dont le contrat d’adhésion est obligatoire.</w:t>
      </w:r>
    </w:p>
    <w:p w14:paraId="2037C51D" w14:textId="77777777" w:rsidP="005332C7" w:rsidR="005332C7" w:rsidRDefault="005332C7">
      <w:pPr>
        <w:pStyle w:val="Sansinterligne"/>
        <w:jc w:val="both"/>
        <w:rPr>
          <w:rFonts w:ascii="Verdana" w:hAnsi="Verdana"/>
          <w:sz w:val="18"/>
          <w:szCs w:val="20"/>
        </w:rPr>
      </w:pPr>
    </w:p>
    <w:p w14:paraId="16919F43" w14:textId="37D1A0D2" w:rsidP="005332C7" w:rsidR="005332C7" w:rsidRDefault="009A0F4E">
      <w:pPr>
        <w:pStyle w:val="Sansinterligne"/>
        <w:jc w:val="both"/>
        <w:rPr>
          <w:rFonts w:ascii="Verdana" w:hAnsi="Verdana"/>
          <w:sz w:val="18"/>
          <w:szCs w:val="20"/>
        </w:rPr>
      </w:pPr>
      <w:r>
        <w:rPr>
          <w:rFonts w:ascii="Verdana" w:hAnsi="Verdana"/>
          <w:sz w:val="18"/>
          <w:szCs w:val="20"/>
        </w:rPr>
        <w:t>Étant rappelé qu’un contrat de complémentaire santé est en place dans la société depuis de nombreuses années. Celui-ci permet de compléter les remboursements servis par le régime de base de la Sécurité social</w:t>
      </w:r>
      <w:r w:rsidR="00C0611F">
        <w:rPr>
          <w:rFonts w:ascii="Verdana" w:hAnsi="Verdana"/>
          <w:sz w:val="18"/>
          <w:szCs w:val="20"/>
        </w:rPr>
        <w:t>e</w:t>
      </w:r>
      <w:r>
        <w:rPr>
          <w:rFonts w:ascii="Verdana" w:hAnsi="Verdana"/>
          <w:sz w:val="18"/>
          <w:szCs w:val="20"/>
        </w:rPr>
        <w:t xml:space="preserve"> relatifs aux frais exposés en cas de maladie, maternité ou accident. </w:t>
      </w:r>
    </w:p>
    <w:p w14:paraId="3D1AC0F3" w14:textId="77777777" w:rsidP="005332C7" w:rsidR="009A0F4E" w:rsidRDefault="009A0F4E">
      <w:pPr>
        <w:pStyle w:val="Sansinterligne"/>
        <w:jc w:val="both"/>
        <w:rPr>
          <w:rFonts w:ascii="Verdana" w:hAnsi="Verdana"/>
          <w:sz w:val="18"/>
          <w:szCs w:val="20"/>
        </w:rPr>
      </w:pPr>
    </w:p>
    <w:p w14:paraId="2D731342" w14:textId="5EF6E2D1" w:rsidP="0048051C" w:rsidR="000422E2" w:rsidRDefault="00BE04A1" w:rsidRPr="000A1E60">
      <w:pPr>
        <w:pStyle w:val="Sansinterligne"/>
        <w:jc w:val="both"/>
        <w:rPr>
          <w:rFonts w:ascii="Verdana" w:hAnsi="Verdana"/>
          <w:b/>
          <w:sz w:val="18"/>
          <w:szCs w:val="20"/>
          <w:u w:val="single"/>
        </w:rPr>
      </w:pPr>
      <w:r>
        <w:rPr>
          <w:rFonts w:ascii="Verdana" w:hAnsi="Verdana"/>
          <w:b/>
          <w:sz w:val="18"/>
          <w:szCs w:val="20"/>
          <w:u w:val="single"/>
        </w:rPr>
        <w:t>ARTICLE 7</w:t>
      </w:r>
      <w:r w:rsidR="000422E2" w:rsidRPr="000A1E60">
        <w:rPr>
          <w:rFonts w:ascii="Verdana" w:hAnsi="Verdana"/>
          <w:b/>
          <w:sz w:val="18"/>
          <w:szCs w:val="20"/>
          <w:u w:val="single"/>
        </w:rPr>
        <w:t> : Le droit d’expression directe et collective des salariés</w:t>
      </w:r>
    </w:p>
    <w:p w14:paraId="32B6A7AA" w14:textId="77777777" w:rsidP="00B061B7" w:rsidR="000422E2" w:rsidRDefault="000422E2" w:rsidRPr="000A1E60">
      <w:pPr>
        <w:pStyle w:val="Sansinterligne"/>
        <w:jc w:val="both"/>
        <w:rPr>
          <w:rFonts w:ascii="Verdana" w:hAnsi="Verdana"/>
          <w:sz w:val="18"/>
          <w:szCs w:val="20"/>
        </w:rPr>
      </w:pPr>
    </w:p>
    <w:p w14:paraId="244AF2AF" w14:textId="77777777" w:rsidP="00B061B7" w:rsidR="00B061B7" w:rsidRDefault="00B061B7" w:rsidRPr="000A1E60">
      <w:pPr>
        <w:pStyle w:val="Sansinterligne"/>
        <w:jc w:val="both"/>
        <w:rPr>
          <w:rFonts w:ascii="Verdana" w:hAnsi="Verdana"/>
          <w:sz w:val="18"/>
          <w:szCs w:val="20"/>
        </w:rPr>
      </w:pPr>
      <w:r w:rsidRPr="000A1E60">
        <w:rPr>
          <w:rFonts w:ascii="Verdana" w:hAnsi="Verdana"/>
          <w:sz w:val="18"/>
          <w:szCs w:val="20"/>
        </w:rPr>
        <w:t xml:space="preserve">« La </w:t>
      </w:r>
      <w:r w:rsidRPr="000A1E60">
        <w:rPr>
          <w:rFonts w:ascii="Verdana" w:hAnsi="Verdana"/>
          <w:i/>
          <w:sz w:val="18"/>
          <w:szCs w:val="20"/>
        </w:rPr>
        <w:t>possibilité donnée aux salariés de s’exprimer sur leur travail, sur la qualité des biens et services qu’ils produisent, sur les conditions d’exercice du travail et sur l’efficacité du travail est l’un des éléments favorisant leur perception de la qualité de vie au travail et du sens donné au travail </w:t>
      </w:r>
      <w:r w:rsidRPr="000A1E60">
        <w:rPr>
          <w:rFonts w:ascii="Verdana" w:hAnsi="Verdana"/>
          <w:sz w:val="18"/>
          <w:szCs w:val="20"/>
        </w:rPr>
        <w:t>» (ANI du 19 juin 2013 relatif à l’amélioration de la qualité de vie au travail et de l’égalité professionnelle).</w:t>
      </w:r>
    </w:p>
    <w:p w14:paraId="6A4CF9D0" w14:textId="77777777" w:rsidP="00B061B7" w:rsidR="00B061B7" w:rsidRDefault="00B061B7" w:rsidRPr="000A1E60">
      <w:pPr>
        <w:pStyle w:val="Sansinterligne"/>
        <w:jc w:val="both"/>
        <w:rPr>
          <w:rFonts w:ascii="Verdana" w:hAnsi="Verdana"/>
          <w:sz w:val="18"/>
          <w:szCs w:val="20"/>
        </w:rPr>
      </w:pPr>
    </w:p>
    <w:p w14:paraId="2618A364" w14:textId="77777777" w:rsidP="00B061B7" w:rsidR="00B061B7" w:rsidRDefault="00B061B7" w:rsidRPr="000A1E60">
      <w:pPr>
        <w:pStyle w:val="Sansinterligne"/>
        <w:jc w:val="both"/>
        <w:rPr>
          <w:rFonts w:ascii="Verdana" w:hAnsi="Verdana"/>
          <w:sz w:val="18"/>
          <w:szCs w:val="20"/>
        </w:rPr>
      </w:pPr>
      <w:r w:rsidRPr="000A1E60">
        <w:rPr>
          <w:rFonts w:ascii="Verdana" w:hAnsi="Verdana"/>
          <w:sz w:val="18"/>
          <w:szCs w:val="20"/>
        </w:rPr>
        <w:t xml:space="preserve">Ainsi, les parties signataires conviennent d’un droit d’expression des collaborateurs sur le contenu, les conditions d’exercice et l’organisation de leur travail. Il a pour objet de définir notamment les actions à mettre en œuvre pour améliorer leurs conditions de travail et l’organisation de l’activité. </w:t>
      </w:r>
    </w:p>
    <w:p w14:paraId="1A40EC5A" w14:textId="77777777" w:rsidP="00B061B7" w:rsidR="00B061B7" w:rsidRDefault="00B061B7" w:rsidRPr="00734FFE">
      <w:pPr>
        <w:pStyle w:val="Sansinterligne"/>
        <w:jc w:val="both"/>
        <w:rPr>
          <w:rFonts w:ascii="Verdana" w:hAnsi="Verdana"/>
          <w:sz w:val="18"/>
          <w:szCs w:val="20"/>
          <w:highlight w:val="yellow"/>
        </w:rPr>
      </w:pPr>
    </w:p>
    <w:p w14:paraId="47B7F4F0" w14:textId="77777777" w:rsidP="00B061B7" w:rsidR="00B061B7" w:rsidRDefault="00B061B7" w:rsidRPr="000A1E60">
      <w:pPr>
        <w:pStyle w:val="Sansinterligne"/>
        <w:jc w:val="both"/>
        <w:rPr>
          <w:rFonts w:ascii="Verdana" w:hAnsi="Verdana"/>
          <w:sz w:val="18"/>
          <w:szCs w:val="20"/>
        </w:rPr>
      </w:pPr>
      <w:r w:rsidRPr="000A1E60">
        <w:rPr>
          <w:rFonts w:ascii="Verdana" w:hAnsi="Verdana"/>
          <w:sz w:val="18"/>
          <w:szCs w:val="20"/>
        </w:rPr>
        <w:t>En outre, les Parties signataires souhaitent que chaque collaborateur soit investi dans son poste en étant moteur d’idées, de nouveautés et d’opinions permettant de faire évoluer l’entreprise.</w:t>
      </w:r>
    </w:p>
    <w:p w14:paraId="773C7686" w14:textId="77777777" w:rsidP="00B061B7" w:rsidR="00B061B7" w:rsidRDefault="00B061B7" w:rsidRPr="000A1E60">
      <w:pPr>
        <w:pStyle w:val="Sansinterligne"/>
        <w:jc w:val="both"/>
        <w:rPr>
          <w:rFonts w:ascii="Verdana" w:hAnsi="Verdana"/>
          <w:sz w:val="18"/>
          <w:szCs w:val="20"/>
        </w:rPr>
      </w:pPr>
    </w:p>
    <w:p w14:paraId="659BDCA0" w14:textId="77777777" w:rsidP="0048051C" w:rsidR="005549F8" w:rsidRDefault="005549F8" w:rsidRPr="000A1E60">
      <w:pPr>
        <w:pStyle w:val="Sansinterligne"/>
        <w:jc w:val="both"/>
        <w:rPr>
          <w:rFonts w:ascii="Verdana" w:hAnsi="Verdana"/>
          <w:sz w:val="18"/>
          <w:szCs w:val="20"/>
        </w:rPr>
      </w:pPr>
      <w:r w:rsidRPr="000A1E60">
        <w:rPr>
          <w:rFonts w:ascii="Verdana" w:hAnsi="Verdana"/>
          <w:sz w:val="18"/>
          <w:szCs w:val="20"/>
        </w:rPr>
        <w:t>Les parties soulignent l’importance de la qualité des relations de travail avec la hiérarchie et entre collègues, laquelle contribue largement à la motivation au travail. En effet, l’existence d’un corps social, solide et uni favorise l’implication dans le travail et le bien-être des salariés au travail.</w:t>
      </w:r>
    </w:p>
    <w:p w14:paraId="276BE056" w14:textId="77777777" w:rsidP="0048051C" w:rsidR="005549F8" w:rsidRDefault="005549F8" w:rsidRPr="000A1E60">
      <w:pPr>
        <w:pStyle w:val="Sansinterligne"/>
        <w:jc w:val="both"/>
        <w:rPr>
          <w:rFonts w:ascii="Verdana" w:hAnsi="Verdana"/>
          <w:sz w:val="18"/>
          <w:szCs w:val="20"/>
        </w:rPr>
      </w:pPr>
    </w:p>
    <w:p w14:paraId="708A0088" w14:textId="77777777" w:rsidP="0048051C" w:rsidR="005549F8" w:rsidRDefault="005549F8" w:rsidRPr="000A1E60">
      <w:pPr>
        <w:pStyle w:val="Sansinterligne"/>
        <w:jc w:val="both"/>
        <w:rPr>
          <w:rFonts w:ascii="Verdana" w:hAnsi="Verdana"/>
          <w:sz w:val="18"/>
          <w:szCs w:val="20"/>
        </w:rPr>
      </w:pPr>
      <w:r w:rsidRPr="000A1E60">
        <w:rPr>
          <w:rFonts w:ascii="Verdana" w:hAnsi="Verdana"/>
          <w:sz w:val="18"/>
          <w:szCs w:val="20"/>
        </w:rPr>
        <w:t xml:space="preserve">Les réunions d’équipe constituent un moment privilégié permettant aux équipes d’échanger, dans l’écoute et le respect de chacun, entre collègues et avec le manager, tant pour fixer et partager les objectifs collectifs que pour échanger, aussi, sur le vécu et la qualité du travail de chacun. </w:t>
      </w:r>
    </w:p>
    <w:p w14:paraId="79435192" w14:textId="77777777" w:rsidP="0048051C" w:rsidR="005549F8" w:rsidRDefault="005549F8" w:rsidRPr="000A1E60">
      <w:pPr>
        <w:pStyle w:val="Sansinterligne"/>
        <w:jc w:val="both"/>
        <w:rPr>
          <w:rFonts w:ascii="Verdana" w:hAnsi="Verdana"/>
          <w:sz w:val="18"/>
          <w:szCs w:val="20"/>
        </w:rPr>
      </w:pPr>
    </w:p>
    <w:p w14:paraId="269D4B19" w14:textId="77777777" w:rsidP="0048051C" w:rsidR="005549F8" w:rsidRDefault="005549F8" w:rsidRPr="000A1E60">
      <w:pPr>
        <w:pStyle w:val="Sansinterligne"/>
        <w:jc w:val="both"/>
        <w:rPr>
          <w:rFonts w:ascii="Verdana" w:hAnsi="Verdana"/>
          <w:sz w:val="18"/>
          <w:szCs w:val="20"/>
        </w:rPr>
      </w:pPr>
      <w:r w:rsidRPr="000A1E60">
        <w:rPr>
          <w:rFonts w:ascii="Verdana" w:hAnsi="Verdana"/>
          <w:sz w:val="18"/>
          <w:szCs w:val="20"/>
        </w:rPr>
        <w:t xml:space="preserve">Ces échanges doivent contribuer à développer un climat de confiance réciproque et favoriser un esprit d’équipe empreint de collaboration et d’entraide. </w:t>
      </w:r>
    </w:p>
    <w:p w14:paraId="7B56B7B3" w14:textId="77777777" w:rsidP="0048051C" w:rsidR="005549F8" w:rsidRDefault="005549F8" w:rsidRPr="000A1E60">
      <w:pPr>
        <w:pStyle w:val="Sansinterligne"/>
        <w:jc w:val="both"/>
        <w:rPr>
          <w:rFonts w:ascii="Verdana" w:hAnsi="Verdana"/>
          <w:sz w:val="18"/>
          <w:szCs w:val="20"/>
        </w:rPr>
      </w:pPr>
    </w:p>
    <w:p w14:paraId="48D24204" w14:textId="77777777" w:rsidP="0048051C" w:rsidR="005549F8" w:rsidRDefault="005549F8">
      <w:pPr>
        <w:pStyle w:val="Sansinterligne"/>
        <w:jc w:val="both"/>
        <w:rPr>
          <w:rFonts w:ascii="Verdana" w:hAnsi="Verdana"/>
          <w:sz w:val="18"/>
          <w:szCs w:val="20"/>
        </w:rPr>
      </w:pPr>
      <w:r w:rsidRPr="000A1E60">
        <w:rPr>
          <w:rFonts w:ascii="Verdana" w:hAnsi="Verdana"/>
          <w:sz w:val="18"/>
          <w:szCs w:val="20"/>
        </w:rPr>
        <w:t>Par ailleurs, la Direction pourra également expérimenter au travers d’une méthodologie adaptée des moments d’échanges plus informels destinés à l’expression des salariés, dans un objectif de partage.</w:t>
      </w:r>
    </w:p>
    <w:p w14:paraId="409AB1C2" w14:textId="77777777" w:rsidP="0048051C" w:rsidR="00D56D31" w:rsidRDefault="00D56D31">
      <w:pPr>
        <w:pStyle w:val="Sansinterligne"/>
        <w:jc w:val="both"/>
        <w:rPr>
          <w:rFonts w:ascii="Verdana" w:hAnsi="Verdana"/>
          <w:sz w:val="18"/>
          <w:szCs w:val="20"/>
        </w:rPr>
      </w:pPr>
    </w:p>
    <w:p w14:paraId="09A23B31" w14:textId="0BC0D41D" w:rsidP="0048051C" w:rsidR="00D56D31" w:rsidRDefault="00D56D31" w:rsidRPr="007C1D0C">
      <w:pPr>
        <w:pStyle w:val="Sansinterligne"/>
        <w:jc w:val="both"/>
        <w:rPr>
          <w:rFonts w:ascii="Verdana" w:hAnsi="Verdana"/>
          <w:iCs/>
          <w:sz w:val="18"/>
          <w:szCs w:val="20"/>
        </w:rPr>
      </w:pPr>
      <w:r w:rsidRPr="007C1D0C">
        <w:rPr>
          <w:rFonts w:ascii="Verdana" w:hAnsi="Verdana"/>
          <w:iCs/>
          <w:sz w:val="18"/>
          <w:szCs w:val="20"/>
        </w:rPr>
        <w:t xml:space="preserve">À ce titre, la Direction rappelle les principales actions mises en œuvre au sein de la société </w:t>
      </w:r>
      <w:r w:rsidR="003730FE">
        <w:rPr>
          <w:rFonts w:ascii="Verdana" w:hAnsi="Verdana"/>
          <w:iCs/>
          <w:sz w:val="18"/>
          <w:szCs w:val="20"/>
        </w:rPr>
        <w:t>DELTA ROUTE</w:t>
      </w:r>
      <w:r w:rsidR="001C462C" w:rsidRPr="007C1D0C">
        <w:rPr>
          <w:rFonts w:ascii="Verdana" w:hAnsi="Verdana"/>
          <w:iCs/>
          <w:sz w:val="18"/>
          <w:szCs w:val="20"/>
        </w:rPr>
        <w:t> :</w:t>
      </w:r>
    </w:p>
    <w:p w14:paraId="4AAC7190" w14:textId="7761342C" w:rsidP="001C462C" w:rsidR="001C462C" w:rsidRDefault="001C462C" w:rsidRPr="007C1D0C">
      <w:pPr>
        <w:pStyle w:val="Sansinterligne"/>
        <w:numPr>
          <w:ilvl w:val="0"/>
          <w:numId w:val="6"/>
        </w:numPr>
        <w:jc w:val="both"/>
        <w:rPr>
          <w:rFonts w:ascii="Verdana" w:hAnsi="Verdana"/>
          <w:sz w:val="18"/>
          <w:szCs w:val="20"/>
        </w:rPr>
      </w:pPr>
      <w:r w:rsidRPr="007C1D0C">
        <w:rPr>
          <w:rFonts w:ascii="Verdana" w:hAnsi="Verdana"/>
          <w:sz w:val="18"/>
          <w:szCs w:val="20"/>
        </w:rPr>
        <w:t xml:space="preserve">Les entretiens annuels d’évaluation, </w:t>
      </w:r>
    </w:p>
    <w:p w14:paraId="20F73789" w14:textId="2B72944F" w:rsidP="001C462C" w:rsidR="001C462C" w:rsidRDefault="001C462C" w:rsidRPr="007C1D0C">
      <w:pPr>
        <w:pStyle w:val="Sansinterligne"/>
        <w:numPr>
          <w:ilvl w:val="0"/>
          <w:numId w:val="6"/>
        </w:numPr>
        <w:jc w:val="both"/>
        <w:rPr>
          <w:rFonts w:ascii="Verdana" w:hAnsi="Verdana"/>
          <w:sz w:val="18"/>
          <w:szCs w:val="20"/>
        </w:rPr>
      </w:pPr>
      <w:r w:rsidRPr="007C1D0C">
        <w:rPr>
          <w:rFonts w:ascii="Verdana" w:hAnsi="Verdana"/>
          <w:sz w:val="18"/>
          <w:szCs w:val="20"/>
        </w:rPr>
        <w:t>Les réunions de service,</w:t>
      </w:r>
    </w:p>
    <w:p w14:paraId="1B49B752" w14:textId="76E82A1F" w:rsidP="001C462C" w:rsidR="001C462C" w:rsidRDefault="001C462C" w:rsidRPr="007C1D0C">
      <w:pPr>
        <w:pStyle w:val="Sansinterligne"/>
        <w:numPr>
          <w:ilvl w:val="0"/>
          <w:numId w:val="6"/>
        </w:numPr>
        <w:jc w:val="both"/>
        <w:rPr>
          <w:rFonts w:ascii="Verdana" w:hAnsi="Verdana"/>
          <w:sz w:val="18"/>
          <w:szCs w:val="20"/>
        </w:rPr>
      </w:pPr>
      <w:r w:rsidRPr="007C1D0C">
        <w:rPr>
          <w:rFonts w:ascii="Verdana" w:hAnsi="Verdana"/>
          <w:sz w:val="18"/>
          <w:szCs w:val="20"/>
        </w:rPr>
        <w:t>Les instances représentatives du personnel (CSE),</w:t>
      </w:r>
    </w:p>
    <w:p w14:paraId="453B7430" w14:textId="77777777" w:rsidP="0048051C" w:rsidR="00A40B6B" w:rsidRDefault="00A40B6B">
      <w:pPr>
        <w:pStyle w:val="Sansinterligne"/>
        <w:jc w:val="both"/>
        <w:rPr>
          <w:rFonts w:ascii="Verdana" w:hAnsi="Verdana"/>
          <w:sz w:val="18"/>
          <w:szCs w:val="20"/>
        </w:rPr>
      </w:pPr>
    </w:p>
    <w:p w14:paraId="7F96194C" w14:textId="77777777" w:rsidP="0048051C" w:rsidR="003730FE" w:rsidRDefault="003730FE" w:rsidRPr="00734FFE">
      <w:pPr>
        <w:pStyle w:val="Sansinterligne"/>
        <w:jc w:val="both"/>
        <w:rPr>
          <w:rFonts w:ascii="Verdana" w:hAnsi="Verdana"/>
          <w:sz w:val="18"/>
          <w:szCs w:val="20"/>
          <w:highlight w:val="yellow"/>
        </w:rPr>
      </w:pPr>
    </w:p>
    <w:p w14:paraId="6F5F766A" w14:textId="77777777" w:rsidP="0048051C" w:rsidR="00797EB2" w:rsidRDefault="00797EB2" w:rsidRPr="000A1E60">
      <w:pPr>
        <w:pStyle w:val="Sansinterligne"/>
        <w:jc w:val="both"/>
        <w:rPr>
          <w:rFonts w:ascii="Verdana" w:hAnsi="Verdana"/>
          <w:sz w:val="18"/>
          <w:szCs w:val="20"/>
        </w:rPr>
      </w:pPr>
    </w:p>
    <w:p w14:paraId="3C4EA7C2" w14:textId="674D5130" w:rsidP="0048051C" w:rsidR="00F01861" w:rsidRDefault="00F5403B" w:rsidRPr="00F75012">
      <w:pPr>
        <w:pStyle w:val="Sansinterligne"/>
        <w:jc w:val="both"/>
        <w:rPr>
          <w:rFonts w:ascii="Verdana" w:hAnsi="Verdana"/>
          <w:b/>
          <w:sz w:val="18"/>
          <w:szCs w:val="20"/>
          <w:u w:val="single"/>
        </w:rPr>
      </w:pPr>
      <w:r>
        <w:rPr>
          <w:rFonts w:ascii="Verdana" w:hAnsi="Verdana"/>
          <w:b/>
          <w:sz w:val="18"/>
          <w:szCs w:val="20"/>
          <w:u w:val="single"/>
        </w:rPr>
        <w:t>ARTICLE 8</w:t>
      </w:r>
      <w:r w:rsidR="00F01861" w:rsidRPr="00F75012">
        <w:rPr>
          <w:rFonts w:ascii="Verdana" w:hAnsi="Verdana"/>
          <w:b/>
          <w:sz w:val="18"/>
          <w:szCs w:val="20"/>
          <w:u w:val="single"/>
        </w:rPr>
        <w:t xml:space="preserve"> : </w:t>
      </w:r>
      <w:r w:rsidR="00D546C3" w:rsidRPr="00F75012">
        <w:rPr>
          <w:rFonts w:ascii="Verdana" w:hAnsi="Verdana"/>
          <w:b/>
          <w:sz w:val="18"/>
          <w:szCs w:val="20"/>
          <w:u w:val="single"/>
        </w:rPr>
        <w:t>La mobilité des salariés</w:t>
      </w:r>
      <w:r w:rsidR="00F01861" w:rsidRPr="00F75012">
        <w:rPr>
          <w:rFonts w:ascii="Verdana" w:hAnsi="Verdana"/>
          <w:b/>
          <w:sz w:val="18"/>
          <w:szCs w:val="20"/>
          <w:u w:val="single"/>
        </w:rPr>
        <w:t xml:space="preserve"> </w:t>
      </w:r>
    </w:p>
    <w:p w14:paraId="3086A301" w14:textId="77777777" w:rsidP="0048051C" w:rsidR="00D546C3" w:rsidRDefault="00D546C3" w:rsidRPr="00F75012">
      <w:pPr>
        <w:pStyle w:val="Sansinterligne"/>
        <w:jc w:val="both"/>
        <w:rPr>
          <w:rFonts w:ascii="Verdana" w:hAnsi="Verdana"/>
          <w:sz w:val="18"/>
          <w:szCs w:val="20"/>
        </w:rPr>
      </w:pPr>
    </w:p>
    <w:p w14:paraId="38283BEC" w14:textId="58D6488E" w:rsidP="0048051C" w:rsidR="004018FE" w:rsidRDefault="004018FE" w:rsidRPr="00F75012">
      <w:pPr>
        <w:pStyle w:val="Sansinterligne"/>
        <w:jc w:val="both"/>
        <w:rPr>
          <w:rFonts w:ascii="Verdana" w:hAnsi="Verdana"/>
          <w:sz w:val="18"/>
          <w:szCs w:val="20"/>
        </w:rPr>
      </w:pPr>
      <w:r w:rsidRPr="00F75012">
        <w:rPr>
          <w:rFonts w:ascii="Verdana" w:hAnsi="Verdana"/>
          <w:sz w:val="18"/>
          <w:szCs w:val="20"/>
        </w:rPr>
        <w:t xml:space="preserve">Les parties conviennent de négocier sur des mesures visant à réduire le coût de la mobilité en incitant l’usage des modes de </w:t>
      </w:r>
      <w:r w:rsidR="003730FE">
        <w:rPr>
          <w:rFonts w:ascii="Verdana" w:hAnsi="Verdana"/>
          <w:sz w:val="18"/>
          <w:szCs w:val="20"/>
        </w:rPr>
        <w:t>transport</w:t>
      </w:r>
      <w:r w:rsidRPr="00F75012">
        <w:rPr>
          <w:rFonts w:ascii="Verdana" w:hAnsi="Verdana"/>
          <w:sz w:val="18"/>
          <w:szCs w:val="20"/>
        </w:rPr>
        <w:t xml:space="preserve"> vertueux.</w:t>
      </w:r>
    </w:p>
    <w:p w14:paraId="7A8FAF69" w14:textId="77777777" w:rsidP="0048051C" w:rsidR="00F41A2D" w:rsidRDefault="00F41A2D">
      <w:pPr>
        <w:pStyle w:val="Sansinterligne"/>
        <w:jc w:val="both"/>
        <w:rPr>
          <w:rFonts w:ascii="Verdana" w:hAnsi="Verdana"/>
          <w:sz w:val="18"/>
          <w:szCs w:val="20"/>
        </w:rPr>
      </w:pPr>
    </w:p>
    <w:p w14:paraId="2ED718DA" w14:textId="77777777" w:rsidP="0048051C" w:rsidR="00F5403B" w:rsidRDefault="00F5403B">
      <w:pPr>
        <w:pStyle w:val="Sansinterligne"/>
        <w:jc w:val="both"/>
        <w:rPr>
          <w:rFonts w:ascii="Verdana" w:hAnsi="Verdana"/>
          <w:sz w:val="18"/>
          <w:szCs w:val="20"/>
        </w:rPr>
      </w:pPr>
    </w:p>
    <w:p w14:paraId="0CE1358C" w14:textId="77777777" w:rsidP="0048051C" w:rsidR="00F5403B" w:rsidRDefault="00F5403B" w:rsidRPr="00F75012">
      <w:pPr>
        <w:pStyle w:val="Sansinterligne"/>
        <w:jc w:val="both"/>
        <w:rPr>
          <w:rFonts w:ascii="Verdana" w:hAnsi="Verdana"/>
          <w:sz w:val="18"/>
          <w:szCs w:val="20"/>
        </w:rPr>
      </w:pPr>
    </w:p>
    <w:p w14:paraId="19BAAC65" w14:textId="77777777" w:rsidP="0048051C" w:rsidR="001D53C5" w:rsidRDefault="001D53C5" w:rsidRPr="00F75012">
      <w:pPr>
        <w:pStyle w:val="Sansinterligne"/>
        <w:jc w:val="both"/>
        <w:rPr>
          <w:rFonts w:ascii="Verdana" w:hAnsi="Verdana"/>
          <w:sz w:val="18"/>
          <w:szCs w:val="20"/>
        </w:rPr>
      </w:pPr>
    </w:p>
    <w:p w14:paraId="29744C79" w14:textId="0CF5B146" w:rsidP="0048051C" w:rsidR="001A73EC" w:rsidRDefault="00F5403B" w:rsidRPr="000A1E60">
      <w:pPr>
        <w:pStyle w:val="Sansinterligne"/>
        <w:jc w:val="both"/>
        <w:rPr>
          <w:rFonts w:ascii="Verdana" w:hAnsi="Verdana"/>
          <w:b/>
          <w:sz w:val="18"/>
          <w:szCs w:val="20"/>
          <w:u w:val="single"/>
        </w:rPr>
      </w:pPr>
      <w:r>
        <w:rPr>
          <w:rFonts w:ascii="Verdana" w:hAnsi="Verdana"/>
          <w:b/>
          <w:sz w:val="18"/>
          <w:szCs w:val="20"/>
          <w:u w:val="single"/>
        </w:rPr>
        <w:t>ARTICLE 9</w:t>
      </w:r>
      <w:r w:rsidR="004760C0" w:rsidRPr="000A1E60">
        <w:rPr>
          <w:rFonts w:ascii="Verdana" w:hAnsi="Verdana"/>
          <w:b/>
          <w:sz w:val="18"/>
          <w:szCs w:val="20"/>
          <w:u w:val="single"/>
        </w:rPr>
        <w:t> : Durée de l’accord</w:t>
      </w:r>
    </w:p>
    <w:p w14:paraId="6DA6971F" w14:textId="77777777" w:rsidP="0048051C" w:rsidR="001A73EC" w:rsidRDefault="001A73EC" w:rsidRPr="000A1E60">
      <w:pPr>
        <w:pStyle w:val="Sansinterligne"/>
        <w:jc w:val="both"/>
        <w:rPr>
          <w:rFonts w:ascii="Verdana" w:hAnsi="Verdana"/>
          <w:sz w:val="18"/>
          <w:szCs w:val="20"/>
        </w:rPr>
      </w:pPr>
    </w:p>
    <w:p w14:paraId="2B005FF2" w14:textId="454E7A06" w:rsidP="0048051C" w:rsidR="00B100D5" w:rsidRDefault="00B100D5" w:rsidRPr="000A1E60">
      <w:pPr>
        <w:pStyle w:val="Sansinterligne"/>
        <w:jc w:val="both"/>
        <w:rPr>
          <w:rFonts w:ascii="Verdana" w:hAnsi="Verdana"/>
          <w:sz w:val="18"/>
          <w:szCs w:val="20"/>
        </w:rPr>
      </w:pPr>
      <w:r w:rsidRPr="000A1E60">
        <w:rPr>
          <w:rFonts w:ascii="Verdana" w:hAnsi="Verdana"/>
          <w:sz w:val="18"/>
          <w:szCs w:val="20"/>
        </w:rPr>
        <w:t xml:space="preserve">Le présent accord </w:t>
      </w:r>
      <w:r w:rsidR="00FC16F3" w:rsidRPr="000A1E60">
        <w:rPr>
          <w:rFonts w:ascii="Verdana" w:hAnsi="Verdana"/>
          <w:sz w:val="18"/>
          <w:szCs w:val="20"/>
        </w:rPr>
        <w:t xml:space="preserve">s'appliquera à compter de son dépôt </w:t>
      </w:r>
      <w:r w:rsidRPr="000A1E60">
        <w:rPr>
          <w:rFonts w:ascii="Verdana" w:hAnsi="Verdana"/>
          <w:sz w:val="18"/>
          <w:szCs w:val="20"/>
        </w:rPr>
        <w:t xml:space="preserve">auprès des services de la DIRECCTE. Il est conclu pour une durée déterminée </w:t>
      </w:r>
      <w:r w:rsidR="000A1E60" w:rsidRPr="000A1E60">
        <w:rPr>
          <w:rFonts w:ascii="Verdana" w:hAnsi="Verdana"/>
          <w:sz w:val="18"/>
          <w:szCs w:val="20"/>
        </w:rPr>
        <w:t>de 12 mois</w:t>
      </w:r>
      <w:r w:rsidRPr="000A1E60">
        <w:rPr>
          <w:rFonts w:ascii="Verdana" w:hAnsi="Verdana"/>
          <w:sz w:val="18"/>
          <w:szCs w:val="20"/>
        </w:rPr>
        <w:t>.</w:t>
      </w:r>
    </w:p>
    <w:p w14:paraId="486D9F1B" w14:textId="77777777" w:rsidP="0048051C" w:rsidR="00B100D5" w:rsidRDefault="00B100D5" w:rsidRPr="000A1E60">
      <w:pPr>
        <w:pStyle w:val="Sansinterligne"/>
        <w:jc w:val="both"/>
        <w:rPr>
          <w:rFonts w:ascii="Verdana" w:hAnsi="Verdana"/>
          <w:sz w:val="18"/>
          <w:szCs w:val="20"/>
        </w:rPr>
      </w:pPr>
    </w:p>
    <w:p w14:paraId="75B11000" w14:textId="3F0594A6" w:rsidP="0048051C" w:rsidR="001A73EC" w:rsidRDefault="001A73EC" w:rsidRPr="000A1E60">
      <w:pPr>
        <w:pStyle w:val="Sansinterligne"/>
        <w:jc w:val="both"/>
        <w:rPr>
          <w:rFonts w:ascii="Verdana" w:hAnsi="Verdana"/>
          <w:iCs/>
          <w:sz w:val="18"/>
          <w:szCs w:val="20"/>
        </w:rPr>
      </w:pPr>
      <w:r w:rsidRPr="000A1E60">
        <w:rPr>
          <w:rFonts w:ascii="Verdana" w:hAnsi="Verdana"/>
          <w:sz w:val="18"/>
          <w:szCs w:val="20"/>
        </w:rPr>
        <w:t xml:space="preserve">Au terme de cette période </w:t>
      </w:r>
      <w:r w:rsidR="000A1E60">
        <w:rPr>
          <w:rFonts w:ascii="Verdana" w:hAnsi="Verdana"/>
          <w:sz w:val="18"/>
          <w:szCs w:val="20"/>
        </w:rPr>
        <w:t>de 12 mois</w:t>
      </w:r>
      <w:r w:rsidRPr="000A1E60">
        <w:rPr>
          <w:rFonts w:ascii="Verdana" w:hAnsi="Verdana"/>
          <w:sz w:val="18"/>
          <w:szCs w:val="20"/>
        </w:rPr>
        <w:t xml:space="preserve">, l’accord cessera de produire ses effets et les parties </w:t>
      </w:r>
      <w:r w:rsidR="001A1EB1" w:rsidRPr="000A1E60">
        <w:rPr>
          <w:rFonts w:ascii="Verdana" w:hAnsi="Verdana"/>
          <w:sz w:val="18"/>
          <w:szCs w:val="20"/>
        </w:rPr>
        <w:t>engageront une nouvelle négociation.</w:t>
      </w:r>
    </w:p>
    <w:p w14:paraId="24BFD620" w14:textId="77777777" w:rsidP="0048051C" w:rsidR="001A73EC" w:rsidRDefault="001A73EC" w:rsidRPr="00734FFE">
      <w:pPr>
        <w:pStyle w:val="Sansinterligne"/>
        <w:jc w:val="both"/>
        <w:rPr>
          <w:rFonts w:ascii="Verdana" w:hAnsi="Verdana"/>
          <w:sz w:val="18"/>
          <w:szCs w:val="20"/>
          <w:highlight w:val="yellow"/>
        </w:rPr>
      </w:pPr>
    </w:p>
    <w:p w14:paraId="6E86427E" w14:textId="06985932" w:rsidP="0048051C" w:rsidR="001A73EC" w:rsidRDefault="00BE04A1" w:rsidRPr="00225710">
      <w:pPr>
        <w:pStyle w:val="Sansinterligne"/>
        <w:jc w:val="both"/>
        <w:rPr>
          <w:rFonts w:ascii="Verdana" w:hAnsi="Verdana"/>
          <w:b/>
          <w:sz w:val="18"/>
          <w:szCs w:val="20"/>
          <w:u w:val="single"/>
        </w:rPr>
      </w:pPr>
      <w:r>
        <w:rPr>
          <w:rFonts w:ascii="Verdana" w:hAnsi="Verdana"/>
          <w:b/>
          <w:sz w:val="18"/>
          <w:szCs w:val="20"/>
          <w:u w:val="single"/>
        </w:rPr>
        <w:t>ARTICLE</w:t>
      </w:r>
      <w:r w:rsidR="00F5403B">
        <w:rPr>
          <w:rFonts w:ascii="Verdana" w:hAnsi="Verdana"/>
          <w:b/>
          <w:sz w:val="18"/>
          <w:szCs w:val="20"/>
          <w:u w:val="single"/>
        </w:rPr>
        <w:t xml:space="preserve"> 10</w:t>
      </w:r>
      <w:r w:rsidR="004760C0" w:rsidRPr="00225710">
        <w:rPr>
          <w:rFonts w:ascii="Verdana" w:hAnsi="Verdana"/>
          <w:b/>
          <w:sz w:val="18"/>
          <w:szCs w:val="20"/>
          <w:u w:val="single"/>
        </w:rPr>
        <w:t xml:space="preserve"> : Dénonciation et révision </w:t>
      </w:r>
    </w:p>
    <w:p w14:paraId="2FB1D6CF" w14:textId="77777777" w:rsidP="0048051C" w:rsidR="001A73EC" w:rsidRDefault="001A73EC" w:rsidRPr="00225710">
      <w:pPr>
        <w:pStyle w:val="Sansinterligne"/>
        <w:jc w:val="both"/>
        <w:rPr>
          <w:rFonts w:ascii="Verdana" w:hAnsi="Verdana"/>
          <w:sz w:val="18"/>
          <w:szCs w:val="20"/>
        </w:rPr>
      </w:pPr>
    </w:p>
    <w:p w14:paraId="548A8091" w14:textId="2CA16E2F" w:rsidP="0048051C" w:rsidR="001A73EC" w:rsidRDefault="000A1E60" w:rsidRPr="00225710">
      <w:pPr>
        <w:pStyle w:val="Sansinterligne"/>
        <w:jc w:val="both"/>
        <w:rPr>
          <w:rFonts w:ascii="Verdana" w:hAnsi="Verdana"/>
          <w:iCs/>
          <w:sz w:val="18"/>
          <w:szCs w:val="20"/>
        </w:rPr>
      </w:pPr>
      <w:r w:rsidRPr="00225710">
        <w:rPr>
          <w:rFonts w:ascii="Verdana" w:hAnsi="Verdana"/>
          <w:sz w:val="18"/>
          <w:szCs w:val="20"/>
        </w:rPr>
        <w:t>Étant</w:t>
      </w:r>
      <w:r w:rsidR="001A73EC" w:rsidRPr="00225710">
        <w:rPr>
          <w:rFonts w:ascii="Verdana" w:hAnsi="Verdana"/>
          <w:sz w:val="18"/>
          <w:szCs w:val="20"/>
        </w:rPr>
        <w:t xml:space="preserve"> à durée déterminée, le présent accord ne peut pas être dénoncé. En revanche, </w:t>
      </w:r>
      <w:r w:rsidR="00225710" w:rsidRPr="00225710">
        <w:rPr>
          <w:rFonts w:ascii="Verdana" w:hAnsi="Verdana"/>
          <w:iCs/>
          <w:sz w:val="18"/>
          <w:szCs w:val="20"/>
        </w:rPr>
        <w:t>i</w:t>
      </w:r>
      <w:r w:rsidR="001A73EC" w:rsidRPr="00225710">
        <w:rPr>
          <w:rFonts w:ascii="Verdana" w:hAnsi="Verdana"/>
          <w:iCs/>
          <w:sz w:val="18"/>
          <w:szCs w:val="20"/>
        </w:rPr>
        <w:t>l pourra être révisé, conformément aux dispositions des articles L.2222-5, L.2261-7 et L.2261-8 du Code du travail, dans les conditions suivantes :</w:t>
      </w:r>
    </w:p>
    <w:p w14:paraId="60730B72" w14:textId="77777777" w:rsidP="0048051C" w:rsidR="001A73EC" w:rsidRDefault="001A73EC" w:rsidRPr="00225710">
      <w:pPr>
        <w:pStyle w:val="Sansinterligne"/>
        <w:jc w:val="both"/>
        <w:rPr>
          <w:rFonts w:ascii="Verdana" w:hAnsi="Verdana"/>
          <w:iCs/>
          <w:sz w:val="18"/>
          <w:szCs w:val="20"/>
        </w:rPr>
      </w:pPr>
    </w:p>
    <w:p w14:paraId="388B0D46" w14:textId="77777777" w:rsidP="0048051C" w:rsidR="001A73EC" w:rsidRDefault="001A73EC" w:rsidRPr="00225710">
      <w:pPr>
        <w:pStyle w:val="Sansinterligne"/>
        <w:numPr>
          <w:ilvl w:val="0"/>
          <w:numId w:val="13"/>
        </w:numPr>
        <w:jc w:val="both"/>
        <w:rPr>
          <w:rFonts w:ascii="Verdana" w:hAnsi="Verdana"/>
          <w:iCs/>
          <w:sz w:val="18"/>
          <w:szCs w:val="20"/>
        </w:rPr>
      </w:pPr>
      <w:r w:rsidRPr="00225710">
        <w:rPr>
          <w:rFonts w:ascii="Verdana" w:hAnsi="Verdana"/>
          <w:iCs/>
          <w:sz w:val="18"/>
          <w:szCs w:val="20"/>
        </w:rPr>
        <w:t>toute demande devra être notifiée par lettre recommandée avec accusé de réception à chacune des parties signataires et comporter en outre les dispositions dont la révision est demandée et les propositions de remplacement,</w:t>
      </w:r>
    </w:p>
    <w:p w14:paraId="49890FBE" w14:textId="77777777" w:rsidP="0048051C" w:rsidR="001A73EC" w:rsidRDefault="001A73EC" w:rsidRPr="00225710">
      <w:pPr>
        <w:pStyle w:val="Sansinterligne"/>
        <w:numPr>
          <w:ilvl w:val="0"/>
          <w:numId w:val="13"/>
        </w:numPr>
        <w:jc w:val="both"/>
        <w:rPr>
          <w:rFonts w:ascii="Verdana" w:hAnsi="Verdana"/>
          <w:iCs/>
          <w:sz w:val="18"/>
          <w:szCs w:val="20"/>
        </w:rPr>
      </w:pPr>
      <w:r w:rsidRPr="00225710">
        <w:rPr>
          <w:rFonts w:ascii="Verdana" w:hAnsi="Verdana"/>
          <w:iCs/>
          <w:sz w:val="18"/>
          <w:szCs w:val="20"/>
        </w:rPr>
        <w:t>les parties ouvriront les négociations dans le délai de trois mois suivant réception de la demande de révision,</w:t>
      </w:r>
    </w:p>
    <w:p w14:paraId="2A2DD9A5" w14:textId="77777777" w:rsidP="0048051C" w:rsidR="001A73EC" w:rsidRDefault="001A73EC" w:rsidRPr="00225710">
      <w:pPr>
        <w:pStyle w:val="Sansinterligne"/>
        <w:numPr>
          <w:ilvl w:val="0"/>
          <w:numId w:val="13"/>
        </w:numPr>
        <w:jc w:val="both"/>
        <w:rPr>
          <w:rFonts w:ascii="Verdana" w:hAnsi="Verdana"/>
          <w:iCs/>
          <w:sz w:val="18"/>
          <w:szCs w:val="20"/>
        </w:rPr>
      </w:pPr>
      <w:r w:rsidRPr="00225710">
        <w:rPr>
          <w:rFonts w:ascii="Verdana" w:hAnsi="Verdana"/>
          <w:iCs/>
          <w:sz w:val="18"/>
          <w:szCs w:val="20"/>
        </w:rPr>
        <w:t>les dispositions de l’accord dont la révision est demandée resteront en vigueur jusqu’à la conclusion d’un nouvel accord.</w:t>
      </w:r>
    </w:p>
    <w:p w14:paraId="3C035ED1" w14:textId="77777777" w:rsidP="0048051C" w:rsidR="001A73EC" w:rsidRDefault="001A73EC" w:rsidRPr="00225710">
      <w:pPr>
        <w:pStyle w:val="Sansinterligne"/>
        <w:jc w:val="both"/>
        <w:rPr>
          <w:rFonts w:ascii="Verdana" w:hAnsi="Verdana"/>
          <w:sz w:val="18"/>
          <w:szCs w:val="20"/>
        </w:rPr>
      </w:pPr>
    </w:p>
    <w:p w14:paraId="68594387" w14:textId="77777777" w:rsidP="0048051C" w:rsidR="001A73EC" w:rsidRDefault="001A73EC" w:rsidRPr="00225710">
      <w:pPr>
        <w:pStyle w:val="Sansinterligne"/>
        <w:jc w:val="both"/>
        <w:rPr>
          <w:rFonts w:ascii="Verdana" w:hAnsi="Verdana"/>
          <w:sz w:val="18"/>
          <w:szCs w:val="20"/>
        </w:rPr>
      </w:pPr>
      <w:r w:rsidRPr="00225710">
        <w:rPr>
          <w:rFonts w:ascii="Verdana" w:hAnsi="Verdana"/>
          <w:sz w:val="18"/>
          <w:szCs w:val="20"/>
        </w:rPr>
        <w:t>Les dispositions de l’avenant portant révision, se substituent de plein droit à celles de l’accord qu’elles modifient et sont opposables à la société et aux salariés liés par l’accord, soit à la date qui aura été expressément convenue, soit à défaut à partir du jour qui suivra son dépôt.</w:t>
      </w:r>
    </w:p>
    <w:p w14:paraId="43807672" w14:textId="77777777" w:rsidP="0048051C" w:rsidR="001A73EC" w:rsidRDefault="001A73EC" w:rsidRPr="00225710">
      <w:pPr>
        <w:pStyle w:val="Sansinterligne"/>
        <w:jc w:val="both"/>
        <w:rPr>
          <w:rFonts w:ascii="Verdana" w:hAnsi="Verdana"/>
          <w:sz w:val="18"/>
          <w:szCs w:val="20"/>
        </w:rPr>
      </w:pPr>
    </w:p>
    <w:p w14:paraId="324CDC8A" w14:textId="7CE66C56" w:rsidP="0048051C" w:rsidR="001A73EC" w:rsidRDefault="00BE04A1" w:rsidRPr="00225710">
      <w:pPr>
        <w:pStyle w:val="Sansinterligne"/>
        <w:jc w:val="both"/>
        <w:rPr>
          <w:rFonts w:ascii="Verdana" w:hAnsi="Verdana"/>
          <w:b/>
          <w:sz w:val="18"/>
          <w:szCs w:val="20"/>
          <w:u w:val="single"/>
        </w:rPr>
      </w:pPr>
      <w:r>
        <w:rPr>
          <w:rFonts w:ascii="Verdana" w:hAnsi="Verdana"/>
          <w:b/>
          <w:sz w:val="18"/>
          <w:szCs w:val="20"/>
          <w:u w:val="single"/>
        </w:rPr>
        <w:t>ARTICLE 1</w:t>
      </w:r>
      <w:r w:rsidR="00F5403B">
        <w:rPr>
          <w:rFonts w:ascii="Verdana" w:hAnsi="Verdana"/>
          <w:b/>
          <w:sz w:val="18"/>
          <w:szCs w:val="20"/>
          <w:u w:val="single"/>
        </w:rPr>
        <w:t>1</w:t>
      </w:r>
      <w:r w:rsidR="004760C0" w:rsidRPr="00225710">
        <w:rPr>
          <w:rFonts w:ascii="Verdana" w:hAnsi="Verdana"/>
          <w:b/>
          <w:sz w:val="18"/>
          <w:szCs w:val="20"/>
          <w:u w:val="single"/>
        </w:rPr>
        <w:t> :</w:t>
      </w:r>
      <w:r w:rsidR="001A73EC" w:rsidRPr="00225710">
        <w:rPr>
          <w:rFonts w:ascii="Verdana" w:hAnsi="Verdana"/>
          <w:b/>
          <w:sz w:val="18"/>
          <w:szCs w:val="20"/>
          <w:u w:val="single"/>
        </w:rPr>
        <w:t xml:space="preserve"> </w:t>
      </w:r>
      <w:r w:rsidR="004760C0" w:rsidRPr="00225710">
        <w:rPr>
          <w:rFonts w:ascii="Verdana" w:hAnsi="Verdana"/>
          <w:b/>
          <w:sz w:val="18"/>
          <w:szCs w:val="20"/>
          <w:u w:val="single"/>
        </w:rPr>
        <w:t xml:space="preserve">Publicité et dépôt </w:t>
      </w:r>
    </w:p>
    <w:p w14:paraId="49B56DE7" w14:textId="77777777" w:rsidP="0048051C" w:rsidR="001A73EC" w:rsidRDefault="001A73EC" w:rsidRPr="00225710">
      <w:pPr>
        <w:pStyle w:val="Sansinterligne"/>
        <w:jc w:val="both"/>
        <w:rPr>
          <w:rFonts w:ascii="Verdana" w:hAnsi="Verdana"/>
          <w:sz w:val="18"/>
          <w:szCs w:val="20"/>
        </w:rPr>
      </w:pPr>
    </w:p>
    <w:p w14:paraId="5046139B" w14:textId="77777777" w:rsidP="0048051C" w:rsidR="001A73EC" w:rsidRDefault="001A73EC" w:rsidRPr="00225710">
      <w:pPr>
        <w:pStyle w:val="Sansinterligne"/>
        <w:jc w:val="both"/>
        <w:rPr>
          <w:rFonts w:ascii="Verdana" w:hAnsi="Verdana"/>
          <w:sz w:val="18"/>
          <w:szCs w:val="20"/>
        </w:rPr>
      </w:pPr>
      <w:r w:rsidRPr="00225710">
        <w:rPr>
          <w:rFonts w:ascii="Verdana" w:hAnsi="Verdana"/>
          <w:sz w:val="18"/>
          <w:szCs w:val="20"/>
        </w:rPr>
        <w:t>Conformément à l’article L. 2231-5 du code du travail, le texte du présent accord est notifié à l’ensemble des Organisations Syndicales Représentatives dans l’entreprise.</w:t>
      </w:r>
    </w:p>
    <w:p w14:paraId="2B6AEF3C" w14:textId="77777777" w:rsidP="0048051C" w:rsidR="001A73EC" w:rsidRDefault="001A73EC" w:rsidRPr="00225710">
      <w:pPr>
        <w:pStyle w:val="Sansinterligne"/>
        <w:jc w:val="both"/>
        <w:rPr>
          <w:rFonts w:ascii="Verdana" w:hAnsi="Verdana"/>
          <w:sz w:val="18"/>
          <w:szCs w:val="20"/>
        </w:rPr>
      </w:pPr>
    </w:p>
    <w:p w14:paraId="4068A70A" w14:textId="42F02738" w:rsidP="0048051C" w:rsidR="001A73EC" w:rsidRDefault="001A73EC" w:rsidRPr="00225710">
      <w:pPr>
        <w:pStyle w:val="Sansinterligne"/>
        <w:jc w:val="both"/>
        <w:rPr>
          <w:rFonts w:ascii="Verdana" w:hAnsi="Verdana"/>
          <w:sz w:val="18"/>
          <w:szCs w:val="20"/>
        </w:rPr>
      </w:pPr>
      <w:r w:rsidRPr="00225710">
        <w:rPr>
          <w:rFonts w:ascii="Verdana" w:hAnsi="Verdana"/>
          <w:sz w:val="18"/>
          <w:szCs w:val="20"/>
        </w:rPr>
        <w:t xml:space="preserve">Le présent accord sera déposé sur la plateforme de télé procédure du ministère du travail par la direction de la société dans les conditions prévues aux articles D. 2231-4 du Code du travail et suivants, et au greffe du Conseil de prud’hommes de </w:t>
      </w:r>
      <w:r w:rsidR="003730FE">
        <w:rPr>
          <w:rFonts w:ascii="Verdana" w:hAnsi="Verdana"/>
          <w:sz w:val="18"/>
          <w:szCs w:val="20"/>
        </w:rPr>
        <w:t>Martigues</w:t>
      </w:r>
      <w:r w:rsidRPr="00225710">
        <w:rPr>
          <w:rFonts w:ascii="Verdana" w:hAnsi="Verdana"/>
          <w:sz w:val="18"/>
          <w:szCs w:val="20"/>
        </w:rPr>
        <w:t xml:space="preserve">. </w:t>
      </w:r>
    </w:p>
    <w:p w14:paraId="09DD0719" w14:textId="77777777" w:rsidP="0048051C" w:rsidR="001A73EC" w:rsidRDefault="001A73EC" w:rsidRPr="00225710">
      <w:pPr>
        <w:pStyle w:val="Sansinterligne"/>
        <w:jc w:val="both"/>
        <w:rPr>
          <w:rFonts w:ascii="Verdana" w:hAnsi="Verdana"/>
          <w:sz w:val="18"/>
          <w:szCs w:val="20"/>
        </w:rPr>
      </w:pPr>
    </w:p>
    <w:p w14:paraId="7F660319" w14:textId="77777777" w:rsidP="0048051C" w:rsidR="001A73EC" w:rsidRDefault="001A73EC" w:rsidRPr="00225710">
      <w:pPr>
        <w:pStyle w:val="Sansinterligne"/>
        <w:jc w:val="both"/>
        <w:rPr>
          <w:rFonts w:ascii="Verdana" w:hAnsi="Verdana"/>
          <w:sz w:val="18"/>
          <w:szCs w:val="20"/>
        </w:rPr>
      </w:pPr>
      <w:r w:rsidRPr="00225710">
        <w:rPr>
          <w:rFonts w:ascii="Verdana" w:hAnsi="Verdana"/>
          <w:sz w:val="18"/>
          <w:szCs w:val="20"/>
        </w:rPr>
        <w:t>Son existence figurera aux emplacements réservés à la communication avec le personnel. Son contenu est à disposition du personnel auprès de service du personnel de l'entreprise.</w:t>
      </w:r>
    </w:p>
    <w:p w14:paraId="0226D110" w14:textId="77777777" w:rsidP="0048051C" w:rsidR="001A73EC" w:rsidRDefault="001A73EC" w:rsidRPr="00225710">
      <w:pPr>
        <w:pStyle w:val="Sansinterligne"/>
        <w:jc w:val="both"/>
        <w:rPr>
          <w:rFonts w:ascii="Verdana" w:hAnsi="Verdana"/>
          <w:sz w:val="18"/>
          <w:szCs w:val="20"/>
        </w:rPr>
      </w:pPr>
    </w:p>
    <w:p w14:paraId="262F1666" w14:textId="7858CE73" w:rsidP="0048051C" w:rsidR="004760C0" w:rsidRDefault="003A5E8F" w:rsidRPr="00225710">
      <w:pPr>
        <w:pStyle w:val="Sansinterligne"/>
        <w:jc w:val="both"/>
        <w:rPr>
          <w:rFonts w:ascii="Verdana" w:hAnsi="Verdana"/>
          <w:sz w:val="18"/>
          <w:szCs w:val="20"/>
        </w:rPr>
      </w:pPr>
      <w:r w:rsidRPr="00225710">
        <w:rPr>
          <w:rFonts w:ascii="Verdana" w:hAnsi="Verdana"/>
          <w:sz w:val="18"/>
          <w:szCs w:val="20"/>
        </w:rPr>
        <w:t>F</w:t>
      </w:r>
      <w:r w:rsidR="00C85CEC" w:rsidRPr="00225710">
        <w:rPr>
          <w:rFonts w:ascii="Verdana" w:hAnsi="Verdana"/>
          <w:sz w:val="18"/>
          <w:szCs w:val="20"/>
        </w:rPr>
        <w:t xml:space="preserve">ait </w:t>
      </w:r>
      <w:r w:rsidR="003730FE">
        <w:rPr>
          <w:rFonts w:ascii="Verdana" w:hAnsi="Verdana"/>
          <w:sz w:val="18"/>
          <w:szCs w:val="20"/>
        </w:rPr>
        <w:t>à GIGNAC LA NERTHE</w:t>
      </w:r>
      <w:r w:rsidR="004760C0" w:rsidRPr="00225710">
        <w:rPr>
          <w:rFonts w:ascii="Verdana" w:hAnsi="Verdana"/>
          <w:sz w:val="18"/>
          <w:szCs w:val="20"/>
        </w:rPr>
        <w:t xml:space="preserve">, </w:t>
      </w:r>
    </w:p>
    <w:p w14:paraId="777B1AC0" w14:textId="1FF46C69" w:rsidP="0048051C" w:rsidR="004760C0" w:rsidRDefault="004760C0" w:rsidRPr="00225710">
      <w:pPr>
        <w:pStyle w:val="Sansinterligne"/>
        <w:jc w:val="both"/>
        <w:rPr>
          <w:rFonts w:ascii="Verdana" w:hAnsi="Verdana"/>
          <w:sz w:val="18"/>
          <w:szCs w:val="20"/>
        </w:rPr>
      </w:pPr>
      <w:r w:rsidRPr="003730FE">
        <w:rPr>
          <w:rFonts w:ascii="Verdana" w:hAnsi="Verdana"/>
          <w:sz w:val="18"/>
          <w:szCs w:val="20"/>
        </w:rPr>
        <w:t xml:space="preserve">Le </w:t>
      </w:r>
      <w:r w:rsidR="00BE04A1">
        <w:rPr>
          <w:rFonts w:ascii="Verdana" w:hAnsi="Verdana"/>
          <w:sz w:val="18"/>
          <w:szCs w:val="20"/>
        </w:rPr>
        <w:t>30/03</w:t>
      </w:r>
      <w:r w:rsidR="003730FE" w:rsidRPr="003730FE">
        <w:rPr>
          <w:rFonts w:ascii="Verdana" w:hAnsi="Verdana"/>
          <w:sz w:val="18"/>
          <w:szCs w:val="20"/>
        </w:rPr>
        <w:t>/2022</w:t>
      </w:r>
      <w:r w:rsidR="009A0F4E" w:rsidRPr="003730FE">
        <w:rPr>
          <w:rFonts w:ascii="Verdana" w:hAnsi="Verdana"/>
          <w:sz w:val="18"/>
          <w:szCs w:val="20"/>
        </w:rPr>
        <w:t>,</w:t>
      </w:r>
    </w:p>
    <w:p w14:paraId="48BE2479" w14:textId="77777777" w:rsidP="0048051C" w:rsidR="008C46B3" w:rsidRDefault="00C85CEC" w:rsidRPr="00225710">
      <w:pPr>
        <w:pStyle w:val="Sansinterligne"/>
        <w:jc w:val="both"/>
        <w:rPr>
          <w:rFonts w:ascii="Verdana" w:hAnsi="Verdana"/>
          <w:sz w:val="18"/>
          <w:szCs w:val="20"/>
        </w:rPr>
      </w:pPr>
      <w:r w:rsidRPr="00225710">
        <w:rPr>
          <w:rFonts w:ascii="Verdana" w:hAnsi="Verdana"/>
          <w:sz w:val="18"/>
          <w:szCs w:val="20"/>
        </w:rPr>
        <w:t xml:space="preserve">en </w:t>
      </w:r>
      <w:r w:rsidR="001A1EB1" w:rsidRPr="00225710">
        <w:rPr>
          <w:rFonts w:ascii="Verdana" w:hAnsi="Verdana"/>
          <w:sz w:val="18"/>
          <w:szCs w:val="20"/>
        </w:rPr>
        <w:t>deux</w:t>
      </w:r>
      <w:r w:rsidR="008C46B3" w:rsidRPr="00225710">
        <w:rPr>
          <w:rFonts w:ascii="Verdana" w:hAnsi="Verdana"/>
          <w:sz w:val="18"/>
          <w:szCs w:val="20"/>
        </w:rPr>
        <w:t xml:space="preserve"> exemp</w:t>
      </w:r>
      <w:r w:rsidR="00545199" w:rsidRPr="00225710">
        <w:rPr>
          <w:rFonts w:ascii="Verdana" w:hAnsi="Verdana"/>
          <w:sz w:val="18"/>
          <w:szCs w:val="20"/>
        </w:rPr>
        <w:t>laires originaux</w:t>
      </w:r>
      <w:r w:rsidR="008C46B3" w:rsidRPr="00225710">
        <w:rPr>
          <w:rFonts w:ascii="Verdana" w:hAnsi="Verdana"/>
          <w:sz w:val="18"/>
          <w:szCs w:val="20"/>
        </w:rPr>
        <w:t>.</w:t>
      </w:r>
    </w:p>
    <w:p w14:paraId="6608F3C0" w14:textId="77777777" w:rsidP="0048051C" w:rsidR="008C46B3" w:rsidRDefault="008C46B3" w:rsidRPr="00225710">
      <w:pPr>
        <w:pStyle w:val="Sansinterligne"/>
        <w:jc w:val="both"/>
        <w:rPr>
          <w:rFonts w:ascii="Verdana" w:hAnsi="Verdana"/>
          <w:sz w:val="18"/>
          <w:szCs w:val="20"/>
        </w:rPr>
      </w:pPr>
    </w:p>
    <w:p w14:paraId="007BE88B" w14:textId="38869BE7" w:rsidP="0048051C" w:rsidR="001A73EC" w:rsidRDefault="003730FE" w:rsidRPr="00F75012">
      <w:pPr>
        <w:pStyle w:val="Sansinterligne"/>
        <w:tabs>
          <w:tab w:pos="5387" w:val="left"/>
        </w:tabs>
        <w:jc w:val="both"/>
        <w:rPr>
          <w:rFonts w:ascii="Verdana" w:hAnsi="Verdana"/>
          <w:b/>
          <w:sz w:val="16"/>
          <w:szCs w:val="20"/>
        </w:rPr>
      </w:pPr>
      <w:r>
        <w:rPr>
          <w:rFonts w:ascii="Verdana" w:hAnsi="Verdana"/>
          <w:b/>
          <w:sz w:val="16"/>
          <w:szCs w:val="20"/>
        </w:rPr>
        <w:t xml:space="preserve">Pour le </w:t>
      </w:r>
      <w:r w:rsidR="001A73EC" w:rsidRPr="00F75012">
        <w:rPr>
          <w:rFonts w:ascii="Verdana" w:hAnsi="Verdana"/>
          <w:b/>
          <w:sz w:val="16"/>
          <w:szCs w:val="20"/>
        </w:rPr>
        <w:t xml:space="preserve">Syndicat Autonome de </w:t>
      </w:r>
      <w:r>
        <w:rPr>
          <w:rFonts w:ascii="Verdana" w:hAnsi="Verdana"/>
          <w:b/>
          <w:sz w:val="16"/>
          <w:szCs w:val="20"/>
        </w:rPr>
        <w:t>DELTA ROUTE,</w:t>
      </w:r>
      <w:r>
        <w:rPr>
          <w:rFonts w:ascii="Verdana" w:hAnsi="Verdana"/>
          <w:b/>
          <w:sz w:val="16"/>
          <w:szCs w:val="20"/>
        </w:rPr>
        <w:tab/>
        <w:t>Pour la Société DELTA ROUTE S.A.S.</w:t>
      </w:r>
    </w:p>
    <w:p w14:paraId="2C94BD2B" w14:textId="6D399D45" w:rsidP="0048051C" w:rsidR="001A73EC" w:rsidRDefault="001A73EC" w:rsidRPr="00F75012">
      <w:pPr>
        <w:pStyle w:val="Sansinterligne"/>
        <w:tabs>
          <w:tab w:pos="5387" w:val="left"/>
        </w:tabs>
        <w:jc w:val="both"/>
        <w:rPr>
          <w:rFonts w:ascii="Verdana" w:hAnsi="Verdana"/>
          <w:b/>
          <w:sz w:val="18"/>
          <w:szCs w:val="20"/>
        </w:rPr>
      </w:pPr>
      <w:r w:rsidRPr="00F75012">
        <w:rPr>
          <w:rFonts w:ascii="Verdana" w:hAnsi="Verdana"/>
          <w:b/>
          <w:sz w:val="18"/>
          <w:szCs w:val="20"/>
        </w:rPr>
        <w:tab/>
      </w:r>
      <w:r w:rsidR="003730FE">
        <w:rPr>
          <w:rFonts w:ascii="Verdana" w:hAnsi="Verdana"/>
          <w:b/>
          <w:sz w:val="18"/>
          <w:szCs w:val="20"/>
        </w:rPr>
        <w:t xml:space="preserve"> </w:t>
      </w:r>
    </w:p>
    <w:p w14:paraId="6129D597" w14:textId="6EFB3A88" w:rsidP="0048051C" w:rsidR="001A73EC" w:rsidRDefault="001A73EC" w:rsidRPr="00F75012">
      <w:pPr>
        <w:pStyle w:val="Sansinterligne"/>
        <w:tabs>
          <w:tab w:pos="5387" w:val="left"/>
        </w:tabs>
        <w:jc w:val="both"/>
        <w:rPr>
          <w:rFonts w:ascii="Verdana" w:hAnsi="Verdana"/>
          <w:sz w:val="18"/>
          <w:szCs w:val="20"/>
        </w:rPr>
      </w:pPr>
      <w:r w:rsidRPr="00F75012">
        <w:rPr>
          <w:rFonts w:ascii="Verdana" w:hAnsi="Verdana"/>
          <w:sz w:val="18"/>
          <w:szCs w:val="20"/>
        </w:rPr>
        <w:t xml:space="preserve">Monsieur </w:t>
      </w:r>
      <w:r w:rsidR="00354EC5">
        <w:rPr>
          <w:rFonts w:ascii="Verdana" w:hAnsi="Verdana"/>
          <w:sz w:val="18"/>
          <w:szCs w:val="20"/>
        </w:rPr>
        <w:t>XXXXXXXXXXXXX</w:t>
      </w:r>
      <w:r w:rsidRPr="00F75012">
        <w:rPr>
          <w:rFonts w:ascii="Verdana" w:hAnsi="Verdana"/>
          <w:sz w:val="18"/>
          <w:szCs w:val="20"/>
        </w:rPr>
        <w:tab/>
        <w:t xml:space="preserve">Monsieur </w:t>
      </w:r>
      <w:r w:rsidR="00354EC5">
        <w:rPr>
          <w:rFonts w:ascii="Verdana" w:hAnsi="Verdana"/>
          <w:sz w:val="18"/>
          <w:szCs w:val="20"/>
        </w:rPr>
        <w:t>XXXXXXXXXXXX</w:t>
      </w:r>
      <w:bookmarkStart w:id="0" w:name="_GoBack"/>
      <w:bookmarkEnd w:id="0"/>
    </w:p>
    <w:p w14:paraId="1CF3E553" w14:textId="77777777" w:rsidP="0048051C" w:rsidR="00593B84" w:rsidRDefault="00593B84" w:rsidRPr="00734FFE">
      <w:pPr>
        <w:pStyle w:val="Sansinterligne"/>
        <w:jc w:val="both"/>
        <w:rPr>
          <w:rFonts w:ascii="Verdana" w:hAnsi="Verdana"/>
          <w:sz w:val="18"/>
          <w:szCs w:val="20"/>
        </w:rPr>
      </w:pPr>
    </w:p>
    <w:sectPr w:rsidR="00593B84" w:rsidRPr="00734FFE" w:rsidSect="00DD294B">
      <w:footerReference r:id="rId8" w:type="default"/>
      <w:pgSz w:code="9" w:h="16838" w:w="11906"/>
      <w:pgMar w:bottom="851" w:footer="709" w:gutter="0" w:header="397" w:left="1134" w:right="1134" w:top="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7DEEA" w14:textId="77777777" w:rsidR="00345F72" w:rsidRDefault="00345F72" w:rsidP="0037328E">
      <w:r>
        <w:separator/>
      </w:r>
    </w:p>
  </w:endnote>
  <w:endnote w:type="continuationSeparator" w:id="0">
    <w:p w14:paraId="18A0F963" w14:textId="77777777" w:rsidR="00345F72" w:rsidRDefault="00345F72" w:rsidP="0037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rPr>
        <w:rFonts w:asciiTheme="majorHAnsi" w:cstheme="majorBidi" w:eastAsiaTheme="majorEastAsia" w:hAnsiTheme="majorHAnsi"/>
        <w:sz w:val="18"/>
        <w:szCs w:val="28"/>
      </w:rPr>
      <w:id w:val="-410385422"/>
      <w:docPartObj>
        <w:docPartGallery w:val="Page Numbers (Bottom of Page)"/>
        <w:docPartUnique/>
      </w:docPartObj>
    </w:sdtPr>
    <w:sdtEndPr>
      <w:rPr>
        <w:rFonts w:asciiTheme="minorHAnsi" w:cstheme="minorBidi" w:eastAsiaTheme="minorHAnsi" w:hAnsiTheme="minorHAnsi"/>
        <w:sz w:val="16"/>
        <w:szCs w:val="16"/>
      </w:rPr>
    </w:sdtEndPr>
    <w:sdtContent>
      <w:p w14:paraId="7B4E79A8" w14:textId="52B317F7" w:rsidR="00B5209B" w:rsidRDefault="00B5209B">
        <w:pPr>
          <w:pStyle w:val="Pieddepage"/>
          <w:jc w:val="center"/>
          <w:rPr>
            <w:rFonts w:asciiTheme="majorHAnsi" w:cstheme="majorBidi" w:eastAsiaTheme="majorEastAsia" w:hAnsiTheme="majorHAnsi"/>
            <w:sz w:val="18"/>
            <w:szCs w:val="28"/>
          </w:rPr>
        </w:pPr>
      </w:p>
      <w:p w14:paraId="029AF93D" w14:textId="469B8C9C" w:rsidP="003E3A60" w:rsidR="00B5209B" w:rsidRDefault="00755F24">
        <w:pPr>
          <w:pStyle w:val="Pieddepage"/>
          <w:rPr>
            <w:sz w:val="16"/>
            <w:szCs w:val="16"/>
          </w:rPr>
        </w:pPr>
        <w:r>
          <w:rPr>
            <w:sz w:val="16"/>
            <w:szCs w:val="16"/>
          </w:rPr>
          <w:t>DELTA ROUTE S.A.S. : NAO 2022</w:t>
        </w:r>
      </w:p>
      <w:p w14:paraId="52F2A7E3" w14:textId="4FD83ADC" w:rsidP="003E3A60" w:rsidR="00B5209B" w:rsidRDefault="00B5209B" w:rsidRPr="003E3A60">
        <w:pPr>
          <w:pStyle w:val="Pieddepage"/>
          <w:jc w:val="center"/>
          <w:rPr>
            <w:sz w:val="16"/>
            <w:szCs w:val="16"/>
          </w:rPr>
        </w:pPr>
        <w:r w:rsidRPr="003E3A60">
          <w:rPr>
            <w:sz w:val="16"/>
            <w:szCs w:val="16"/>
          </w:rPr>
          <w:t xml:space="preserve">~ </w:t>
        </w:r>
        <w:r w:rsidRPr="003E3A60">
          <w:rPr>
            <w:sz w:val="16"/>
            <w:szCs w:val="16"/>
          </w:rPr>
          <w:fldChar w:fldCharType="begin"/>
        </w:r>
        <w:r w:rsidRPr="003E3A60">
          <w:rPr>
            <w:sz w:val="16"/>
            <w:szCs w:val="16"/>
          </w:rPr>
          <w:instrText>PAGE    \* MERGEFORMAT</w:instrText>
        </w:r>
        <w:r w:rsidRPr="003E3A60">
          <w:rPr>
            <w:sz w:val="16"/>
            <w:szCs w:val="16"/>
          </w:rPr>
          <w:fldChar w:fldCharType="separate"/>
        </w:r>
        <w:r w:rsidR="00354EC5">
          <w:rPr>
            <w:noProof/>
            <w:sz w:val="16"/>
            <w:szCs w:val="16"/>
          </w:rPr>
          <w:t>5</w:t>
        </w:r>
        <w:r w:rsidRPr="003E3A60">
          <w:rPr>
            <w:sz w:val="16"/>
            <w:szCs w:val="16"/>
          </w:rPr>
          <w:fldChar w:fldCharType="end"/>
        </w:r>
        <w:r w:rsidRPr="003E3A60">
          <w:rPr>
            <w:sz w:val="16"/>
            <w:szCs w:val="16"/>
          </w:rPr>
          <w:t xml:space="preserve"> ~</w:t>
        </w:r>
      </w:p>
    </w:sdtContent>
  </w:sdt>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6298408D" w14:textId="77777777" w:rsidP="0037328E" w:rsidR="00345F72" w:rsidRDefault="00345F72">
      <w:r>
        <w:separator/>
      </w:r>
    </w:p>
  </w:footnote>
  <w:footnote w:id="0" w:type="continuationSeparator">
    <w:p w14:paraId="14E36A6C" w14:textId="77777777" w:rsidP="0037328E" w:rsidR="00345F72" w:rsidRDefault="00345F72">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3A9185A"/>
    <w:multiLevelType w:val="hybridMultilevel"/>
    <w:tmpl w:val="3F1A3EC4"/>
    <w:lvl w:ilvl="0" w:tplc="17BCD392">
      <w:start w:val="11"/>
      <w:numFmt w:val="bullet"/>
      <w:lvlText w:val="-"/>
      <w:lvlJc w:val="left"/>
      <w:pPr>
        <w:ind w:hanging="360" w:left="720"/>
      </w:pPr>
      <w:rPr>
        <w:rFonts w:ascii="Calibri" w:cs="Times New Roman" w:eastAsia="Calibri" w:hAnsi="Calibri" w:hint="default"/>
        <w:i/>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6813DE6"/>
    <w:multiLevelType w:val="hybridMultilevel"/>
    <w:tmpl w:val="EEC80FDE"/>
    <w:lvl w:ilvl="0" w:tplc="9B9402C8">
      <w:start w:val="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694094A"/>
    <w:multiLevelType w:val="hybridMultilevel"/>
    <w:tmpl w:val="349A5F5C"/>
    <w:lvl w:ilvl="0" w:tplc="030406D4">
      <w:start w:val="6"/>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F334A6E"/>
    <w:multiLevelType w:val="hybridMultilevel"/>
    <w:tmpl w:val="3A5C4400"/>
    <w:lvl w:ilvl="0" w:tplc="D0B07030">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62074D4"/>
    <w:multiLevelType w:val="multilevel"/>
    <w:tmpl w:val="5088F3B8"/>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5">
    <w:nsid w:val="1D2303F6"/>
    <w:multiLevelType w:val="hybridMultilevel"/>
    <w:tmpl w:val="59FA5A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E363D62"/>
    <w:multiLevelType w:val="hybridMultilevel"/>
    <w:tmpl w:val="438EF3F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52D2EA2"/>
    <w:multiLevelType w:val="multilevel"/>
    <w:tmpl w:val="4EACA04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38991112"/>
    <w:multiLevelType w:val="multilevel"/>
    <w:tmpl w:val="4AECB66E"/>
    <w:lvl w:ilvl="0">
      <w:start w:val="77"/>
      <w:numFmt w:val="bullet"/>
      <w:lvlText w:val="-"/>
      <w:lvlJc w:val="left"/>
      <w:pPr>
        <w:tabs>
          <w:tab w:pos="720" w:val="num"/>
        </w:tabs>
        <w:ind w:hanging="360" w:left="720"/>
      </w:pPr>
      <w:rPr>
        <w:rFonts w:ascii="Verdana" w:cs="Tahoma" w:hAnsi="Verdana"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9">
    <w:nsid w:val="38DF7BA6"/>
    <w:multiLevelType w:val="hybridMultilevel"/>
    <w:tmpl w:val="B7AA6A0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936068F"/>
    <w:multiLevelType w:val="hybridMultilevel"/>
    <w:tmpl w:val="AD9EF6DA"/>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1">
    <w:nsid w:val="39DD2026"/>
    <w:multiLevelType w:val="hybridMultilevel"/>
    <w:tmpl w:val="F502F57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C815076"/>
    <w:multiLevelType w:val="hybridMultilevel"/>
    <w:tmpl w:val="8F145830"/>
    <w:lvl w:ilvl="0" w:tplc="9226221A">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F4D267F"/>
    <w:multiLevelType w:val="hybridMultilevel"/>
    <w:tmpl w:val="3C3AF4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2C96B2F"/>
    <w:multiLevelType w:val="hybridMultilevel"/>
    <w:tmpl w:val="79C853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1D117D6"/>
    <w:multiLevelType w:val="hybridMultilevel"/>
    <w:tmpl w:val="910E3398"/>
    <w:lvl w:ilvl="0" w:tplc="3A9617B2">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C4E66EB"/>
    <w:multiLevelType w:val="hybridMultilevel"/>
    <w:tmpl w:val="26FC169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86772EB"/>
    <w:multiLevelType w:val="hybridMultilevel"/>
    <w:tmpl w:val="034CF6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AE04F3A"/>
    <w:multiLevelType w:val="hybridMultilevel"/>
    <w:tmpl w:val="6780344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C4976C0"/>
    <w:multiLevelType w:val="hybridMultilevel"/>
    <w:tmpl w:val="07EC6630"/>
    <w:lvl w:ilvl="0" w:tplc="040C000B">
      <w:start w:val="1"/>
      <w:numFmt w:val="bullet"/>
      <w:lvlText w:val=""/>
      <w:lvlJc w:val="left"/>
      <w:pPr>
        <w:ind w:hanging="360" w:left="762"/>
      </w:pPr>
      <w:rPr>
        <w:rFonts w:ascii="Wingdings" w:hAnsi="Wingdings" w:hint="default"/>
      </w:rPr>
    </w:lvl>
    <w:lvl w:ilvl="1" w:tentative="1" w:tplc="040C0003">
      <w:start w:val="1"/>
      <w:numFmt w:val="bullet"/>
      <w:lvlText w:val="o"/>
      <w:lvlJc w:val="left"/>
      <w:pPr>
        <w:ind w:hanging="360" w:left="1482"/>
      </w:pPr>
      <w:rPr>
        <w:rFonts w:ascii="Courier New" w:cs="Courier New" w:hAnsi="Courier New" w:hint="default"/>
      </w:rPr>
    </w:lvl>
    <w:lvl w:ilvl="2" w:tentative="1" w:tplc="040C0005">
      <w:start w:val="1"/>
      <w:numFmt w:val="bullet"/>
      <w:lvlText w:val=""/>
      <w:lvlJc w:val="left"/>
      <w:pPr>
        <w:ind w:hanging="360" w:left="2202"/>
      </w:pPr>
      <w:rPr>
        <w:rFonts w:ascii="Wingdings" w:hAnsi="Wingdings" w:hint="default"/>
      </w:rPr>
    </w:lvl>
    <w:lvl w:ilvl="3" w:tentative="1" w:tplc="040C0001">
      <w:start w:val="1"/>
      <w:numFmt w:val="bullet"/>
      <w:lvlText w:val=""/>
      <w:lvlJc w:val="left"/>
      <w:pPr>
        <w:ind w:hanging="360" w:left="2922"/>
      </w:pPr>
      <w:rPr>
        <w:rFonts w:ascii="Symbol" w:hAnsi="Symbol" w:hint="default"/>
      </w:rPr>
    </w:lvl>
    <w:lvl w:ilvl="4" w:tentative="1" w:tplc="040C0003">
      <w:start w:val="1"/>
      <w:numFmt w:val="bullet"/>
      <w:lvlText w:val="o"/>
      <w:lvlJc w:val="left"/>
      <w:pPr>
        <w:ind w:hanging="360" w:left="3642"/>
      </w:pPr>
      <w:rPr>
        <w:rFonts w:ascii="Courier New" w:cs="Courier New" w:hAnsi="Courier New" w:hint="default"/>
      </w:rPr>
    </w:lvl>
    <w:lvl w:ilvl="5" w:tentative="1" w:tplc="040C0005">
      <w:start w:val="1"/>
      <w:numFmt w:val="bullet"/>
      <w:lvlText w:val=""/>
      <w:lvlJc w:val="left"/>
      <w:pPr>
        <w:ind w:hanging="360" w:left="4362"/>
      </w:pPr>
      <w:rPr>
        <w:rFonts w:ascii="Wingdings" w:hAnsi="Wingdings" w:hint="default"/>
      </w:rPr>
    </w:lvl>
    <w:lvl w:ilvl="6" w:tentative="1" w:tplc="040C0001">
      <w:start w:val="1"/>
      <w:numFmt w:val="bullet"/>
      <w:lvlText w:val=""/>
      <w:lvlJc w:val="left"/>
      <w:pPr>
        <w:ind w:hanging="360" w:left="5082"/>
      </w:pPr>
      <w:rPr>
        <w:rFonts w:ascii="Symbol" w:hAnsi="Symbol" w:hint="default"/>
      </w:rPr>
    </w:lvl>
    <w:lvl w:ilvl="7" w:tentative="1" w:tplc="040C0003">
      <w:start w:val="1"/>
      <w:numFmt w:val="bullet"/>
      <w:lvlText w:val="o"/>
      <w:lvlJc w:val="left"/>
      <w:pPr>
        <w:ind w:hanging="360" w:left="5802"/>
      </w:pPr>
      <w:rPr>
        <w:rFonts w:ascii="Courier New" w:cs="Courier New" w:hAnsi="Courier New" w:hint="default"/>
      </w:rPr>
    </w:lvl>
    <w:lvl w:ilvl="8" w:tentative="1" w:tplc="040C0005">
      <w:start w:val="1"/>
      <w:numFmt w:val="bullet"/>
      <w:lvlText w:val=""/>
      <w:lvlJc w:val="left"/>
      <w:pPr>
        <w:ind w:hanging="360" w:left="6522"/>
      </w:pPr>
      <w:rPr>
        <w:rFonts w:ascii="Wingdings" w:hAnsi="Wingdings" w:hint="default"/>
      </w:rPr>
    </w:lvl>
  </w:abstractNum>
  <w:abstractNum w15:restartNumberingAfterBreak="0" w:abstractNumId="20">
    <w:nsid w:val="745B1044"/>
    <w:multiLevelType w:val="hybridMultilevel"/>
    <w:tmpl w:val="6ED091D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75D53676"/>
    <w:multiLevelType w:val="hybridMultilevel"/>
    <w:tmpl w:val="0B3E9F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76795CF2"/>
    <w:multiLevelType w:val="hybridMultilevel"/>
    <w:tmpl w:val="CDD02B9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7D184883"/>
    <w:multiLevelType w:val="hybridMultilevel"/>
    <w:tmpl w:val="33FEF508"/>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num w:numId="1">
    <w:abstractNumId w:val="21"/>
  </w:num>
  <w:num w:numId="2">
    <w:abstractNumId w:val="13"/>
  </w:num>
  <w:num w:numId="3">
    <w:abstractNumId w:val="23"/>
  </w:num>
  <w:num w:numId="4">
    <w:abstractNumId w:val="1"/>
  </w:num>
  <w:num w:numId="5">
    <w:abstractNumId w:val="6"/>
  </w:num>
  <w:num w:numId="6">
    <w:abstractNumId w:val="12"/>
  </w:num>
  <w:num w:numId="7">
    <w:abstractNumId w:val="17"/>
  </w:num>
  <w:num w:numId="8">
    <w:abstractNumId w:val="11"/>
  </w:num>
  <w:num w:numId="9">
    <w:abstractNumId w:val="19"/>
  </w:num>
  <w:num w:numId="10">
    <w:abstractNumId w:val="22"/>
  </w:num>
  <w:num w:numId="11">
    <w:abstractNumId w:val="20"/>
  </w:num>
  <w:num w:numId="12">
    <w:abstractNumId w:val="3"/>
  </w:num>
  <w:num w:numId="13">
    <w:abstractNumId w:val="15"/>
  </w:num>
  <w:num w:numId="14">
    <w:abstractNumId w:val="7"/>
  </w:num>
  <w:num w:numId="15">
    <w:abstractNumId w:val="4"/>
  </w:num>
  <w:num w:numId="16">
    <w:abstractNumId w:val="2"/>
  </w:num>
  <w:num w:numId="17">
    <w:abstractNumId w:val="0"/>
  </w:num>
  <w:num w:numId="18">
    <w:abstractNumId w:val="5"/>
  </w:num>
  <w:num w:numId="19">
    <w:abstractNumId w:val="14"/>
  </w:num>
  <w:num w:numId="20">
    <w:abstractNumId w:val="10"/>
  </w:num>
  <w:num w:numId="21">
    <w:abstractNumId w:val="8"/>
  </w:num>
  <w:num w:numId="22">
    <w:abstractNumId w:val="9"/>
  </w:num>
  <w:num w:numId="23">
    <w:abstractNumId w:val="18"/>
  </w:num>
  <w:num w:numId="24">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897"/>
    <w:rsid w:val="00006C18"/>
    <w:rsid w:val="00016CFF"/>
    <w:rsid w:val="00023A47"/>
    <w:rsid w:val="00031DB3"/>
    <w:rsid w:val="0003765B"/>
    <w:rsid w:val="000422E2"/>
    <w:rsid w:val="00042E45"/>
    <w:rsid w:val="00046BAF"/>
    <w:rsid w:val="0005459F"/>
    <w:rsid w:val="00061C6A"/>
    <w:rsid w:val="00065D36"/>
    <w:rsid w:val="0006728F"/>
    <w:rsid w:val="000872ED"/>
    <w:rsid w:val="000A0FAB"/>
    <w:rsid w:val="000A1E60"/>
    <w:rsid w:val="000A7896"/>
    <w:rsid w:val="000B2DEE"/>
    <w:rsid w:val="000C0831"/>
    <w:rsid w:val="000C6D33"/>
    <w:rsid w:val="000F69EF"/>
    <w:rsid w:val="000F70B3"/>
    <w:rsid w:val="00103A51"/>
    <w:rsid w:val="00104072"/>
    <w:rsid w:val="00106E50"/>
    <w:rsid w:val="00122865"/>
    <w:rsid w:val="001347A2"/>
    <w:rsid w:val="00144165"/>
    <w:rsid w:val="00151317"/>
    <w:rsid w:val="00184B96"/>
    <w:rsid w:val="001A1EB1"/>
    <w:rsid w:val="001A67D7"/>
    <w:rsid w:val="001A73EC"/>
    <w:rsid w:val="001B18A9"/>
    <w:rsid w:val="001B3262"/>
    <w:rsid w:val="001C375F"/>
    <w:rsid w:val="001C462C"/>
    <w:rsid w:val="001C5A33"/>
    <w:rsid w:val="001D22D4"/>
    <w:rsid w:val="001D53C5"/>
    <w:rsid w:val="001E27AD"/>
    <w:rsid w:val="001E34AA"/>
    <w:rsid w:val="001E439F"/>
    <w:rsid w:val="002108E7"/>
    <w:rsid w:val="00215F12"/>
    <w:rsid w:val="0022092E"/>
    <w:rsid w:val="002256DC"/>
    <w:rsid w:val="00225710"/>
    <w:rsid w:val="00232314"/>
    <w:rsid w:val="002331F7"/>
    <w:rsid w:val="0023488A"/>
    <w:rsid w:val="00240D4D"/>
    <w:rsid w:val="002808DF"/>
    <w:rsid w:val="00282A76"/>
    <w:rsid w:val="002A7038"/>
    <w:rsid w:val="002A7FE2"/>
    <w:rsid w:val="002B31BE"/>
    <w:rsid w:val="002D5A59"/>
    <w:rsid w:val="002E55C2"/>
    <w:rsid w:val="002E63B4"/>
    <w:rsid w:val="00337557"/>
    <w:rsid w:val="0033776F"/>
    <w:rsid w:val="00345F72"/>
    <w:rsid w:val="00354EC5"/>
    <w:rsid w:val="003608BE"/>
    <w:rsid w:val="00372909"/>
    <w:rsid w:val="003730FE"/>
    <w:rsid w:val="0037328E"/>
    <w:rsid w:val="003854C0"/>
    <w:rsid w:val="003933B6"/>
    <w:rsid w:val="00393447"/>
    <w:rsid w:val="003A1284"/>
    <w:rsid w:val="003A41AC"/>
    <w:rsid w:val="003A5E8F"/>
    <w:rsid w:val="003A70E6"/>
    <w:rsid w:val="003B5A29"/>
    <w:rsid w:val="003D6A61"/>
    <w:rsid w:val="003E155A"/>
    <w:rsid w:val="003E3A60"/>
    <w:rsid w:val="0040030D"/>
    <w:rsid w:val="0040137E"/>
    <w:rsid w:val="004018FE"/>
    <w:rsid w:val="004033D0"/>
    <w:rsid w:val="00412C5A"/>
    <w:rsid w:val="004218DF"/>
    <w:rsid w:val="00443DEB"/>
    <w:rsid w:val="00454266"/>
    <w:rsid w:val="00462246"/>
    <w:rsid w:val="0046486B"/>
    <w:rsid w:val="00475C9E"/>
    <w:rsid w:val="004760C0"/>
    <w:rsid w:val="0048051C"/>
    <w:rsid w:val="00486F5A"/>
    <w:rsid w:val="00490126"/>
    <w:rsid w:val="00492FA9"/>
    <w:rsid w:val="004A0D89"/>
    <w:rsid w:val="004A787A"/>
    <w:rsid w:val="004C129D"/>
    <w:rsid w:val="004D107B"/>
    <w:rsid w:val="004F277B"/>
    <w:rsid w:val="004F4404"/>
    <w:rsid w:val="00502FCC"/>
    <w:rsid w:val="0051183E"/>
    <w:rsid w:val="00511937"/>
    <w:rsid w:val="00516B6F"/>
    <w:rsid w:val="00517C19"/>
    <w:rsid w:val="00522B6E"/>
    <w:rsid w:val="00525D2A"/>
    <w:rsid w:val="005332C7"/>
    <w:rsid w:val="00533A97"/>
    <w:rsid w:val="00535CFF"/>
    <w:rsid w:val="00537927"/>
    <w:rsid w:val="005419EC"/>
    <w:rsid w:val="00545199"/>
    <w:rsid w:val="005549F8"/>
    <w:rsid w:val="00566D09"/>
    <w:rsid w:val="00575C4A"/>
    <w:rsid w:val="005778C8"/>
    <w:rsid w:val="00592A84"/>
    <w:rsid w:val="00593B84"/>
    <w:rsid w:val="005A7DEC"/>
    <w:rsid w:val="005B3C15"/>
    <w:rsid w:val="005B6D5A"/>
    <w:rsid w:val="005B6FBB"/>
    <w:rsid w:val="005B73AA"/>
    <w:rsid w:val="005C1351"/>
    <w:rsid w:val="005C1661"/>
    <w:rsid w:val="005C3D33"/>
    <w:rsid w:val="005C49BB"/>
    <w:rsid w:val="005D4967"/>
    <w:rsid w:val="005E6C90"/>
    <w:rsid w:val="005F4B62"/>
    <w:rsid w:val="005F746B"/>
    <w:rsid w:val="005F7491"/>
    <w:rsid w:val="006019F2"/>
    <w:rsid w:val="006271C1"/>
    <w:rsid w:val="00637392"/>
    <w:rsid w:val="00651DC5"/>
    <w:rsid w:val="00653E26"/>
    <w:rsid w:val="0068052C"/>
    <w:rsid w:val="00696B29"/>
    <w:rsid w:val="006A1073"/>
    <w:rsid w:val="006A5FD1"/>
    <w:rsid w:val="006B7D52"/>
    <w:rsid w:val="006D494A"/>
    <w:rsid w:val="006D737E"/>
    <w:rsid w:val="006D7D35"/>
    <w:rsid w:val="006E7F65"/>
    <w:rsid w:val="006F573C"/>
    <w:rsid w:val="006F71BF"/>
    <w:rsid w:val="00714A57"/>
    <w:rsid w:val="00721828"/>
    <w:rsid w:val="0073492F"/>
    <w:rsid w:val="00734FFE"/>
    <w:rsid w:val="00737794"/>
    <w:rsid w:val="00740BC8"/>
    <w:rsid w:val="0074487A"/>
    <w:rsid w:val="0075573E"/>
    <w:rsid w:val="00755DFC"/>
    <w:rsid w:val="00755F24"/>
    <w:rsid w:val="00761895"/>
    <w:rsid w:val="007664C8"/>
    <w:rsid w:val="0077203A"/>
    <w:rsid w:val="00782F8F"/>
    <w:rsid w:val="00784F86"/>
    <w:rsid w:val="00796394"/>
    <w:rsid w:val="00797EB2"/>
    <w:rsid w:val="007C1D0C"/>
    <w:rsid w:val="007C6403"/>
    <w:rsid w:val="007D120E"/>
    <w:rsid w:val="007D607F"/>
    <w:rsid w:val="007E744F"/>
    <w:rsid w:val="007F3973"/>
    <w:rsid w:val="008026FF"/>
    <w:rsid w:val="0081013B"/>
    <w:rsid w:val="00835395"/>
    <w:rsid w:val="00837D4E"/>
    <w:rsid w:val="00842A7A"/>
    <w:rsid w:val="008672B3"/>
    <w:rsid w:val="00874F8F"/>
    <w:rsid w:val="00876897"/>
    <w:rsid w:val="00880DC0"/>
    <w:rsid w:val="0089194B"/>
    <w:rsid w:val="008A35AF"/>
    <w:rsid w:val="008A6B57"/>
    <w:rsid w:val="008C46B3"/>
    <w:rsid w:val="008D125E"/>
    <w:rsid w:val="008D7054"/>
    <w:rsid w:val="00921027"/>
    <w:rsid w:val="009223EF"/>
    <w:rsid w:val="00922431"/>
    <w:rsid w:val="009279C1"/>
    <w:rsid w:val="00927EEE"/>
    <w:rsid w:val="0096311D"/>
    <w:rsid w:val="00992D56"/>
    <w:rsid w:val="009A0F4E"/>
    <w:rsid w:val="009A3D1A"/>
    <w:rsid w:val="009A572B"/>
    <w:rsid w:val="009B124C"/>
    <w:rsid w:val="009F4392"/>
    <w:rsid w:val="009F4FF4"/>
    <w:rsid w:val="00A05C68"/>
    <w:rsid w:val="00A36EBD"/>
    <w:rsid w:val="00A40B6B"/>
    <w:rsid w:val="00A524E3"/>
    <w:rsid w:val="00A52EBB"/>
    <w:rsid w:val="00A576A3"/>
    <w:rsid w:val="00A579F6"/>
    <w:rsid w:val="00A64DB2"/>
    <w:rsid w:val="00A85076"/>
    <w:rsid w:val="00A931C7"/>
    <w:rsid w:val="00A95216"/>
    <w:rsid w:val="00A961E2"/>
    <w:rsid w:val="00A96A59"/>
    <w:rsid w:val="00AA1A78"/>
    <w:rsid w:val="00AB1026"/>
    <w:rsid w:val="00AB1D7E"/>
    <w:rsid w:val="00AD1B4A"/>
    <w:rsid w:val="00AF0D35"/>
    <w:rsid w:val="00B061B7"/>
    <w:rsid w:val="00B100D5"/>
    <w:rsid w:val="00B21727"/>
    <w:rsid w:val="00B2642D"/>
    <w:rsid w:val="00B26F95"/>
    <w:rsid w:val="00B27245"/>
    <w:rsid w:val="00B27FB8"/>
    <w:rsid w:val="00B34BA7"/>
    <w:rsid w:val="00B43878"/>
    <w:rsid w:val="00B47044"/>
    <w:rsid w:val="00B5209B"/>
    <w:rsid w:val="00B5282A"/>
    <w:rsid w:val="00B53E79"/>
    <w:rsid w:val="00B54AED"/>
    <w:rsid w:val="00B576BF"/>
    <w:rsid w:val="00B6655B"/>
    <w:rsid w:val="00B678FB"/>
    <w:rsid w:val="00B75C49"/>
    <w:rsid w:val="00B90BF0"/>
    <w:rsid w:val="00B910AC"/>
    <w:rsid w:val="00B97812"/>
    <w:rsid w:val="00BA3CA3"/>
    <w:rsid w:val="00BA5024"/>
    <w:rsid w:val="00BC4ECD"/>
    <w:rsid w:val="00BD1014"/>
    <w:rsid w:val="00BE04A1"/>
    <w:rsid w:val="00BF1307"/>
    <w:rsid w:val="00C0611F"/>
    <w:rsid w:val="00C1364D"/>
    <w:rsid w:val="00C223BC"/>
    <w:rsid w:val="00C533E1"/>
    <w:rsid w:val="00C53958"/>
    <w:rsid w:val="00C56264"/>
    <w:rsid w:val="00C615B3"/>
    <w:rsid w:val="00C66460"/>
    <w:rsid w:val="00C70345"/>
    <w:rsid w:val="00C74C2C"/>
    <w:rsid w:val="00C80A49"/>
    <w:rsid w:val="00C85CEC"/>
    <w:rsid w:val="00C970C1"/>
    <w:rsid w:val="00CB1C19"/>
    <w:rsid w:val="00CE78FD"/>
    <w:rsid w:val="00CF0B5E"/>
    <w:rsid w:val="00CF60A2"/>
    <w:rsid w:val="00D06842"/>
    <w:rsid w:val="00D13E1F"/>
    <w:rsid w:val="00D143D3"/>
    <w:rsid w:val="00D163DE"/>
    <w:rsid w:val="00D33BCC"/>
    <w:rsid w:val="00D34DD5"/>
    <w:rsid w:val="00D423E2"/>
    <w:rsid w:val="00D4323E"/>
    <w:rsid w:val="00D44C14"/>
    <w:rsid w:val="00D546C3"/>
    <w:rsid w:val="00D56D31"/>
    <w:rsid w:val="00D7579C"/>
    <w:rsid w:val="00D871AB"/>
    <w:rsid w:val="00D8785B"/>
    <w:rsid w:val="00D96D25"/>
    <w:rsid w:val="00D97B98"/>
    <w:rsid w:val="00DA6461"/>
    <w:rsid w:val="00DB384C"/>
    <w:rsid w:val="00DC6A99"/>
    <w:rsid w:val="00DD294B"/>
    <w:rsid w:val="00DF0E80"/>
    <w:rsid w:val="00DF2265"/>
    <w:rsid w:val="00E0237D"/>
    <w:rsid w:val="00E05814"/>
    <w:rsid w:val="00E2147E"/>
    <w:rsid w:val="00E27459"/>
    <w:rsid w:val="00E50708"/>
    <w:rsid w:val="00E52AD6"/>
    <w:rsid w:val="00E632B5"/>
    <w:rsid w:val="00E97F0F"/>
    <w:rsid w:val="00EA54AA"/>
    <w:rsid w:val="00ED3D67"/>
    <w:rsid w:val="00ED7744"/>
    <w:rsid w:val="00ED7EFC"/>
    <w:rsid w:val="00EE0318"/>
    <w:rsid w:val="00EE538B"/>
    <w:rsid w:val="00EE59FA"/>
    <w:rsid w:val="00EE7956"/>
    <w:rsid w:val="00EF3652"/>
    <w:rsid w:val="00EF433C"/>
    <w:rsid w:val="00EF6BAA"/>
    <w:rsid w:val="00F010CE"/>
    <w:rsid w:val="00F01861"/>
    <w:rsid w:val="00F02FE5"/>
    <w:rsid w:val="00F0421B"/>
    <w:rsid w:val="00F05B86"/>
    <w:rsid w:val="00F37A98"/>
    <w:rsid w:val="00F41A2D"/>
    <w:rsid w:val="00F46B42"/>
    <w:rsid w:val="00F53461"/>
    <w:rsid w:val="00F53D2A"/>
    <w:rsid w:val="00F5403B"/>
    <w:rsid w:val="00F56751"/>
    <w:rsid w:val="00F64433"/>
    <w:rsid w:val="00F74514"/>
    <w:rsid w:val="00F75012"/>
    <w:rsid w:val="00FA1489"/>
    <w:rsid w:val="00FA4F95"/>
    <w:rsid w:val="00FA5312"/>
    <w:rsid w:val="00FB50BF"/>
    <w:rsid w:val="00FC16F3"/>
    <w:rsid w:val="00FC3344"/>
    <w:rsid w:val="00FD5C29"/>
    <w:rsid w:val="00FE0258"/>
    <w:rsid w:val="00FF5F0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hapeDefaults>
    <o:shapedefaults spidmax="6145" v:ext="edit"/>
    <o:shapelayout v:ext="edit">
      <o:idmap data="1" v:ext="edit"/>
    </o:shapelayout>
  </w:shapeDefaults>
  <w:decimalSymbol w:val=","/>
  <w:listSeparator w:val=";"/>
  <w14:docId w14:val="4211DBBD"/>
  <w15:docId w15:val="{BDFCA1F4-8B90-4202-8D9B-AF501EAF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22431"/>
    <w:pPr>
      <w:spacing w:after="0" w:line="240" w:lineRule="auto"/>
    </w:pPr>
    <w:rPr>
      <w:rFonts w:ascii="Arial" w:cs="Times New Roman" w:eastAsia="Times New Roman" w:hAnsi="Arial"/>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876897"/>
    <w:pPr>
      <w:spacing w:after="0" w:line="240" w:lineRule="auto"/>
    </w:pPr>
  </w:style>
  <w:style w:styleId="En-tte" w:type="paragraph">
    <w:name w:val="header"/>
    <w:basedOn w:val="Normal"/>
    <w:link w:val="En-tteCar"/>
    <w:uiPriority w:val="99"/>
    <w:unhideWhenUsed/>
    <w:rsid w:val="0037328E"/>
    <w:pPr>
      <w:tabs>
        <w:tab w:pos="4536" w:val="center"/>
        <w:tab w:pos="9072" w:val="right"/>
      </w:tabs>
    </w:pPr>
    <w:rPr>
      <w:rFonts w:asciiTheme="minorHAnsi" w:cstheme="minorBidi" w:eastAsiaTheme="minorHAnsi" w:hAnsiTheme="minorHAnsi"/>
      <w:szCs w:val="22"/>
      <w:lang w:eastAsia="en-US"/>
    </w:rPr>
  </w:style>
  <w:style w:customStyle="1" w:styleId="En-tteCar" w:type="character">
    <w:name w:val="En-tête Car"/>
    <w:basedOn w:val="Policepardfaut"/>
    <w:link w:val="En-tte"/>
    <w:uiPriority w:val="99"/>
    <w:rsid w:val="0037328E"/>
  </w:style>
  <w:style w:styleId="Pieddepage" w:type="paragraph">
    <w:name w:val="footer"/>
    <w:basedOn w:val="Normal"/>
    <w:link w:val="PieddepageCar"/>
    <w:uiPriority w:val="99"/>
    <w:unhideWhenUsed/>
    <w:rsid w:val="0037328E"/>
    <w:pPr>
      <w:tabs>
        <w:tab w:pos="4536" w:val="center"/>
        <w:tab w:pos="9072" w:val="right"/>
      </w:tabs>
    </w:pPr>
    <w:rPr>
      <w:rFonts w:asciiTheme="minorHAnsi" w:cstheme="minorBidi" w:eastAsiaTheme="minorHAnsi" w:hAnsiTheme="minorHAnsi"/>
      <w:szCs w:val="22"/>
      <w:lang w:eastAsia="en-US"/>
    </w:rPr>
  </w:style>
  <w:style w:customStyle="1" w:styleId="PieddepageCar" w:type="character">
    <w:name w:val="Pied de page Car"/>
    <w:basedOn w:val="Policepardfaut"/>
    <w:link w:val="Pieddepage"/>
    <w:uiPriority w:val="99"/>
    <w:rsid w:val="0037328E"/>
  </w:style>
  <w:style w:styleId="Textedebulles" w:type="paragraph">
    <w:name w:val="Balloon Text"/>
    <w:basedOn w:val="Normal"/>
    <w:link w:val="TextedebullesCar"/>
    <w:uiPriority w:val="99"/>
    <w:semiHidden/>
    <w:unhideWhenUsed/>
    <w:rsid w:val="00545199"/>
    <w:rPr>
      <w:rFonts w:ascii="Tahoma" w:cs="Tahoma" w:eastAsiaTheme="minorHAnsi" w:hAnsi="Tahoma"/>
      <w:sz w:val="16"/>
      <w:szCs w:val="16"/>
      <w:lang w:eastAsia="en-US"/>
    </w:rPr>
  </w:style>
  <w:style w:customStyle="1" w:styleId="TextedebullesCar" w:type="character">
    <w:name w:val="Texte de bulles Car"/>
    <w:basedOn w:val="Policepardfaut"/>
    <w:link w:val="Textedebulles"/>
    <w:uiPriority w:val="99"/>
    <w:semiHidden/>
    <w:rsid w:val="00545199"/>
    <w:rPr>
      <w:rFonts w:ascii="Tahoma" w:cs="Tahoma" w:hAnsi="Tahoma"/>
      <w:sz w:val="16"/>
      <w:szCs w:val="16"/>
    </w:rPr>
  </w:style>
  <w:style w:styleId="Titre" w:type="paragraph">
    <w:name w:val="Title"/>
    <w:basedOn w:val="Normal"/>
    <w:link w:val="TitreCar"/>
    <w:qFormat/>
    <w:rsid w:val="00575C4A"/>
    <w:pPr>
      <w:jc w:val="center"/>
    </w:pPr>
    <w:rPr>
      <w:rFonts w:cs="Arial"/>
      <w:b/>
      <w:bCs/>
    </w:rPr>
  </w:style>
  <w:style w:customStyle="1" w:styleId="TitreCar" w:type="character">
    <w:name w:val="Titre Car"/>
    <w:basedOn w:val="Policepardfaut"/>
    <w:link w:val="Titre"/>
    <w:rsid w:val="00575C4A"/>
    <w:rPr>
      <w:rFonts w:ascii="Arial" w:cs="Arial" w:eastAsia="Times New Roman" w:hAnsi="Arial"/>
      <w:b/>
      <w:bCs/>
      <w:szCs w:val="24"/>
      <w:lang w:eastAsia="fr-FR"/>
    </w:rPr>
  </w:style>
  <w:style w:styleId="Corpsdetexte" w:type="paragraph">
    <w:name w:val="Body Text"/>
    <w:basedOn w:val="Normal"/>
    <w:link w:val="CorpsdetexteCar"/>
    <w:rsid w:val="00575C4A"/>
    <w:pPr>
      <w:jc w:val="both"/>
    </w:pPr>
    <w:rPr>
      <w:rFonts w:cs="Arial"/>
    </w:rPr>
  </w:style>
  <w:style w:customStyle="1" w:styleId="CorpsdetexteCar" w:type="character">
    <w:name w:val="Corps de texte Car"/>
    <w:basedOn w:val="Policepardfaut"/>
    <w:link w:val="Corpsdetexte"/>
    <w:rsid w:val="00575C4A"/>
    <w:rPr>
      <w:rFonts w:ascii="Arial" w:cs="Arial" w:eastAsia="Times New Roman" w:hAnsi="Arial"/>
      <w:szCs w:val="24"/>
      <w:lang w:eastAsia="fr-FR"/>
    </w:rPr>
  </w:style>
  <w:style w:styleId="NormalWeb" w:type="paragraph">
    <w:name w:val="Normal (Web)"/>
    <w:basedOn w:val="Normal"/>
    <w:rsid w:val="00575C4A"/>
    <w:pPr>
      <w:spacing w:after="100" w:afterAutospacing="1" w:before="100" w:beforeAutospacing="1"/>
    </w:pPr>
    <w:rPr>
      <w:rFonts w:ascii="Arial Unicode MS" w:cs="Arial Unicode MS" w:eastAsia="Arial Unicode MS" w:hAnsi="Arial Unicode MS"/>
      <w:sz w:val="24"/>
    </w:rPr>
  </w:style>
  <w:style w:styleId="Marquedecommentaire" w:type="character">
    <w:name w:val="annotation reference"/>
    <w:basedOn w:val="Policepardfaut"/>
    <w:uiPriority w:val="99"/>
    <w:semiHidden/>
    <w:unhideWhenUsed/>
    <w:rsid w:val="00A931C7"/>
    <w:rPr>
      <w:sz w:val="16"/>
      <w:szCs w:val="16"/>
    </w:rPr>
  </w:style>
  <w:style w:styleId="Commentaire" w:type="paragraph">
    <w:name w:val="annotation text"/>
    <w:basedOn w:val="Normal"/>
    <w:link w:val="CommentaireCar"/>
    <w:uiPriority w:val="99"/>
    <w:unhideWhenUsed/>
    <w:rsid w:val="00A931C7"/>
    <w:rPr>
      <w:sz w:val="20"/>
      <w:szCs w:val="20"/>
    </w:rPr>
  </w:style>
  <w:style w:customStyle="1" w:styleId="CommentaireCar" w:type="character">
    <w:name w:val="Commentaire Car"/>
    <w:basedOn w:val="Policepardfaut"/>
    <w:link w:val="Commentaire"/>
    <w:uiPriority w:val="99"/>
    <w:rsid w:val="00A931C7"/>
    <w:rPr>
      <w:rFonts w:ascii="Arial" w:cs="Times New Roman" w:eastAsia="Times New Roman" w:hAnsi="Arial"/>
      <w:sz w:val="20"/>
      <w:szCs w:val="20"/>
      <w:lang w:eastAsia="fr-FR"/>
    </w:rPr>
  </w:style>
  <w:style w:styleId="Objetducommentaire" w:type="paragraph">
    <w:name w:val="annotation subject"/>
    <w:basedOn w:val="Commentaire"/>
    <w:next w:val="Commentaire"/>
    <w:link w:val="ObjetducommentaireCar"/>
    <w:uiPriority w:val="99"/>
    <w:semiHidden/>
    <w:unhideWhenUsed/>
    <w:rsid w:val="00A931C7"/>
    <w:rPr>
      <w:b/>
      <w:bCs/>
    </w:rPr>
  </w:style>
  <w:style w:customStyle="1" w:styleId="ObjetducommentaireCar" w:type="character">
    <w:name w:val="Objet du commentaire Car"/>
    <w:basedOn w:val="CommentaireCar"/>
    <w:link w:val="Objetducommentaire"/>
    <w:uiPriority w:val="99"/>
    <w:semiHidden/>
    <w:rsid w:val="00A931C7"/>
    <w:rPr>
      <w:rFonts w:ascii="Arial" w:cs="Times New Roman" w:eastAsia="Times New Roman" w:hAnsi="Arial"/>
      <w:b/>
      <w:bCs/>
      <w:sz w:val="20"/>
      <w:szCs w:val="20"/>
      <w:lang w:eastAsia="fr-FR"/>
    </w:rPr>
  </w:style>
  <w:style w:styleId="Lienhypertexte" w:type="character">
    <w:name w:val="Hyperlink"/>
    <w:basedOn w:val="Policepardfaut"/>
    <w:uiPriority w:val="99"/>
    <w:unhideWhenUsed/>
    <w:rsid w:val="00835395"/>
    <w:rPr>
      <w:color w:themeColor="hyperlink"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6678">
      <w:bodyDiv w:val="1"/>
      <w:marLeft w:val="0"/>
      <w:marRight w:val="0"/>
      <w:marTop w:val="0"/>
      <w:marBottom w:val="0"/>
      <w:divBdr>
        <w:top w:val="none" w:sz="0" w:space="0" w:color="auto"/>
        <w:left w:val="none" w:sz="0" w:space="0" w:color="auto"/>
        <w:bottom w:val="none" w:sz="0" w:space="0" w:color="auto"/>
        <w:right w:val="none" w:sz="0" w:space="0" w:color="auto"/>
      </w:divBdr>
    </w:div>
    <w:div w:id="400296547">
      <w:bodyDiv w:val="1"/>
      <w:marLeft w:val="0"/>
      <w:marRight w:val="0"/>
      <w:marTop w:val="0"/>
      <w:marBottom w:val="0"/>
      <w:divBdr>
        <w:top w:val="none" w:sz="0" w:space="0" w:color="auto"/>
        <w:left w:val="none" w:sz="0" w:space="0" w:color="auto"/>
        <w:bottom w:val="none" w:sz="0" w:space="0" w:color="auto"/>
        <w:right w:val="none" w:sz="0" w:space="0" w:color="auto"/>
      </w:divBdr>
    </w:div>
    <w:div w:id="542713209">
      <w:bodyDiv w:val="1"/>
      <w:marLeft w:val="0"/>
      <w:marRight w:val="0"/>
      <w:marTop w:val="0"/>
      <w:marBottom w:val="0"/>
      <w:divBdr>
        <w:top w:val="none" w:sz="0" w:space="0" w:color="auto"/>
        <w:left w:val="none" w:sz="0" w:space="0" w:color="auto"/>
        <w:bottom w:val="none" w:sz="0" w:space="0" w:color="auto"/>
        <w:right w:val="none" w:sz="0" w:space="0" w:color="auto"/>
      </w:divBdr>
    </w:div>
    <w:div w:id="1180854653">
      <w:bodyDiv w:val="1"/>
      <w:marLeft w:val="0"/>
      <w:marRight w:val="0"/>
      <w:marTop w:val="0"/>
      <w:marBottom w:val="0"/>
      <w:divBdr>
        <w:top w:val="none" w:sz="0" w:space="0" w:color="auto"/>
        <w:left w:val="none" w:sz="0" w:space="0" w:color="auto"/>
        <w:bottom w:val="none" w:sz="0" w:space="0" w:color="auto"/>
        <w:right w:val="none" w:sz="0" w:space="0" w:color="auto"/>
      </w:divBdr>
      <w:divsChild>
        <w:div w:id="1831166131">
          <w:marLeft w:val="0"/>
          <w:marRight w:val="0"/>
          <w:marTop w:val="0"/>
          <w:marBottom w:val="0"/>
          <w:divBdr>
            <w:top w:val="none" w:sz="0" w:space="0" w:color="auto"/>
            <w:left w:val="none" w:sz="0" w:space="0" w:color="auto"/>
            <w:bottom w:val="none" w:sz="0" w:space="0" w:color="auto"/>
            <w:right w:val="none" w:sz="0" w:space="0" w:color="auto"/>
          </w:divBdr>
          <w:divsChild>
            <w:div w:id="576596594">
              <w:marLeft w:val="0"/>
              <w:marRight w:val="0"/>
              <w:marTop w:val="0"/>
              <w:marBottom w:val="0"/>
              <w:divBdr>
                <w:top w:val="none" w:sz="0" w:space="0" w:color="auto"/>
                <w:left w:val="none" w:sz="0" w:space="0" w:color="auto"/>
                <w:bottom w:val="none" w:sz="0" w:space="0" w:color="auto"/>
                <w:right w:val="none" w:sz="0" w:space="0" w:color="auto"/>
              </w:divBdr>
              <w:divsChild>
                <w:div w:id="1477988572">
                  <w:marLeft w:val="0"/>
                  <w:marRight w:val="0"/>
                  <w:marTop w:val="0"/>
                  <w:marBottom w:val="0"/>
                  <w:divBdr>
                    <w:top w:val="none" w:sz="0" w:space="0" w:color="auto"/>
                    <w:left w:val="none" w:sz="0" w:space="0" w:color="auto"/>
                    <w:bottom w:val="none" w:sz="0" w:space="0" w:color="auto"/>
                    <w:right w:val="none" w:sz="0" w:space="0" w:color="auto"/>
                  </w:divBdr>
                  <w:divsChild>
                    <w:div w:id="180513865">
                      <w:marLeft w:val="0"/>
                      <w:marRight w:val="0"/>
                      <w:marTop w:val="0"/>
                      <w:marBottom w:val="0"/>
                      <w:divBdr>
                        <w:top w:val="none" w:sz="0" w:space="0" w:color="auto"/>
                        <w:left w:val="none" w:sz="0" w:space="0" w:color="auto"/>
                        <w:bottom w:val="none" w:sz="0" w:space="0" w:color="auto"/>
                        <w:right w:val="none" w:sz="0" w:space="0" w:color="auto"/>
                      </w:divBdr>
                      <w:divsChild>
                        <w:div w:id="357581619">
                          <w:marLeft w:val="0"/>
                          <w:marRight w:val="0"/>
                          <w:marTop w:val="0"/>
                          <w:marBottom w:val="0"/>
                          <w:divBdr>
                            <w:top w:val="none" w:sz="0" w:space="0" w:color="auto"/>
                            <w:left w:val="none" w:sz="0" w:space="0" w:color="auto"/>
                            <w:bottom w:val="none" w:sz="0" w:space="0" w:color="auto"/>
                            <w:right w:val="none" w:sz="0" w:space="0" w:color="auto"/>
                          </w:divBdr>
                          <w:divsChild>
                            <w:div w:id="1238591486">
                              <w:marLeft w:val="0"/>
                              <w:marRight w:val="0"/>
                              <w:marTop w:val="0"/>
                              <w:marBottom w:val="0"/>
                              <w:divBdr>
                                <w:top w:val="none" w:sz="0" w:space="0" w:color="auto"/>
                                <w:left w:val="none" w:sz="0" w:space="0" w:color="auto"/>
                                <w:bottom w:val="none" w:sz="0" w:space="0" w:color="auto"/>
                                <w:right w:val="none" w:sz="0" w:space="0" w:color="auto"/>
                              </w:divBdr>
                              <w:divsChild>
                                <w:div w:id="1351102279">
                                  <w:marLeft w:val="0"/>
                                  <w:marRight w:val="0"/>
                                  <w:marTop w:val="0"/>
                                  <w:marBottom w:val="0"/>
                                  <w:divBdr>
                                    <w:top w:val="none" w:sz="0" w:space="0" w:color="auto"/>
                                    <w:left w:val="none" w:sz="0" w:space="0" w:color="auto"/>
                                    <w:bottom w:val="none" w:sz="0" w:space="0" w:color="auto"/>
                                    <w:right w:val="none" w:sz="0" w:space="0" w:color="auto"/>
                                  </w:divBdr>
                                  <w:divsChild>
                                    <w:div w:id="1901599851">
                                      <w:marLeft w:val="0"/>
                                      <w:marRight w:val="0"/>
                                      <w:marTop w:val="0"/>
                                      <w:marBottom w:val="0"/>
                                      <w:divBdr>
                                        <w:top w:val="none" w:sz="0" w:space="0" w:color="auto"/>
                                        <w:left w:val="none" w:sz="0" w:space="0" w:color="auto"/>
                                        <w:bottom w:val="none" w:sz="0" w:space="0" w:color="auto"/>
                                        <w:right w:val="none" w:sz="0" w:space="0" w:color="auto"/>
                                      </w:divBdr>
                                      <w:divsChild>
                                        <w:div w:id="138226670">
                                          <w:marLeft w:val="0"/>
                                          <w:marRight w:val="0"/>
                                          <w:marTop w:val="0"/>
                                          <w:marBottom w:val="0"/>
                                          <w:divBdr>
                                            <w:top w:val="none" w:sz="0" w:space="0" w:color="auto"/>
                                            <w:left w:val="none" w:sz="0" w:space="0" w:color="auto"/>
                                            <w:bottom w:val="none" w:sz="0" w:space="0" w:color="auto"/>
                                            <w:right w:val="none" w:sz="0" w:space="0" w:color="auto"/>
                                          </w:divBdr>
                                          <w:divsChild>
                                            <w:div w:id="1757945174">
                                              <w:marLeft w:val="0"/>
                                              <w:marRight w:val="0"/>
                                              <w:marTop w:val="0"/>
                                              <w:marBottom w:val="0"/>
                                              <w:divBdr>
                                                <w:top w:val="none" w:sz="0" w:space="0" w:color="auto"/>
                                                <w:left w:val="none" w:sz="0" w:space="0" w:color="auto"/>
                                                <w:bottom w:val="none" w:sz="0" w:space="0" w:color="auto"/>
                                                <w:right w:val="none" w:sz="0" w:space="0" w:color="auto"/>
                                              </w:divBdr>
                                              <w:divsChild>
                                                <w:div w:id="858465242">
                                                  <w:marLeft w:val="0"/>
                                                  <w:marRight w:val="0"/>
                                                  <w:marTop w:val="0"/>
                                                  <w:marBottom w:val="0"/>
                                                  <w:divBdr>
                                                    <w:top w:val="none" w:sz="0" w:space="0" w:color="auto"/>
                                                    <w:left w:val="none" w:sz="0" w:space="0" w:color="auto"/>
                                                    <w:bottom w:val="none" w:sz="0" w:space="0" w:color="auto"/>
                                                    <w:right w:val="none" w:sz="0" w:space="0" w:color="auto"/>
                                                  </w:divBdr>
                                                  <w:divsChild>
                                                    <w:div w:id="717822806">
                                                      <w:marLeft w:val="0"/>
                                                      <w:marRight w:val="0"/>
                                                      <w:marTop w:val="0"/>
                                                      <w:marBottom w:val="0"/>
                                                      <w:divBdr>
                                                        <w:top w:val="none" w:sz="0" w:space="0" w:color="auto"/>
                                                        <w:left w:val="none" w:sz="0" w:space="0" w:color="auto"/>
                                                        <w:bottom w:val="none" w:sz="0" w:space="0" w:color="auto"/>
                                                        <w:right w:val="none" w:sz="0" w:space="0" w:color="auto"/>
                                                      </w:divBdr>
                                                      <w:divsChild>
                                                        <w:div w:id="1766143855">
                                                          <w:marLeft w:val="0"/>
                                                          <w:marRight w:val="0"/>
                                                          <w:marTop w:val="300"/>
                                                          <w:marBottom w:val="300"/>
                                                          <w:divBdr>
                                                            <w:top w:val="single" w:sz="6" w:space="12" w:color="019FDC"/>
                                                            <w:left w:val="single" w:sz="6" w:space="12" w:color="019FDC"/>
                                                            <w:bottom w:val="single" w:sz="6" w:space="12" w:color="019FDC"/>
                                                            <w:right w:val="single" w:sz="6" w:space="12" w:color="019FDC"/>
                                                          </w:divBdr>
                                                        </w:div>
                                                      </w:divsChild>
                                                    </w:div>
                                                  </w:divsChild>
                                                </w:div>
                                              </w:divsChild>
                                            </w:div>
                                          </w:divsChild>
                                        </w:div>
                                      </w:divsChild>
                                    </w:div>
                                  </w:divsChild>
                                </w:div>
                              </w:divsChild>
                            </w:div>
                          </w:divsChild>
                        </w:div>
                      </w:divsChild>
                    </w:div>
                  </w:divsChild>
                </w:div>
              </w:divsChild>
            </w:div>
          </w:divsChild>
        </w:div>
      </w:divsChild>
    </w:div>
    <w:div w:id="1185557905">
      <w:bodyDiv w:val="1"/>
      <w:marLeft w:val="0"/>
      <w:marRight w:val="0"/>
      <w:marTop w:val="0"/>
      <w:marBottom w:val="0"/>
      <w:divBdr>
        <w:top w:val="none" w:sz="0" w:space="0" w:color="auto"/>
        <w:left w:val="none" w:sz="0" w:space="0" w:color="auto"/>
        <w:bottom w:val="none" w:sz="0" w:space="0" w:color="auto"/>
        <w:right w:val="none" w:sz="0" w:space="0" w:color="auto"/>
      </w:divBdr>
    </w:div>
    <w:div w:id="1342315523">
      <w:bodyDiv w:val="1"/>
      <w:marLeft w:val="0"/>
      <w:marRight w:val="0"/>
      <w:marTop w:val="0"/>
      <w:marBottom w:val="0"/>
      <w:divBdr>
        <w:top w:val="none" w:sz="0" w:space="0" w:color="auto"/>
        <w:left w:val="none" w:sz="0" w:space="0" w:color="auto"/>
        <w:bottom w:val="none" w:sz="0" w:space="0" w:color="auto"/>
        <w:right w:val="none" w:sz="0" w:space="0" w:color="auto"/>
      </w:divBdr>
    </w:div>
    <w:div w:id="1424449747">
      <w:bodyDiv w:val="1"/>
      <w:marLeft w:val="0"/>
      <w:marRight w:val="0"/>
      <w:marTop w:val="0"/>
      <w:marBottom w:val="0"/>
      <w:divBdr>
        <w:top w:val="none" w:sz="0" w:space="0" w:color="auto"/>
        <w:left w:val="none" w:sz="0" w:space="0" w:color="auto"/>
        <w:bottom w:val="none" w:sz="0" w:space="0" w:color="auto"/>
        <w:right w:val="none" w:sz="0" w:space="0" w:color="auto"/>
      </w:divBdr>
    </w:div>
    <w:div w:id="1595623113">
      <w:bodyDiv w:val="1"/>
      <w:marLeft w:val="0"/>
      <w:marRight w:val="0"/>
      <w:marTop w:val="0"/>
      <w:marBottom w:val="0"/>
      <w:divBdr>
        <w:top w:val="none" w:sz="0" w:space="0" w:color="auto"/>
        <w:left w:val="none" w:sz="0" w:space="0" w:color="auto"/>
        <w:bottom w:val="none" w:sz="0" w:space="0" w:color="auto"/>
        <w:right w:val="none" w:sz="0" w:space="0" w:color="auto"/>
      </w:divBdr>
    </w:div>
    <w:div w:id="1667779398">
      <w:bodyDiv w:val="1"/>
      <w:marLeft w:val="0"/>
      <w:marRight w:val="0"/>
      <w:marTop w:val="0"/>
      <w:marBottom w:val="0"/>
      <w:divBdr>
        <w:top w:val="none" w:sz="0" w:space="0" w:color="auto"/>
        <w:left w:val="none" w:sz="0" w:space="0" w:color="auto"/>
        <w:bottom w:val="none" w:sz="0" w:space="0" w:color="auto"/>
        <w:right w:val="none" w:sz="0" w:space="0" w:color="auto"/>
      </w:divBdr>
      <w:divsChild>
        <w:div w:id="796072481">
          <w:marLeft w:val="0"/>
          <w:marRight w:val="0"/>
          <w:marTop w:val="0"/>
          <w:marBottom w:val="0"/>
          <w:divBdr>
            <w:top w:val="none" w:sz="0" w:space="0" w:color="auto"/>
            <w:left w:val="none" w:sz="0" w:space="0" w:color="auto"/>
            <w:bottom w:val="none" w:sz="0" w:space="0" w:color="auto"/>
            <w:right w:val="none" w:sz="0" w:space="0" w:color="auto"/>
          </w:divBdr>
          <w:divsChild>
            <w:div w:id="1358507576">
              <w:marLeft w:val="0"/>
              <w:marRight w:val="0"/>
              <w:marTop w:val="0"/>
              <w:marBottom w:val="0"/>
              <w:divBdr>
                <w:top w:val="none" w:sz="0" w:space="0" w:color="auto"/>
                <w:left w:val="none" w:sz="0" w:space="0" w:color="auto"/>
                <w:bottom w:val="none" w:sz="0" w:space="0" w:color="auto"/>
                <w:right w:val="none" w:sz="0" w:space="0" w:color="auto"/>
              </w:divBdr>
              <w:divsChild>
                <w:div w:id="1782990334">
                  <w:marLeft w:val="0"/>
                  <w:marRight w:val="0"/>
                  <w:marTop w:val="0"/>
                  <w:marBottom w:val="0"/>
                  <w:divBdr>
                    <w:top w:val="none" w:sz="0" w:space="0" w:color="auto"/>
                    <w:left w:val="none" w:sz="0" w:space="0" w:color="auto"/>
                    <w:bottom w:val="none" w:sz="0" w:space="0" w:color="auto"/>
                    <w:right w:val="none" w:sz="0" w:space="0" w:color="auto"/>
                  </w:divBdr>
                  <w:divsChild>
                    <w:div w:id="1549608829">
                      <w:marLeft w:val="0"/>
                      <w:marRight w:val="0"/>
                      <w:marTop w:val="0"/>
                      <w:marBottom w:val="0"/>
                      <w:divBdr>
                        <w:top w:val="none" w:sz="0" w:space="0" w:color="auto"/>
                        <w:left w:val="none" w:sz="0" w:space="0" w:color="auto"/>
                        <w:bottom w:val="none" w:sz="0" w:space="0" w:color="auto"/>
                        <w:right w:val="none" w:sz="0" w:space="0" w:color="auto"/>
                      </w:divBdr>
                      <w:divsChild>
                        <w:div w:id="654380182">
                          <w:marLeft w:val="0"/>
                          <w:marRight w:val="0"/>
                          <w:marTop w:val="0"/>
                          <w:marBottom w:val="0"/>
                          <w:divBdr>
                            <w:top w:val="none" w:sz="0" w:space="0" w:color="auto"/>
                            <w:left w:val="none" w:sz="0" w:space="0" w:color="auto"/>
                            <w:bottom w:val="none" w:sz="0" w:space="0" w:color="auto"/>
                            <w:right w:val="none" w:sz="0" w:space="0" w:color="auto"/>
                          </w:divBdr>
                          <w:divsChild>
                            <w:div w:id="1597246299">
                              <w:marLeft w:val="0"/>
                              <w:marRight w:val="0"/>
                              <w:marTop w:val="0"/>
                              <w:marBottom w:val="0"/>
                              <w:divBdr>
                                <w:top w:val="none" w:sz="0" w:space="0" w:color="auto"/>
                                <w:left w:val="none" w:sz="0" w:space="0" w:color="auto"/>
                                <w:bottom w:val="none" w:sz="0" w:space="0" w:color="auto"/>
                                <w:right w:val="none" w:sz="0" w:space="0" w:color="auto"/>
                              </w:divBdr>
                              <w:divsChild>
                                <w:div w:id="1496022341">
                                  <w:marLeft w:val="0"/>
                                  <w:marRight w:val="0"/>
                                  <w:marTop w:val="0"/>
                                  <w:marBottom w:val="0"/>
                                  <w:divBdr>
                                    <w:top w:val="none" w:sz="0" w:space="0" w:color="auto"/>
                                    <w:left w:val="none" w:sz="0" w:space="0" w:color="auto"/>
                                    <w:bottom w:val="none" w:sz="0" w:space="0" w:color="auto"/>
                                    <w:right w:val="none" w:sz="0" w:space="0" w:color="auto"/>
                                  </w:divBdr>
                                  <w:divsChild>
                                    <w:div w:id="77413709">
                                      <w:marLeft w:val="0"/>
                                      <w:marRight w:val="0"/>
                                      <w:marTop w:val="0"/>
                                      <w:marBottom w:val="0"/>
                                      <w:divBdr>
                                        <w:top w:val="none" w:sz="0" w:space="0" w:color="auto"/>
                                        <w:left w:val="none" w:sz="0" w:space="0" w:color="auto"/>
                                        <w:bottom w:val="none" w:sz="0" w:space="0" w:color="auto"/>
                                        <w:right w:val="none" w:sz="0" w:space="0" w:color="auto"/>
                                      </w:divBdr>
                                      <w:divsChild>
                                        <w:div w:id="307250401">
                                          <w:marLeft w:val="0"/>
                                          <w:marRight w:val="0"/>
                                          <w:marTop w:val="0"/>
                                          <w:marBottom w:val="0"/>
                                          <w:divBdr>
                                            <w:top w:val="none" w:sz="0" w:space="0" w:color="auto"/>
                                            <w:left w:val="none" w:sz="0" w:space="0" w:color="auto"/>
                                            <w:bottom w:val="none" w:sz="0" w:space="0" w:color="auto"/>
                                            <w:right w:val="none" w:sz="0" w:space="0" w:color="auto"/>
                                          </w:divBdr>
                                          <w:divsChild>
                                            <w:div w:id="763036052">
                                              <w:marLeft w:val="0"/>
                                              <w:marRight w:val="0"/>
                                              <w:marTop w:val="0"/>
                                              <w:marBottom w:val="0"/>
                                              <w:divBdr>
                                                <w:top w:val="none" w:sz="0" w:space="0" w:color="auto"/>
                                                <w:left w:val="none" w:sz="0" w:space="0" w:color="auto"/>
                                                <w:bottom w:val="none" w:sz="0" w:space="0" w:color="auto"/>
                                                <w:right w:val="none" w:sz="0" w:space="0" w:color="auto"/>
                                              </w:divBdr>
                                              <w:divsChild>
                                                <w:div w:id="1607931997">
                                                  <w:marLeft w:val="0"/>
                                                  <w:marRight w:val="0"/>
                                                  <w:marTop w:val="0"/>
                                                  <w:marBottom w:val="0"/>
                                                  <w:divBdr>
                                                    <w:top w:val="none" w:sz="0" w:space="0" w:color="auto"/>
                                                    <w:left w:val="none" w:sz="0" w:space="0" w:color="auto"/>
                                                    <w:bottom w:val="none" w:sz="0" w:space="0" w:color="auto"/>
                                                    <w:right w:val="none" w:sz="0" w:space="0" w:color="auto"/>
                                                  </w:divBdr>
                                                  <w:divsChild>
                                                    <w:div w:id="1816994544">
                                                      <w:marLeft w:val="0"/>
                                                      <w:marRight w:val="0"/>
                                                      <w:marTop w:val="0"/>
                                                      <w:marBottom w:val="0"/>
                                                      <w:divBdr>
                                                        <w:top w:val="none" w:sz="0" w:space="0" w:color="auto"/>
                                                        <w:left w:val="none" w:sz="0" w:space="0" w:color="auto"/>
                                                        <w:bottom w:val="none" w:sz="0" w:space="0" w:color="auto"/>
                                                        <w:right w:val="none" w:sz="0" w:space="0" w:color="auto"/>
                                                      </w:divBdr>
                                                      <w:divsChild>
                                                        <w:div w:id="162860626">
                                                          <w:marLeft w:val="0"/>
                                                          <w:marRight w:val="0"/>
                                                          <w:marTop w:val="300"/>
                                                          <w:marBottom w:val="300"/>
                                                          <w:divBdr>
                                                            <w:top w:val="single" w:sz="6" w:space="12" w:color="019FDC"/>
                                                            <w:left w:val="single" w:sz="6" w:space="12" w:color="019FDC"/>
                                                            <w:bottom w:val="single" w:sz="6" w:space="12" w:color="019FDC"/>
                                                            <w:right w:val="single" w:sz="6" w:space="12" w:color="019FDC"/>
                                                          </w:divBdr>
                                                        </w:div>
                                                      </w:divsChild>
                                                    </w:div>
                                                  </w:divsChild>
                                                </w:div>
                                              </w:divsChild>
                                            </w:div>
                                          </w:divsChild>
                                        </w:div>
                                      </w:divsChild>
                                    </w:div>
                                  </w:divsChild>
                                </w:div>
                              </w:divsChild>
                            </w:div>
                          </w:divsChild>
                        </w:div>
                      </w:divsChild>
                    </w:div>
                  </w:divsChild>
                </w:div>
              </w:divsChild>
            </w:div>
          </w:divsChild>
        </w:div>
      </w:divsChild>
    </w:div>
    <w:div w:id="1694922070">
      <w:bodyDiv w:val="1"/>
      <w:marLeft w:val="0"/>
      <w:marRight w:val="0"/>
      <w:marTop w:val="0"/>
      <w:marBottom w:val="0"/>
      <w:divBdr>
        <w:top w:val="none" w:sz="0" w:space="0" w:color="auto"/>
        <w:left w:val="none" w:sz="0" w:space="0" w:color="auto"/>
        <w:bottom w:val="none" w:sz="0" w:space="0" w:color="auto"/>
        <w:right w:val="none" w:sz="0" w:space="0" w:color="auto"/>
      </w:divBdr>
    </w:div>
    <w:div w:id="1713915971">
      <w:bodyDiv w:val="1"/>
      <w:marLeft w:val="0"/>
      <w:marRight w:val="0"/>
      <w:marTop w:val="0"/>
      <w:marBottom w:val="0"/>
      <w:divBdr>
        <w:top w:val="none" w:sz="0" w:space="0" w:color="auto"/>
        <w:left w:val="none" w:sz="0" w:space="0" w:color="auto"/>
        <w:bottom w:val="none" w:sz="0" w:space="0" w:color="auto"/>
        <w:right w:val="none" w:sz="0" w:space="0" w:color="auto"/>
      </w:divBdr>
    </w:div>
    <w:div w:id="20936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9BBD-C813-4E55-8E47-888AD769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2459</Words>
  <Characters>13526</Characters>
  <Application>Microsoft Office Word</Application>
  <DocSecurity>0</DocSecurity>
  <Lines>112</Lines>
  <Paragraphs>31</Paragraphs>
  <ScaleCrop>false</ScaleCrop>
  <HeadingPairs>
    <vt:vector baseType="variant" size="2">
      <vt:variant>
        <vt:lpstr>Titre</vt:lpstr>
      </vt:variant>
      <vt:variant>
        <vt:i4>1</vt:i4>
      </vt:variant>
    </vt:vector>
  </HeadingPairs>
  <TitlesOfParts>
    <vt:vector baseType="lpstr" size="1">
      <vt:lpstr/>
    </vt:vector>
  </TitlesOfParts>
  <Company>GCATRANS</Company>
  <LinksUpToDate>false</LinksUpToDate>
  <CharactersWithSpaces>15954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2021-09-20T12:05:00Z</dcterms:created>
  <cp:lastPrinted>2021-06-14T12:59:00Z</cp:lastPrinted>
  <dcterms:modified xsi:type="dcterms:W3CDTF">2022-06-16T16:13:00Z</dcterms:modified>
  <cp:revision>12</cp:revision>
</cp:coreProperties>
</file>