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BFB57C3" w14:textId="45015FB4" w:rsidP="00C96802" w:rsidR="00C96802" w:rsidRDefault="00C96802">
      <w:pPr>
        <w:rPr>
          <w:rFonts w:ascii="Calibri Light" w:hAnsi="Calibri Light"/>
          <w:szCs w:val="22"/>
        </w:rPr>
      </w:pPr>
    </w:p>
    <w:p w14:paraId="60C16750" w14:textId="76A5499E" w:rsidP="00C96802" w:rsidR="00D55113" w:rsidRDefault="00D55113">
      <w:pPr>
        <w:rPr>
          <w:rFonts w:ascii="Calibri Light" w:hAnsi="Calibri Light"/>
          <w:szCs w:val="22"/>
        </w:rPr>
      </w:pPr>
    </w:p>
    <w:p w14:paraId="4B052AED" w14:textId="77777777" w:rsidP="00D55113" w:rsidR="00D55113" w:rsidRDefault="00D55113" w:rsidRPr="00D55113">
      <w:pPr>
        <w:pBdr>
          <w:top w:color="auto" w:space="1" w:sz="4" w:val="single"/>
          <w:left w:color="auto" w:space="4" w:sz="4" w:val="single"/>
          <w:bottom w:color="auto" w:space="1" w:sz="4" w:val="single"/>
          <w:right w:color="auto" w:space="4" w:sz="4" w:val="single"/>
        </w:pBdr>
        <w:shd w:color="auto" w:fill="C0C0C0" w:val="clear"/>
        <w:jc w:val="center"/>
        <w:rPr>
          <w:rFonts w:asciiTheme="majorHAnsi" w:cstheme="majorHAnsi" w:hAnsiTheme="majorHAnsi"/>
          <w:b/>
          <w:bCs/>
          <w:szCs w:val="22"/>
          <w:lang w:val="fr-CA"/>
        </w:rPr>
      </w:pPr>
      <w:bookmarkStart w:id="0" w:name="_Hlk528236176"/>
      <w:r w:rsidRPr="00D55113">
        <w:rPr>
          <w:rFonts w:asciiTheme="majorHAnsi" w:cstheme="majorHAnsi" w:hAnsiTheme="majorHAnsi"/>
          <w:b/>
          <w:bCs/>
          <w:szCs w:val="22"/>
          <w:lang w:val="fr-CA"/>
        </w:rPr>
        <w:t xml:space="preserve">NEGOCIATION ANNUELLE D’ETABLISSEMENT 2021-2022 </w:t>
      </w:r>
    </w:p>
    <w:p w14:paraId="204CAEED" w14:textId="0EE3F56B" w:rsidP="00D55113" w:rsidR="00D55113" w:rsidRDefault="00D55113" w:rsidRPr="00D55113">
      <w:pPr>
        <w:pBdr>
          <w:top w:color="auto" w:space="1" w:sz="4" w:val="single"/>
          <w:left w:color="auto" w:space="4" w:sz="4" w:val="single"/>
          <w:bottom w:color="auto" w:space="1" w:sz="4" w:val="single"/>
          <w:right w:color="auto" w:space="4" w:sz="4" w:val="single"/>
        </w:pBdr>
        <w:shd w:color="auto" w:fill="C0C0C0" w:val="clear"/>
        <w:jc w:val="center"/>
        <w:rPr>
          <w:rFonts w:asciiTheme="majorHAnsi" w:cstheme="majorHAnsi" w:hAnsiTheme="majorHAnsi"/>
          <w:b/>
          <w:bCs/>
          <w:szCs w:val="22"/>
          <w:lang w:val="fr-CA"/>
        </w:rPr>
      </w:pPr>
      <w:r w:rsidRPr="00D55113">
        <w:rPr>
          <w:rFonts w:asciiTheme="majorHAnsi" w:cstheme="majorHAnsi" w:hAnsiTheme="majorHAnsi"/>
          <w:b/>
          <w:bCs/>
          <w:szCs w:val="22"/>
          <w:lang w:val="fr-CA"/>
        </w:rPr>
        <w:t>REF DM/BD/0</w:t>
      </w:r>
      <w:r w:rsidR="009D3D0E">
        <w:rPr>
          <w:rFonts w:asciiTheme="majorHAnsi" w:cstheme="majorHAnsi" w:hAnsiTheme="majorHAnsi"/>
          <w:b/>
          <w:bCs/>
          <w:szCs w:val="22"/>
          <w:lang w:val="fr-CA"/>
        </w:rPr>
        <w:t>6</w:t>
      </w:r>
      <w:r w:rsidRPr="00D55113">
        <w:rPr>
          <w:rFonts w:asciiTheme="majorHAnsi" w:cstheme="majorHAnsi" w:hAnsiTheme="majorHAnsi"/>
          <w:b/>
          <w:bCs/>
          <w:szCs w:val="22"/>
          <w:lang w:val="fr-CA"/>
        </w:rPr>
        <w:t xml:space="preserve"> 2022</w:t>
      </w:r>
    </w:p>
    <w:p w14:paraId="38DF71FF" w14:textId="77777777" w:rsidP="00D55113" w:rsidR="00D55113" w:rsidRDefault="00D55113" w:rsidRPr="00D55113">
      <w:pPr>
        <w:pBdr>
          <w:top w:color="auto" w:space="1" w:sz="4" w:val="single"/>
          <w:left w:color="auto" w:space="4" w:sz="4" w:val="single"/>
          <w:bottom w:color="auto" w:space="1" w:sz="4" w:val="single"/>
          <w:right w:color="auto" w:space="4" w:sz="4" w:val="single"/>
        </w:pBdr>
        <w:shd w:color="auto" w:fill="C0C0C0" w:val="clear"/>
        <w:jc w:val="center"/>
        <w:rPr>
          <w:rFonts w:asciiTheme="majorHAnsi" w:cstheme="majorHAnsi" w:hAnsiTheme="majorHAnsi"/>
          <w:b/>
          <w:bCs/>
          <w:szCs w:val="22"/>
          <w:u w:val="single"/>
          <w:lang w:val="fr-CA"/>
        </w:rPr>
      </w:pPr>
      <w:r w:rsidRPr="00D55113">
        <w:rPr>
          <w:rFonts w:asciiTheme="majorHAnsi" w:cstheme="majorHAnsi" w:hAnsiTheme="majorHAnsi"/>
          <w:b/>
          <w:bCs/>
          <w:szCs w:val="22"/>
          <w:lang w:val="fr-CA"/>
        </w:rPr>
        <w:t xml:space="preserve">PROTOCOLE D’ACCORD </w:t>
      </w:r>
    </w:p>
    <w:p w14:paraId="6F250A71" w14:textId="6176E661" w:rsidP="00D55113" w:rsidR="00D55113" w:rsidRDefault="00D55113" w:rsidRPr="00D55113">
      <w:pPr>
        <w:pBdr>
          <w:top w:color="auto" w:space="1" w:sz="4" w:val="single"/>
          <w:left w:color="auto" w:space="4" w:sz="4" w:val="single"/>
          <w:bottom w:color="auto" w:space="1" w:sz="4" w:val="single"/>
          <w:right w:color="auto" w:space="4" w:sz="4" w:val="single"/>
        </w:pBdr>
        <w:shd w:color="auto" w:fill="C0C0C0" w:val="clear"/>
        <w:jc w:val="center"/>
        <w:rPr>
          <w:rFonts w:asciiTheme="majorHAnsi" w:cstheme="majorHAnsi" w:hAnsiTheme="majorHAnsi"/>
          <w:b/>
          <w:bCs/>
          <w:szCs w:val="22"/>
        </w:rPr>
      </w:pPr>
      <w:r w:rsidRPr="00D55113">
        <w:rPr>
          <w:rFonts w:asciiTheme="majorHAnsi" w:cstheme="majorHAnsi" w:hAnsiTheme="majorHAnsi"/>
          <w:b/>
          <w:bCs/>
          <w:szCs w:val="22"/>
          <w:lang w:val="fr-CA"/>
        </w:rPr>
        <w:t xml:space="preserve">ALYZIA PROVINCE </w:t>
      </w:r>
      <w:r w:rsidR="00372655">
        <w:rPr>
          <w:rFonts w:asciiTheme="majorHAnsi" w:cstheme="majorHAnsi" w:hAnsiTheme="majorHAnsi"/>
          <w:b/>
          <w:bCs/>
          <w:szCs w:val="22"/>
          <w:lang w:val="fr-CA"/>
        </w:rPr>
        <w:t>MARSEILLE PROVENCE</w:t>
      </w:r>
      <w:r w:rsidRPr="00D55113">
        <w:rPr>
          <w:rFonts w:asciiTheme="majorHAnsi" w:cstheme="majorHAnsi" w:hAnsiTheme="majorHAnsi"/>
          <w:b/>
          <w:bCs/>
          <w:szCs w:val="22"/>
          <w:lang w:val="fr-CA"/>
        </w:rPr>
        <w:t xml:space="preserve">  </w:t>
      </w:r>
    </w:p>
    <w:p w14:paraId="7B0E83D6" w14:textId="77777777" w:rsidP="00D55113" w:rsidR="00D55113" w:rsidRDefault="00D55113" w:rsidRPr="00D55113">
      <w:pPr>
        <w:pBdr>
          <w:top w:color="auto" w:space="1" w:sz="4" w:val="single"/>
          <w:left w:color="auto" w:space="4" w:sz="4" w:val="single"/>
          <w:bottom w:color="auto" w:space="1" w:sz="4" w:val="single"/>
          <w:right w:color="auto" w:space="4" w:sz="4" w:val="single"/>
        </w:pBdr>
        <w:shd w:color="auto" w:fill="C0C0C0" w:val="clear"/>
        <w:jc w:val="center"/>
        <w:rPr>
          <w:rFonts w:asciiTheme="majorHAnsi" w:cstheme="majorHAnsi" w:hAnsiTheme="majorHAnsi"/>
          <w:szCs w:val="22"/>
        </w:rPr>
      </w:pPr>
      <w:r w:rsidRPr="00D55113">
        <w:rPr>
          <w:rFonts w:asciiTheme="majorHAnsi" w:cstheme="majorHAnsi" w:hAnsiTheme="majorHAnsi"/>
          <w:b/>
          <w:bCs/>
          <w:szCs w:val="22"/>
          <w:lang w:val="fr-CA"/>
        </w:rPr>
        <w:t xml:space="preserve"> </w:t>
      </w:r>
    </w:p>
    <w:p w14:paraId="76E4B36E" w14:textId="77777777" w:rsidP="00D55113" w:rsidR="00D55113" w:rsidRDefault="00D55113" w:rsidRPr="00D55113">
      <w:pPr>
        <w:ind w:left="360"/>
        <w:rPr>
          <w:rFonts w:asciiTheme="majorHAnsi" w:cstheme="majorHAnsi" w:hAnsiTheme="majorHAnsi"/>
          <w:szCs w:val="22"/>
          <w:lang w:val="fr-CA"/>
        </w:rPr>
      </w:pPr>
    </w:p>
    <w:p w14:paraId="3EC48B8E" w14:textId="00C72A11" w:rsidP="00D55113" w:rsidR="00D55113" w:rsidRDefault="00D55113" w:rsidRPr="00D55113">
      <w:pPr>
        <w:numPr>
          <w:ilvl w:val="0"/>
          <w:numId w:val="4"/>
        </w:numPr>
        <w:overflowPunct w:val="0"/>
        <w:autoSpaceDE w:val="0"/>
        <w:autoSpaceDN w:val="0"/>
        <w:adjustRightInd w:val="0"/>
        <w:jc w:val="left"/>
        <w:textAlignment w:val="baseline"/>
        <w:rPr>
          <w:rFonts w:asciiTheme="majorHAnsi" w:cstheme="majorHAnsi" w:hAnsiTheme="majorHAnsi"/>
          <w:szCs w:val="22"/>
        </w:rPr>
      </w:pPr>
      <w:r w:rsidRPr="00D55113">
        <w:rPr>
          <w:rFonts w:asciiTheme="majorHAnsi" w:cstheme="majorHAnsi" w:hAnsiTheme="majorHAnsi"/>
          <w:szCs w:val="22"/>
        </w:rPr>
        <w:t xml:space="preserve">ALYZIA PROVINCE, immatriculée au RCS de Toulouse 815 037 825, dont le siège social est situé 106 Avenue Tolosane 31520 RAMONVILLE-SAINT-AGNE, pour son établissement de </w:t>
      </w:r>
      <w:r w:rsidR="00372655">
        <w:rPr>
          <w:rFonts w:asciiTheme="majorHAnsi" w:cstheme="majorHAnsi" w:hAnsiTheme="majorHAnsi"/>
          <w:szCs w:val="22"/>
        </w:rPr>
        <w:t>MARSEILLE</w:t>
      </w:r>
      <w:r w:rsidRPr="00D55113">
        <w:rPr>
          <w:rFonts w:asciiTheme="majorHAnsi" w:cstheme="majorHAnsi" w:hAnsiTheme="majorHAnsi"/>
          <w:szCs w:val="22"/>
        </w:rPr>
        <w:t>, représentée par Monsieur, Président, et par Madame agissant en qualité de DRH Adjointe Province 3S/ALYZIA, ayant tous pouvoirs à l’effet des présentes, ci-après dénommée : la société,</w:t>
      </w:r>
    </w:p>
    <w:p w14:paraId="152AA586" w14:textId="77777777" w:rsidP="00D55113" w:rsidR="00D55113" w:rsidRDefault="00D55113" w:rsidRPr="00D55113">
      <w:pPr>
        <w:jc w:val="left"/>
        <w:rPr>
          <w:rFonts w:asciiTheme="majorHAnsi" w:cstheme="majorHAnsi" w:hAnsiTheme="majorHAnsi"/>
          <w:szCs w:val="22"/>
        </w:rPr>
      </w:pPr>
    </w:p>
    <w:p w14:paraId="201CBE7A" w14:textId="77777777" w:rsidP="00D55113" w:rsidR="00D55113" w:rsidRDefault="00D55113" w:rsidRPr="00D55113">
      <w:pPr>
        <w:jc w:val="left"/>
        <w:rPr>
          <w:rFonts w:asciiTheme="majorHAnsi" w:cstheme="majorHAnsi" w:hAnsiTheme="majorHAnsi"/>
          <w:szCs w:val="22"/>
        </w:rPr>
      </w:pPr>
      <w:r w:rsidRPr="00D55113">
        <w:rPr>
          <w:rFonts w:asciiTheme="majorHAnsi" w:cstheme="majorHAnsi" w:hAnsiTheme="majorHAnsi"/>
          <w:szCs w:val="22"/>
        </w:rPr>
        <w:t>D’une part,</w:t>
      </w:r>
    </w:p>
    <w:p w14:paraId="09C41C06" w14:textId="77777777" w:rsidP="00D55113" w:rsidR="00D55113" w:rsidRDefault="00D55113" w:rsidRPr="00D55113">
      <w:pPr>
        <w:jc w:val="left"/>
        <w:rPr>
          <w:rFonts w:asciiTheme="majorHAnsi" w:cstheme="majorHAnsi" w:hAnsiTheme="majorHAnsi"/>
          <w:szCs w:val="22"/>
        </w:rPr>
      </w:pPr>
    </w:p>
    <w:p w14:paraId="4373D384" w14:textId="77777777" w:rsidP="00D55113" w:rsidR="00D55113" w:rsidRDefault="00D55113" w:rsidRPr="00D55113">
      <w:pPr>
        <w:jc w:val="left"/>
        <w:rPr>
          <w:rFonts w:asciiTheme="majorHAnsi" w:cstheme="majorHAnsi" w:hAnsiTheme="majorHAnsi"/>
          <w:szCs w:val="22"/>
        </w:rPr>
      </w:pPr>
      <w:r w:rsidRPr="00D55113">
        <w:rPr>
          <w:rFonts w:asciiTheme="majorHAnsi" w:cstheme="majorHAnsi" w:hAnsiTheme="majorHAnsi"/>
          <w:szCs w:val="22"/>
        </w:rPr>
        <w:t xml:space="preserve">Et </w:t>
      </w:r>
    </w:p>
    <w:p w14:paraId="4D8657C7" w14:textId="77777777" w:rsidP="00D55113" w:rsidR="00D55113" w:rsidRDefault="00D55113" w:rsidRPr="00D55113">
      <w:pPr>
        <w:jc w:val="left"/>
        <w:rPr>
          <w:rFonts w:asciiTheme="majorHAnsi" w:cstheme="majorHAnsi" w:hAnsiTheme="majorHAnsi"/>
          <w:szCs w:val="22"/>
        </w:rPr>
      </w:pPr>
    </w:p>
    <w:p w14:paraId="6772C83F" w14:textId="73A58279" w:rsidP="00372655" w:rsidR="00372655" w:rsidRDefault="00372655" w:rsidRPr="00372655">
      <w:pPr>
        <w:numPr>
          <w:ilvl w:val="0"/>
          <w:numId w:val="4"/>
        </w:numPr>
        <w:jc w:val="left"/>
        <w:rPr>
          <w:rFonts w:asciiTheme="majorHAnsi" w:cstheme="majorHAnsi" w:hAnsiTheme="majorHAnsi"/>
          <w:szCs w:val="22"/>
        </w:rPr>
      </w:pPr>
      <w:r w:rsidRPr="00372655">
        <w:rPr>
          <w:rFonts w:asciiTheme="majorHAnsi" w:cstheme="majorHAnsi" w:hAnsiTheme="majorHAnsi"/>
          <w:szCs w:val="22"/>
        </w:rPr>
        <w:t xml:space="preserve">Le syndicat </w:t>
      </w:r>
      <w:bookmarkStart w:id="1" w:name="_Hlk31121538"/>
      <w:r w:rsidRPr="00372655">
        <w:rPr>
          <w:rFonts w:asciiTheme="majorHAnsi" w:cstheme="majorHAnsi" w:hAnsiTheme="majorHAnsi"/>
          <w:szCs w:val="22"/>
        </w:rPr>
        <w:t xml:space="preserve">FO-ACTA représenté par Madame </w:t>
      </w:r>
      <w:bookmarkEnd w:id="1"/>
      <w:r w:rsidRPr="00372655">
        <w:rPr>
          <w:rFonts w:asciiTheme="majorHAnsi" w:cstheme="majorHAnsi" w:hAnsiTheme="majorHAnsi"/>
          <w:szCs w:val="22"/>
        </w:rPr>
        <w:t>en qualité de déléguée syndicale</w:t>
      </w:r>
    </w:p>
    <w:p w14:paraId="45794D65" w14:textId="77777777" w:rsidP="00D55113" w:rsidR="00D55113" w:rsidRDefault="00D55113" w:rsidRPr="00D55113">
      <w:pPr>
        <w:jc w:val="left"/>
        <w:rPr>
          <w:rFonts w:asciiTheme="majorHAnsi" w:cstheme="majorHAnsi" w:hAnsiTheme="majorHAnsi"/>
          <w:szCs w:val="22"/>
        </w:rPr>
      </w:pPr>
    </w:p>
    <w:p w14:paraId="599AE81E" w14:textId="77777777" w:rsidP="00D55113" w:rsidR="00D55113" w:rsidRDefault="00D55113" w:rsidRPr="00D55113">
      <w:pPr>
        <w:jc w:val="left"/>
        <w:rPr>
          <w:rFonts w:asciiTheme="majorHAnsi" w:cstheme="majorHAnsi" w:hAnsiTheme="majorHAnsi"/>
          <w:szCs w:val="22"/>
        </w:rPr>
      </w:pPr>
    </w:p>
    <w:p w14:paraId="26C7AB3B" w14:textId="77777777" w:rsidP="00D55113" w:rsidR="00D55113" w:rsidRDefault="00D55113" w:rsidRPr="00D55113">
      <w:pPr>
        <w:jc w:val="left"/>
        <w:rPr>
          <w:rFonts w:asciiTheme="majorHAnsi" w:cstheme="majorHAnsi" w:hAnsiTheme="majorHAnsi"/>
          <w:szCs w:val="22"/>
        </w:rPr>
      </w:pPr>
      <w:r w:rsidRPr="00D55113">
        <w:rPr>
          <w:rFonts w:asciiTheme="majorHAnsi" w:cstheme="majorHAnsi" w:hAnsiTheme="majorHAnsi"/>
          <w:szCs w:val="22"/>
        </w:rPr>
        <w:t xml:space="preserve">D’autre part. </w:t>
      </w:r>
    </w:p>
    <w:p w14:paraId="5500B23A" w14:textId="77777777" w:rsidP="00D55113" w:rsidR="00D55113" w:rsidRDefault="00D55113" w:rsidRPr="00D55113">
      <w:pPr>
        <w:jc w:val="left"/>
        <w:rPr>
          <w:rFonts w:asciiTheme="majorHAnsi" w:cstheme="majorHAnsi" w:hAnsiTheme="majorHAnsi"/>
          <w:szCs w:val="22"/>
        </w:rPr>
      </w:pPr>
    </w:p>
    <w:p w14:paraId="16C232F7" w14:textId="19588D85"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 xml:space="preserve">La négociation annuelle obligatoire d’entreprise, prévue aux articles L.2242-1 et suivants du Code du Travail, s’est déroulée en </w:t>
      </w:r>
      <w:r w:rsidR="00AB2461">
        <w:rPr>
          <w:rFonts w:asciiTheme="majorHAnsi" w:cstheme="majorHAnsi" w:hAnsiTheme="majorHAnsi"/>
          <w:bCs/>
          <w:szCs w:val="22"/>
        </w:rPr>
        <w:t xml:space="preserve">quatre </w:t>
      </w:r>
      <w:r w:rsidRPr="00D55113">
        <w:rPr>
          <w:rFonts w:asciiTheme="majorHAnsi" w:cstheme="majorHAnsi" w:hAnsiTheme="majorHAnsi"/>
          <w:bCs/>
          <w:szCs w:val="22"/>
        </w:rPr>
        <w:t>réunions réparties sur les mois de février</w:t>
      </w:r>
      <w:r w:rsidR="00372655">
        <w:rPr>
          <w:rFonts w:asciiTheme="majorHAnsi" w:cstheme="majorHAnsi" w:hAnsiTheme="majorHAnsi"/>
          <w:bCs/>
          <w:szCs w:val="22"/>
        </w:rPr>
        <w:t xml:space="preserve">, </w:t>
      </w:r>
      <w:r w:rsidR="00E15DB7">
        <w:rPr>
          <w:rFonts w:asciiTheme="majorHAnsi" w:cstheme="majorHAnsi" w:hAnsiTheme="majorHAnsi"/>
          <w:bCs/>
          <w:szCs w:val="22"/>
        </w:rPr>
        <w:t>mars</w:t>
      </w:r>
      <w:r w:rsidR="00AB2461">
        <w:rPr>
          <w:rFonts w:asciiTheme="majorHAnsi" w:cstheme="majorHAnsi" w:hAnsiTheme="majorHAnsi"/>
          <w:bCs/>
          <w:szCs w:val="22"/>
        </w:rPr>
        <w:t>,</w:t>
      </w:r>
      <w:r w:rsidR="00372655">
        <w:rPr>
          <w:rFonts w:asciiTheme="majorHAnsi" w:cstheme="majorHAnsi" w:hAnsiTheme="majorHAnsi"/>
          <w:bCs/>
          <w:szCs w:val="22"/>
        </w:rPr>
        <w:t xml:space="preserve"> avril </w:t>
      </w:r>
      <w:r w:rsidR="00AB2461">
        <w:rPr>
          <w:rFonts w:asciiTheme="majorHAnsi" w:cstheme="majorHAnsi" w:hAnsiTheme="majorHAnsi"/>
          <w:bCs/>
          <w:szCs w:val="22"/>
        </w:rPr>
        <w:t xml:space="preserve">et mai </w:t>
      </w:r>
      <w:r w:rsidRPr="00D55113">
        <w:rPr>
          <w:rFonts w:asciiTheme="majorHAnsi" w:cstheme="majorHAnsi" w:hAnsiTheme="majorHAnsi"/>
          <w:bCs/>
          <w:szCs w:val="22"/>
        </w:rPr>
        <w:t>2022.</w:t>
      </w:r>
    </w:p>
    <w:p w14:paraId="3329E3AE" w14:textId="77777777" w:rsidP="00D55113" w:rsidR="00D55113" w:rsidRDefault="00D55113" w:rsidRPr="00D55113">
      <w:pPr>
        <w:jc w:val="left"/>
        <w:rPr>
          <w:rFonts w:asciiTheme="majorHAnsi" w:cstheme="majorHAnsi" w:hAnsiTheme="majorHAnsi"/>
          <w:bCs/>
          <w:szCs w:val="22"/>
        </w:rPr>
      </w:pPr>
    </w:p>
    <w:p w14:paraId="69105BA8" w14:textId="77777777" w:rsidP="00D55113" w:rsidR="00D55113" w:rsidRDefault="00D55113" w:rsidRPr="00D55113">
      <w:pPr>
        <w:jc w:val="left"/>
        <w:rPr>
          <w:rFonts w:asciiTheme="majorHAnsi" w:cstheme="majorHAnsi" w:hAnsiTheme="majorHAnsi"/>
          <w:bCs/>
          <w:szCs w:val="22"/>
        </w:rPr>
      </w:pPr>
    </w:p>
    <w:p w14:paraId="339926E1"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Préambule</w:t>
      </w:r>
    </w:p>
    <w:p w14:paraId="15756054" w14:textId="77777777" w:rsidP="00D55113" w:rsidR="00D55113" w:rsidRDefault="00D55113" w:rsidRPr="00D55113">
      <w:pPr>
        <w:jc w:val="left"/>
        <w:rPr>
          <w:rFonts w:asciiTheme="majorHAnsi" w:cstheme="majorHAnsi" w:hAnsiTheme="majorHAnsi"/>
          <w:bCs/>
          <w:szCs w:val="22"/>
        </w:rPr>
      </w:pPr>
    </w:p>
    <w:p w14:paraId="52FD4125"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En raison du contexte mondial de la pandémie du COVID-19 et de son impact national, international, l’activité de nos donneurs d’ordre (aéroports, compagnies, …) et en conséquence nos activités sont fortement impactées depuis mars 2020.</w:t>
      </w:r>
    </w:p>
    <w:p w14:paraId="58B8FEFB" w14:textId="77777777" w:rsidP="00D55113" w:rsidR="00D55113" w:rsidRDefault="00D55113" w:rsidRPr="00D55113">
      <w:pPr>
        <w:jc w:val="left"/>
        <w:rPr>
          <w:rFonts w:asciiTheme="majorHAnsi" w:cstheme="majorHAnsi" w:hAnsiTheme="majorHAnsi"/>
          <w:bCs/>
          <w:szCs w:val="22"/>
        </w:rPr>
      </w:pPr>
    </w:p>
    <w:p w14:paraId="4C1ADB85"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Le secteur aérien est un des secteurs les plus affectés et durablement affecté car soumis aux politiques gouvernementales pour lutter contre la propagation du virus et des différents variants.</w:t>
      </w:r>
    </w:p>
    <w:p w14:paraId="3D644C37" w14:textId="77777777" w:rsidP="00D55113" w:rsidR="00D55113" w:rsidRDefault="00D55113" w:rsidRPr="00D55113">
      <w:pPr>
        <w:jc w:val="left"/>
        <w:rPr>
          <w:rFonts w:asciiTheme="majorHAnsi" w:cstheme="majorHAnsi" w:hAnsiTheme="majorHAnsi"/>
          <w:bCs/>
          <w:szCs w:val="22"/>
        </w:rPr>
      </w:pPr>
    </w:p>
    <w:p w14:paraId="4BCCBE16" w14:textId="59F1BA76"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 xml:space="preserve">Aux termes de ces réunions, après avoir examiné les différents thèmes prévus par le Code du travail et conformément aux dispositions légales permettant une périodicité maximum de 4 ans sur les thèmes abordés, les parties se sont entendues afin de conclure un accord au sein de l’escale de </w:t>
      </w:r>
      <w:r w:rsidR="00372655">
        <w:rPr>
          <w:rFonts w:asciiTheme="majorHAnsi" w:cstheme="majorHAnsi" w:hAnsiTheme="majorHAnsi"/>
          <w:szCs w:val="22"/>
          <w:lang w:val="fr-CA"/>
        </w:rPr>
        <w:t>Marseille</w:t>
      </w:r>
      <w:r w:rsidRPr="00D55113">
        <w:rPr>
          <w:rFonts w:asciiTheme="majorHAnsi" w:cstheme="majorHAnsi" w:hAnsiTheme="majorHAnsi"/>
          <w:szCs w:val="22"/>
          <w:lang w:val="fr-CA"/>
        </w:rPr>
        <w:t xml:space="preserve"> pour l’exercice 2022. </w:t>
      </w:r>
    </w:p>
    <w:p w14:paraId="08A51F3F" w14:textId="77777777" w:rsidP="00D55113" w:rsidR="00D55113" w:rsidRDefault="00D55113" w:rsidRPr="00D55113">
      <w:pPr>
        <w:jc w:val="left"/>
        <w:rPr>
          <w:rFonts w:asciiTheme="majorHAnsi" w:cstheme="majorHAnsi" w:hAnsiTheme="majorHAnsi"/>
          <w:szCs w:val="22"/>
          <w:lang w:val="fr-CA"/>
        </w:rPr>
      </w:pPr>
    </w:p>
    <w:p w14:paraId="07200CFE" w14:textId="77777777" w:rsidP="00D55113" w:rsidR="00D55113" w:rsidRDefault="00D55113" w:rsidRPr="00D55113">
      <w:pPr>
        <w:jc w:val="left"/>
        <w:rPr>
          <w:rFonts w:asciiTheme="majorHAnsi" w:cstheme="majorHAnsi" w:hAnsiTheme="majorHAnsi"/>
          <w:szCs w:val="22"/>
          <w:lang w:val="fr-CA"/>
        </w:rPr>
      </w:pPr>
    </w:p>
    <w:p w14:paraId="739F25F7" w14:textId="77777777" w:rsidP="00D55113" w:rsidR="00D55113" w:rsidRDefault="00D55113" w:rsidRPr="001C23AE">
      <w:pPr>
        <w:jc w:val="left"/>
        <w:rPr>
          <w:rFonts w:asciiTheme="majorHAnsi" w:cstheme="majorHAnsi" w:hAnsiTheme="majorHAnsi"/>
          <w:b/>
          <w:bCs/>
          <w:szCs w:val="22"/>
          <w:lang w:val="fr-CA"/>
        </w:rPr>
      </w:pPr>
      <w:r w:rsidRPr="001C23AE">
        <w:rPr>
          <w:rFonts w:asciiTheme="majorHAnsi" w:cstheme="majorHAnsi" w:hAnsiTheme="majorHAnsi"/>
          <w:b/>
          <w:bCs/>
          <w:szCs w:val="22"/>
          <w:lang w:val="fr-CA"/>
        </w:rPr>
        <w:t>Article 1 – Éléments de rémunération</w:t>
      </w:r>
    </w:p>
    <w:p w14:paraId="3B806FB0" w14:textId="77777777" w:rsidP="00D55113" w:rsidR="00D55113" w:rsidRDefault="00D55113" w:rsidRPr="00D55113">
      <w:pPr>
        <w:jc w:val="left"/>
        <w:rPr>
          <w:rFonts w:asciiTheme="majorHAnsi" w:cstheme="majorHAnsi" w:hAnsiTheme="majorHAnsi"/>
          <w:szCs w:val="22"/>
          <w:lang w:val="fr-CA"/>
        </w:rPr>
      </w:pPr>
    </w:p>
    <w:p w14:paraId="49498FA0" w14:textId="77777777" w:rsidP="00D55113" w:rsidR="00D55113" w:rsidRDefault="00D55113" w:rsidRPr="00372655">
      <w:pPr>
        <w:jc w:val="left"/>
        <w:rPr>
          <w:rFonts w:asciiTheme="majorHAnsi" w:cstheme="majorHAnsi" w:hAnsiTheme="majorHAnsi"/>
          <w:b/>
          <w:bCs/>
          <w:szCs w:val="22"/>
          <w:u w:val="single"/>
          <w:lang w:val="fr-CA"/>
        </w:rPr>
      </w:pPr>
      <w:r w:rsidRPr="00372655">
        <w:rPr>
          <w:rFonts w:asciiTheme="majorHAnsi" w:cstheme="majorHAnsi" w:hAnsiTheme="majorHAnsi"/>
          <w:b/>
          <w:bCs/>
          <w:szCs w:val="22"/>
          <w:u w:val="single"/>
          <w:lang w:val="fr-CA"/>
        </w:rPr>
        <w:t xml:space="preserve">Article 1.1 : Prime de présentéisme </w:t>
      </w:r>
    </w:p>
    <w:p w14:paraId="2617BB0D" w14:textId="77777777" w:rsidP="00D55113" w:rsidR="00D55113" w:rsidRDefault="00D55113" w:rsidRPr="00D55113">
      <w:pPr>
        <w:jc w:val="left"/>
        <w:rPr>
          <w:rFonts w:asciiTheme="majorHAnsi" w:cstheme="majorHAnsi" w:hAnsiTheme="majorHAnsi"/>
          <w:szCs w:val="22"/>
          <w:u w:val="single"/>
          <w:lang w:val="fr-CA"/>
        </w:rPr>
      </w:pPr>
    </w:p>
    <w:p w14:paraId="776FB7F6"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A l’issue des dernières négociations annuelles de 2019, les parties ont convenu de mettre en place une majoration supplémentaire pour les heures effectuées sur la vacation du dimanche si les conditions étaient remplies.</w:t>
      </w:r>
    </w:p>
    <w:p w14:paraId="13F15B32"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Rappel des conditions </w:t>
      </w:r>
      <w:bookmarkStart w:id="2" w:name="_Hlk95032579"/>
      <w:r w:rsidRPr="00D55113">
        <w:rPr>
          <w:rFonts w:asciiTheme="majorHAnsi" w:cstheme="majorHAnsi" w:hAnsiTheme="majorHAnsi"/>
          <w:szCs w:val="22"/>
          <w:lang w:val="fr-CA"/>
        </w:rPr>
        <w:t xml:space="preserve">: être programmé de vacations </w:t>
      </w:r>
      <w:bookmarkStart w:id="3" w:name="_Hlk95033748"/>
      <w:r w:rsidRPr="00D55113">
        <w:rPr>
          <w:rFonts w:asciiTheme="majorHAnsi" w:cstheme="majorHAnsi" w:hAnsiTheme="majorHAnsi"/>
          <w:szCs w:val="22"/>
          <w:lang w:val="fr-CA"/>
        </w:rPr>
        <w:t xml:space="preserve">soit le samedi / dimanche soit le dimanche / lundi </w:t>
      </w:r>
      <w:bookmarkEnd w:id="3"/>
      <w:r w:rsidRPr="00D55113">
        <w:rPr>
          <w:rFonts w:asciiTheme="majorHAnsi" w:cstheme="majorHAnsi" w:hAnsiTheme="majorHAnsi"/>
          <w:szCs w:val="22"/>
          <w:lang w:val="fr-CA"/>
        </w:rPr>
        <w:t>et être présent pendant les deux vacations visées.</w:t>
      </w:r>
    </w:p>
    <w:p w14:paraId="2D444656" w14:textId="77777777" w:rsidP="00D55113" w:rsidR="00D55113" w:rsidRDefault="00D55113" w:rsidRPr="00D55113">
      <w:pPr>
        <w:jc w:val="left"/>
        <w:rPr>
          <w:rFonts w:asciiTheme="majorHAnsi" w:cstheme="majorHAnsi" w:hAnsiTheme="majorHAnsi"/>
          <w:szCs w:val="22"/>
          <w:lang w:val="fr-CA"/>
        </w:rPr>
      </w:pPr>
      <w:bookmarkStart w:id="4" w:name="_Hlk95035632"/>
      <w:bookmarkEnd w:id="2"/>
      <w:r w:rsidRPr="00D55113">
        <w:rPr>
          <w:rFonts w:asciiTheme="majorHAnsi" w:cstheme="majorHAnsi" w:hAnsiTheme="majorHAnsi"/>
          <w:szCs w:val="22"/>
          <w:lang w:val="fr-CA"/>
        </w:rPr>
        <w:lastRenderedPageBreak/>
        <w:t xml:space="preserve">Toute absence du salarié pour quelque cause que ce soit (à l’exclusion des congés exceptionnels et conventionnels pour évènement de famille art. 30 CCNTA-PS) annule le versement de cette prime </w:t>
      </w:r>
      <w:bookmarkEnd w:id="4"/>
      <w:r w:rsidRPr="00D55113">
        <w:rPr>
          <w:rFonts w:asciiTheme="majorHAnsi" w:cstheme="majorHAnsi" w:hAnsiTheme="majorHAnsi"/>
          <w:szCs w:val="22"/>
          <w:lang w:val="fr-CA"/>
        </w:rPr>
        <w:t xml:space="preserve">sur la vacation du dimanche.  </w:t>
      </w:r>
    </w:p>
    <w:p w14:paraId="2F4B1B6C" w14:textId="77777777" w:rsidP="00D55113" w:rsidR="00D55113" w:rsidRDefault="00D55113" w:rsidRPr="00D55113">
      <w:pPr>
        <w:jc w:val="left"/>
        <w:rPr>
          <w:rFonts w:asciiTheme="majorHAnsi" w:cstheme="majorHAnsi" w:hAnsiTheme="majorHAnsi"/>
          <w:szCs w:val="22"/>
          <w:highlight w:val="yellow"/>
          <w:lang w:val="fr-CA"/>
        </w:rPr>
      </w:pPr>
    </w:p>
    <w:p w14:paraId="6F67D154" w14:textId="77777777" w:rsidP="00D55113" w:rsidR="00D55113" w:rsidRDefault="00D55113" w:rsidRPr="00D55113">
      <w:pPr>
        <w:jc w:val="left"/>
        <w:rPr>
          <w:rFonts w:asciiTheme="majorHAnsi" w:cstheme="majorHAnsi" w:hAnsiTheme="majorHAnsi"/>
          <w:szCs w:val="22"/>
          <w:u w:val="single"/>
          <w:lang w:val="fr-CA"/>
        </w:rPr>
      </w:pPr>
      <w:r w:rsidRPr="00D55113">
        <w:rPr>
          <w:rFonts w:asciiTheme="majorHAnsi" w:cstheme="majorHAnsi" w:hAnsiTheme="majorHAnsi"/>
          <w:szCs w:val="22"/>
          <w:lang w:val="fr-CA"/>
        </w:rPr>
        <w:t xml:space="preserve">De plus, au regard du contexte de crise sanitaire que nous visons depuis mars 2020, les parties conviennent de ne pas tenir compte de la mise en activité partielle sur la vacation du samedi ou du lundi pour verser la majoration </w:t>
      </w:r>
      <w:bookmarkStart w:id="5" w:name="_Hlk27500920"/>
      <w:r w:rsidRPr="00D55113">
        <w:rPr>
          <w:rFonts w:asciiTheme="majorHAnsi" w:cstheme="majorHAnsi" w:hAnsiTheme="majorHAnsi"/>
          <w:szCs w:val="22"/>
          <w:lang w:val="fr-CA"/>
        </w:rPr>
        <w:t xml:space="preserve">de 25% supplémentaire pour les heures effectuées sur la vacation du dimanche </w:t>
      </w:r>
      <w:r w:rsidRPr="00D55113">
        <w:rPr>
          <w:rFonts w:asciiTheme="majorHAnsi" w:cstheme="majorHAnsi" w:hAnsiTheme="majorHAnsi"/>
          <w:szCs w:val="22"/>
          <w:u w:val="single"/>
          <w:lang w:val="fr-CA"/>
        </w:rPr>
        <w:t xml:space="preserve">à compter de la date de signature des présentes négociations. </w:t>
      </w:r>
    </w:p>
    <w:bookmarkEnd w:id="5"/>
    <w:p w14:paraId="7CD66E36" w14:textId="77777777" w:rsidP="00D55113" w:rsidR="00D55113" w:rsidRDefault="00D55113" w:rsidRPr="00D55113">
      <w:pPr>
        <w:jc w:val="left"/>
        <w:rPr>
          <w:rFonts w:asciiTheme="majorHAnsi" w:cstheme="majorHAnsi" w:hAnsiTheme="majorHAnsi"/>
          <w:szCs w:val="22"/>
          <w:lang w:val="fr-CA"/>
        </w:rPr>
      </w:pPr>
    </w:p>
    <w:p w14:paraId="494F00A2" w14:textId="77777777" w:rsidP="00D55113" w:rsidR="00D55113" w:rsidRDefault="00D55113" w:rsidRPr="00D55113">
      <w:pPr>
        <w:jc w:val="left"/>
        <w:rPr>
          <w:rFonts w:asciiTheme="majorHAnsi" w:cstheme="majorHAnsi" w:hAnsiTheme="majorHAnsi"/>
          <w:szCs w:val="22"/>
          <w:u w:val="single"/>
          <w:lang w:val="fr-CA"/>
        </w:rPr>
      </w:pPr>
      <w:r w:rsidRPr="00D55113">
        <w:rPr>
          <w:rFonts w:asciiTheme="majorHAnsi" w:cstheme="majorHAnsi" w:hAnsiTheme="majorHAnsi"/>
          <w:szCs w:val="22"/>
          <w:lang w:val="fr-CA"/>
        </w:rPr>
        <w:t>Les autres conditions restent inchangées.</w:t>
      </w:r>
    </w:p>
    <w:p w14:paraId="76D819CB" w14:textId="77777777" w:rsidP="00D55113" w:rsidR="00D55113" w:rsidRDefault="00D55113" w:rsidRPr="00D55113">
      <w:pPr>
        <w:ind w:left="720"/>
        <w:contextualSpacing/>
        <w:jc w:val="left"/>
        <w:rPr>
          <w:rFonts w:asciiTheme="majorHAnsi" w:cstheme="majorHAnsi" w:hAnsiTheme="majorHAnsi"/>
          <w:szCs w:val="22"/>
          <w:u w:val="single"/>
          <w:lang w:val="fr-CA"/>
        </w:rPr>
      </w:pPr>
    </w:p>
    <w:p w14:paraId="05CB8E2F" w14:textId="77777777" w:rsidP="00372655" w:rsidR="00372655" w:rsidRDefault="00372655" w:rsidRPr="00372655">
      <w:pPr>
        <w:jc w:val="left"/>
        <w:rPr>
          <w:rFonts w:asciiTheme="majorHAnsi" w:cstheme="majorHAnsi" w:hAnsiTheme="majorHAnsi"/>
          <w:b/>
          <w:bCs/>
          <w:szCs w:val="22"/>
          <w:u w:val="single"/>
          <w:lang w:val="fr-CA"/>
        </w:rPr>
      </w:pPr>
      <w:bookmarkStart w:id="6" w:name="_Hlk27502589"/>
      <w:r w:rsidRPr="00372655">
        <w:rPr>
          <w:rFonts w:asciiTheme="majorHAnsi" w:cstheme="majorHAnsi" w:hAnsiTheme="majorHAnsi"/>
          <w:b/>
          <w:bCs/>
          <w:szCs w:val="22"/>
          <w:u w:val="single"/>
          <w:lang w:val="fr-CA"/>
        </w:rPr>
        <w:t xml:space="preserve">Article 1.2. : Indemnité kilométrique : </w:t>
      </w:r>
    </w:p>
    <w:p w14:paraId="6D1A4A48" w14:textId="77777777" w:rsidP="00372655" w:rsidR="00372655" w:rsidRDefault="00372655" w:rsidRPr="00372655">
      <w:pPr>
        <w:jc w:val="left"/>
        <w:rPr>
          <w:rFonts w:asciiTheme="majorHAnsi" w:cstheme="majorHAnsi" w:hAnsiTheme="majorHAnsi"/>
          <w:szCs w:val="22"/>
          <w:u w:val="single"/>
          <w:lang w:val="fr-CA"/>
        </w:rPr>
      </w:pPr>
    </w:p>
    <w:p w14:paraId="24A0A89D" w14:textId="43555A55" w:rsidP="00372655" w:rsidR="00372655" w:rsidRDefault="00372655" w:rsidRPr="00372655">
      <w:pPr>
        <w:jc w:val="left"/>
        <w:rPr>
          <w:rFonts w:asciiTheme="majorHAnsi" w:cstheme="majorHAnsi" w:hAnsiTheme="majorHAnsi"/>
          <w:b/>
          <w:bCs/>
          <w:szCs w:val="22"/>
          <w:lang w:val="fr-CA"/>
        </w:rPr>
      </w:pPr>
      <w:r w:rsidRPr="00372655">
        <w:rPr>
          <w:rFonts w:asciiTheme="majorHAnsi" w:cstheme="majorHAnsi" w:hAnsiTheme="majorHAnsi"/>
          <w:szCs w:val="22"/>
          <w:lang w:val="fr-CA"/>
        </w:rPr>
        <w:t xml:space="preserve">Les parties, conscientes de la nécessité de prendre en compte le contexte particulier du travail en escale (horaires décalés avec nécessité d’utiliser un véhicule) et l’augmentation du prix du carburant, conviennent de revaloriser </w:t>
      </w:r>
      <w:r w:rsidRPr="00372655">
        <w:rPr>
          <w:rFonts w:asciiTheme="majorHAnsi" w:cstheme="majorHAnsi" w:hAnsiTheme="majorHAnsi"/>
          <w:b/>
          <w:bCs/>
          <w:szCs w:val="22"/>
          <w:lang w:val="fr-CA"/>
        </w:rPr>
        <w:t xml:space="preserve">l’indemnité kilométrique à hauteur de 3€ </w:t>
      </w:r>
      <w:r w:rsidRPr="00550E5F">
        <w:rPr>
          <w:rFonts w:asciiTheme="majorHAnsi" w:cstheme="majorHAnsi" w:hAnsiTheme="majorHAnsi"/>
          <w:b/>
          <w:bCs/>
          <w:szCs w:val="22"/>
          <w:lang w:val="fr-CA"/>
        </w:rPr>
        <w:t>par jour travaillé</w:t>
      </w:r>
      <w:r w:rsidRPr="00372655">
        <w:rPr>
          <w:rFonts w:asciiTheme="majorHAnsi" w:cstheme="majorHAnsi" w:hAnsiTheme="majorHAnsi"/>
          <w:b/>
          <w:bCs/>
          <w:szCs w:val="22"/>
          <w:lang w:val="fr-CA"/>
        </w:rPr>
        <w:t xml:space="preserve"> au 1</w:t>
      </w:r>
      <w:r w:rsidRPr="00372655">
        <w:rPr>
          <w:rFonts w:asciiTheme="majorHAnsi" w:cstheme="majorHAnsi" w:hAnsiTheme="majorHAnsi"/>
          <w:b/>
          <w:bCs/>
          <w:szCs w:val="22"/>
          <w:vertAlign w:val="superscript"/>
          <w:lang w:val="fr-CA"/>
        </w:rPr>
        <w:t>er</w:t>
      </w:r>
      <w:r w:rsidRPr="00372655">
        <w:rPr>
          <w:rFonts w:asciiTheme="majorHAnsi" w:cstheme="majorHAnsi" w:hAnsiTheme="majorHAnsi"/>
          <w:b/>
          <w:bCs/>
          <w:szCs w:val="22"/>
          <w:lang w:val="fr-CA"/>
        </w:rPr>
        <w:t xml:space="preserve"> </w:t>
      </w:r>
      <w:r w:rsidR="00550E5F">
        <w:rPr>
          <w:rFonts w:asciiTheme="majorHAnsi" w:cstheme="majorHAnsi" w:hAnsiTheme="majorHAnsi"/>
          <w:b/>
          <w:bCs/>
          <w:szCs w:val="22"/>
          <w:lang w:val="fr-CA"/>
        </w:rPr>
        <w:t>janvier</w:t>
      </w:r>
      <w:r w:rsidRPr="00372655">
        <w:rPr>
          <w:rFonts w:asciiTheme="majorHAnsi" w:cstheme="majorHAnsi" w:hAnsiTheme="majorHAnsi"/>
          <w:b/>
          <w:bCs/>
          <w:szCs w:val="22"/>
          <w:lang w:val="fr-CA"/>
        </w:rPr>
        <w:t xml:space="preserve"> 2022.</w:t>
      </w:r>
    </w:p>
    <w:p w14:paraId="42715DA3" w14:textId="3C773E14" w:rsidP="00372655" w:rsidR="00372655" w:rsidRDefault="00372655">
      <w:pPr>
        <w:jc w:val="left"/>
        <w:rPr>
          <w:rFonts w:asciiTheme="majorHAnsi" w:cstheme="majorHAnsi" w:hAnsiTheme="majorHAnsi"/>
          <w:szCs w:val="22"/>
          <w:lang w:val="fr-CA"/>
        </w:rPr>
      </w:pPr>
    </w:p>
    <w:p w14:paraId="45955EE1" w14:textId="0109891C" w:rsidP="00372655" w:rsidR="00550E5F" w:rsidRDefault="00550E5F" w:rsidRPr="00372655">
      <w:pPr>
        <w:jc w:val="left"/>
        <w:rPr>
          <w:rFonts w:asciiTheme="majorHAnsi" w:cstheme="majorHAnsi" w:hAnsiTheme="majorHAnsi"/>
          <w:szCs w:val="22"/>
          <w:lang w:val="fr-CA"/>
        </w:rPr>
      </w:pPr>
      <w:r w:rsidRPr="00817E8C">
        <w:rPr>
          <w:rFonts w:asciiTheme="majorHAnsi" w:cstheme="majorHAnsi" w:hAnsiTheme="majorHAnsi"/>
          <w:szCs w:val="22"/>
          <w:lang w:val="fr-CA"/>
        </w:rPr>
        <w:t>A compter du mois de juin</w:t>
      </w:r>
      <w:r w:rsidR="00AD6518" w:rsidRPr="00817E8C">
        <w:rPr>
          <w:rFonts w:asciiTheme="majorHAnsi" w:cstheme="majorHAnsi" w:hAnsiTheme="majorHAnsi"/>
          <w:szCs w:val="22"/>
          <w:lang w:val="fr-CA"/>
        </w:rPr>
        <w:t xml:space="preserve"> 2022</w:t>
      </w:r>
      <w:r w:rsidRPr="00817E8C">
        <w:rPr>
          <w:rFonts w:asciiTheme="majorHAnsi" w:cstheme="majorHAnsi" w:hAnsiTheme="majorHAnsi"/>
          <w:szCs w:val="22"/>
          <w:lang w:val="fr-CA"/>
        </w:rPr>
        <w:t xml:space="preserve">, les parties conviennent de doubler l’indemnité kilométrique pour les salariés dont le planning comporte une coupure </w:t>
      </w:r>
      <w:r w:rsidR="00AD6518" w:rsidRPr="00817E8C">
        <w:rPr>
          <w:rFonts w:asciiTheme="majorHAnsi" w:cstheme="majorHAnsi" w:hAnsiTheme="majorHAnsi"/>
          <w:szCs w:val="22"/>
          <w:lang w:val="fr-CA"/>
        </w:rPr>
        <w:t xml:space="preserve">supérieure à 2 heures et demi. La mise en place de la coupure est liée aux programmes avion et </w:t>
      </w:r>
      <w:r w:rsidR="00A027CD" w:rsidRPr="00817E8C">
        <w:rPr>
          <w:rFonts w:asciiTheme="majorHAnsi" w:cstheme="majorHAnsi" w:hAnsiTheme="majorHAnsi"/>
          <w:szCs w:val="22"/>
          <w:lang w:val="fr-CA"/>
        </w:rPr>
        <w:t xml:space="preserve">à la </w:t>
      </w:r>
      <w:r w:rsidR="00AD6518" w:rsidRPr="00817E8C">
        <w:rPr>
          <w:rFonts w:asciiTheme="majorHAnsi" w:cstheme="majorHAnsi" w:hAnsiTheme="majorHAnsi"/>
          <w:szCs w:val="22"/>
          <w:lang w:val="fr-CA"/>
        </w:rPr>
        <w:t>nécessi</w:t>
      </w:r>
      <w:r w:rsidR="00A027CD" w:rsidRPr="00817E8C">
        <w:rPr>
          <w:rFonts w:asciiTheme="majorHAnsi" w:cstheme="majorHAnsi" w:hAnsiTheme="majorHAnsi"/>
          <w:szCs w:val="22"/>
          <w:lang w:val="fr-CA"/>
        </w:rPr>
        <w:t>té de g</w:t>
      </w:r>
      <w:r w:rsidR="00AD6518" w:rsidRPr="00817E8C">
        <w:rPr>
          <w:rFonts w:asciiTheme="majorHAnsi" w:cstheme="majorHAnsi" w:hAnsiTheme="majorHAnsi"/>
          <w:szCs w:val="22"/>
          <w:lang w:val="fr-CA"/>
        </w:rPr>
        <w:t>arantir les heures de travail effectif.</w:t>
      </w:r>
      <w:r>
        <w:rPr>
          <w:rFonts w:asciiTheme="majorHAnsi" w:cstheme="majorHAnsi" w:hAnsiTheme="majorHAnsi"/>
          <w:szCs w:val="22"/>
          <w:lang w:val="fr-CA"/>
        </w:rPr>
        <w:t xml:space="preserve"> </w:t>
      </w:r>
    </w:p>
    <w:p w14:paraId="0C39A056" w14:textId="77777777" w:rsidP="00372655" w:rsidR="00AD6518" w:rsidRDefault="00AD6518">
      <w:pPr>
        <w:jc w:val="left"/>
        <w:rPr>
          <w:rFonts w:asciiTheme="majorHAnsi" w:cstheme="majorHAnsi" w:hAnsiTheme="majorHAnsi"/>
          <w:szCs w:val="22"/>
          <w:lang w:val="fr-CA"/>
        </w:rPr>
      </w:pPr>
    </w:p>
    <w:p w14:paraId="1221FE73" w14:textId="4A03BB6A" w:rsidP="00372655" w:rsidR="00372655" w:rsidRDefault="00372655" w:rsidRPr="00372655">
      <w:pPr>
        <w:jc w:val="left"/>
        <w:rPr>
          <w:rFonts w:asciiTheme="majorHAnsi" w:cstheme="majorHAnsi" w:hAnsiTheme="majorHAnsi"/>
          <w:szCs w:val="22"/>
        </w:rPr>
      </w:pPr>
      <w:r w:rsidRPr="00372655">
        <w:rPr>
          <w:rFonts w:asciiTheme="majorHAnsi" w:cstheme="majorHAnsi" w:hAnsiTheme="majorHAnsi"/>
          <w:szCs w:val="22"/>
          <w:lang w:val="fr-CA"/>
        </w:rPr>
        <w:t xml:space="preserve">Les modalités d’attribution restent inchangées (copie </w:t>
      </w:r>
      <w:r w:rsidRPr="00372655">
        <w:rPr>
          <w:rFonts w:asciiTheme="majorHAnsi" w:cstheme="majorHAnsi" w:hAnsiTheme="majorHAnsi"/>
          <w:szCs w:val="22"/>
        </w:rPr>
        <w:t>carte grise du véhicule utilisé à titre professionnel, copie du permis de conduire en cours de validité, et attestation à remplir auprès du service RH).</w:t>
      </w:r>
    </w:p>
    <w:p w14:paraId="5A3CE1E3" w14:textId="77777777" w:rsidP="00C26904" w:rsidR="00C26904" w:rsidRDefault="00C26904">
      <w:pPr>
        <w:jc w:val="left"/>
        <w:rPr>
          <w:rFonts w:asciiTheme="majorHAnsi" w:cstheme="majorHAnsi" w:hAnsiTheme="majorHAnsi"/>
          <w:szCs w:val="22"/>
          <w:u w:val="single"/>
          <w:lang w:val="fr-CA"/>
        </w:rPr>
      </w:pPr>
    </w:p>
    <w:p w14:paraId="23F6476F" w14:textId="1B250F33" w:rsidP="00C26904" w:rsidR="00C26904" w:rsidRDefault="00C26904" w:rsidRPr="00C26904">
      <w:pPr>
        <w:jc w:val="left"/>
        <w:rPr>
          <w:rFonts w:asciiTheme="majorHAnsi" w:cstheme="majorHAnsi" w:hAnsiTheme="majorHAnsi"/>
          <w:b/>
          <w:bCs/>
          <w:szCs w:val="22"/>
          <w:u w:val="single"/>
          <w:lang w:val="fr-CA"/>
        </w:rPr>
      </w:pPr>
      <w:r w:rsidRPr="00C26904">
        <w:rPr>
          <w:rFonts w:asciiTheme="majorHAnsi" w:cstheme="majorHAnsi" w:hAnsiTheme="majorHAnsi"/>
          <w:b/>
          <w:bCs/>
          <w:szCs w:val="22"/>
          <w:u w:val="single"/>
          <w:lang w:val="fr-CA"/>
        </w:rPr>
        <w:t>Article 1.</w:t>
      </w:r>
      <w:r w:rsidRPr="001C23AE">
        <w:rPr>
          <w:rFonts w:asciiTheme="majorHAnsi" w:cstheme="majorHAnsi" w:hAnsiTheme="majorHAnsi"/>
          <w:b/>
          <w:bCs/>
          <w:szCs w:val="22"/>
          <w:u w:val="single"/>
          <w:lang w:val="fr-CA"/>
        </w:rPr>
        <w:t>3</w:t>
      </w:r>
      <w:r w:rsidRPr="00C26904">
        <w:rPr>
          <w:rFonts w:asciiTheme="majorHAnsi" w:cstheme="majorHAnsi" w:hAnsiTheme="majorHAnsi"/>
          <w:b/>
          <w:bCs/>
          <w:szCs w:val="22"/>
          <w:u w:val="single"/>
          <w:lang w:val="fr-CA"/>
        </w:rPr>
        <w:t xml:space="preserve">. : Indemnité de nettoyage : </w:t>
      </w:r>
    </w:p>
    <w:p w14:paraId="3A1F3AE0" w14:textId="77777777" w:rsidP="00C26904" w:rsidR="00C26904" w:rsidRDefault="00C26904" w:rsidRPr="00C26904">
      <w:pPr>
        <w:jc w:val="left"/>
        <w:rPr>
          <w:rFonts w:asciiTheme="majorHAnsi" w:cstheme="majorHAnsi" w:hAnsiTheme="majorHAnsi"/>
          <w:szCs w:val="22"/>
          <w:u w:val="single"/>
          <w:lang w:val="fr-CA"/>
        </w:rPr>
      </w:pPr>
    </w:p>
    <w:p w14:paraId="5B227D23" w14:textId="567596F6" w:rsidP="00C26904" w:rsidR="00C26904" w:rsidRDefault="00C26904" w:rsidRPr="00C26904">
      <w:pPr>
        <w:jc w:val="left"/>
        <w:rPr>
          <w:rFonts w:asciiTheme="majorHAnsi" w:cstheme="majorHAnsi" w:hAnsiTheme="majorHAnsi"/>
          <w:b/>
          <w:bCs/>
          <w:szCs w:val="22"/>
          <w:lang w:val="fr-CA"/>
        </w:rPr>
      </w:pPr>
      <w:r w:rsidRPr="00C26904">
        <w:rPr>
          <w:rFonts w:asciiTheme="majorHAnsi" w:cstheme="majorHAnsi" w:hAnsiTheme="majorHAnsi"/>
          <w:szCs w:val="22"/>
          <w:lang w:val="fr-CA"/>
        </w:rPr>
        <w:t xml:space="preserve">Les parties conviennent de </w:t>
      </w:r>
      <w:r w:rsidRPr="00C26904">
        <w:rPr>
          <w:rFonts w:asciiTheme="majorHAnsi" w:cstheme="majorHAnsi" w:hAnsiTheme="majorHAnsi"/>
          <w:b/>
          <w:bCs/>
          <w:szCs w:val="22"/>
          <w:lang w:val="fr-CA"/>
        </w:rPr>
        <w:t>revaloriser l’indemnité de nettoyage mise en place au 1</w:t>
      </w:r>
      <w:r w:rsidRPr="00C26904">
        <w:rPr>
          <w:rFonts w:asciiTheme="majorHAnsi" w:cstheme="majorHAnsi" w:hAnsiTheme="majorHAnsi"/>
          <w:b/>
          <w:bCs/>
          <w:szCs w:val="22"/>
          <w:vertAlign w:val="superscript"/>
          <w:lang w:val="fr-CA"/>
        </w:rPr>
        <w:t>er</w:t>
      </w:r>
      <w:r w:rsidRPr="00C26904">
        <w:rPr>
          <w:rFonts w:asciiTheme="majorHAnsi" w:cstheme="majorHAnsi" w:hAnsiTheme="majorHAnsi"/>
          <w:b/>
          <w:bCs/>
          <w:szCs w:val="22"/>
          <w:lang w:val="fr-CA"/>
        </w:rPr>
        <w:t xml:space="preserve"> juin 2019 à hauteur de 1.40€ par jour travaillé au 1</w:t>
      </w:r>
      <w:r w:rsidRPr="00C26904">
        <w:rPr>
          <w:rFonts w:asciiTheme="majorHAnsi" w:cstheme="majorHAnsi" w:hAnsiTheme="majorHAnsi"/>
          <w:b/>
          <w:bCs/>
          <w:szCs w:val="22"/>
          <w:vertAlign w:val="superscript"/>
          <w:lang w:val="fr-CA"/>
        </w:rPr>
        <w:t>er</w:t>
      </w:r>
      <w:r w:rsidRPr="00C26904">
        <w:rPr>
          <w:rFonts w:asciiTheme="majorHAnsi" w:cstheme="majorHAnsi" w:hAnsiTheme="majorHAnsi"/>
          <w:b/>
          <w:bCs/>
          <w:szCs w:val="22"/>
          <w:lang w:val="fr-CA"/>
        </w:rPr>
        <w:t xml:space="preserve"> janvier 2022.</w:t>
      </w:r>
    </w:p>
    <w:p w14:paraId="1B047C39" w14:textId="77777777" w:rsidP="00D55113" w:rsidR="00D55113" w:rsidRDefault="00D55113" w:rsidRPr="00D55113">
      <w:pPr>
        <w:jc w:val="left"/>
        <w:rPr>
          <w:rFonts w:asciiTheme="majorHAnsi" w:cstheme="majorHAnsi" w:hAnsiTheme="majorHAnsi"/>
          <w:szCs w:val="22"/>
          <w:u w:val="single"/>
          <w:lang w:val="fr-CA"/>
        </w:rPr>
      </w:pPr>
    </w:p>
    <w:p w14:paraId="161E4564" w14:textId="67B709A0" w:rsidP="00D55113" w:rsidR="00D55113" w:rsidRDefault="00D55113" w:rsidRPr="001C23AE">
      <w:pPr>
        <w:jc w:val="left"/>
        <w:rPr>
          <w:rFonts w:asciiTheme="majorHAnsi" w:cstheme="majorHAnsi" w:hAnsiTheme="majorHAnsi"/>
          <w:b/>
          <w:bCs/>
          <w:szCs w:val="22"/>
          <w:u w:val="single"/>
          <w:lang w:val="fr-CA"/>
        </w:rPr>
      </w:pPr>
      <w:bookmarkStart w:id="7" w:name="_Hlk103441559"/>
      <w:bookmarkStart w:id="8" w:name="_Hlk95036329"/>
      <w:r w:rsidRPr="001C23AE">
        <w:rPr>
          <w:rFonts w:asciiTheme="majorHAnsi" w:cstheme="majorHAnsi" w:hAnsiTheme="majorHAnsi"/>
          <w:b/>
          <w:bCs/>
          <w:szCs w:val="22"/>
          <w:u w:val="single"/>
          <w:lang w:val="fr-CA"/>
        </w:rPr>
        <w:t>Article 1.</w:t>
      </w:r>
      <w:r w:rsidR="00C26904" w:rsidRPr="001C23AE">
        <w:rPr>
          <w:rFonts w:asciiTheme="majorHAnsi" w:cstheme="majorHAnsi" w:hAnsiTheme="majorHAnsi"/>
          <w:b/>
          <w:bCs/>
          <w:szCs w:val="22"/>
          <w:u w:val="single"/>
          <w:lang w:val="fr-CA"/>
        </w:rPr>
        <w:t>4</w:t>
      </w:r>
      <w:r w:rsidRPr="001C23AE">
        <w:rPr>
          <w:rFonts w:asciiTheme="majorHAnsi" w:cstheme="majorHAnsi" w:hAnsiTheme="majorHAnsi"/>
          <w:b/>
          <w:bCs/>
          <w:szCs w:val="22"/>
          <w:u w:val="single"/>
          <w:lang w:val="fr-CA"/>
        </w:rPr>
        <w:t>. : Prime d</w:t>
      </w:r>
      <w:r w:rsidR="00C26904" w:rsidRPr="001C23AE">
        <w:rPr>
          <w:rFonts w:asciiTheme="majorHAnsi" w:cstheme="majorHAnsi" w:hAnsiTheme="majorHAnsi"/>
          <w:b/>
          <w:bCs/>
          <w:szCs w:val="22"/>
          <w:u w:val="single"/>
          <w:lang w:val="fr-CA"/>
        </w:rPr>
        <w:t>e performance</w:t>
      </w:r>
      <w:r w:rsidRPr="001C23AE">
        <w:rPr>
          <w:rFonts w:asciiTheme="majorHAnsi" w:cstheme="majorHAnsi" w:hAnsiTheme="majorHAnsi"/>
          <w:b/>
          <w:bCs/>
          <w:szCs w:val="22"/>
          <w:u w:val="single"/>
          <w:lang w:val="fr-CA"/>
        </w:rPr>
        <w:t xml:space="preserve"> : </w:t>
      </w:r>
    </w:p>
    <w:bookmarkEnd w:id="7"/>
    <w:p w14:paraId="2258C706" w14:textId="77777777" w:rsidP="00D55113" w:rsidR="00D55113" w:rsidRDefault="00D55113" w:rsidRPr="00D55113">
      <w:pPr>
        <w:jc w:val="left"/>
        <w:rPr>
          <w:rFonts w:asciiTheme="majorHAnsi" w:cstheme="majorHAnsi" w:hAnsiTheme="majorHAnsi"/>
          <w:szCs w:val="22"/>
          <w:u w:val="single"/>
          <w:lang w:val="fr-CA"/>
        </w:rPr>
      </w:pPr>
    </w:p>
    <w:bookmarkEnd w:id="8"/>
    <w:p w14:paraId="3014E9E8" w14:textId="77777777" w:rsidP="001C23AE" w:rsidR="001C23AE" w:rsidRDefault="001C23AE" w:rsidRPr="001C23AE">
      <w:pPr>
        <w:jc w:val="left"/>
        <w:rPr>
          <w:rFonts w:asciiTheme="majorHAnsi" w:cstheme="majorHAnsi" w:hAnsiTheme="majorHAnsi"/>
          <w:szCs w:val="22"/>
          <w:lang w:val="fr-CA"/>
        </w:rPr>
      </w:pPr>
      <w:r w:rsidRPr="001C23AE">
        <w:rPr>
          <w:rFonts w:asciiTheme="majorHAnsi" w:cstheme="majorHAnsi" w:hAnsiTheme="majorHAnsi"/>
          <w:szCs w:val="22"/>
          <w:lang w:val="fr-CA"/>
        </w:rPr>
        <w:t>Les parties, conscientes de l’importance de valoriser la performance et l’engagement individuels de ses collaborateurs, ont échangé sur l’opportunité de mettre en place une prime.</w:t>
      </w:r>
    </w:p>
    <w:p w14:paraId="040DE185" w14:textId="6F2E2AD6" w:rsidP="001C23AE" w:rsidR="00863538" w:rsidRDefault="00CF3B16">
      <w:pPr>
        <w:jc w:val="left"/>
        <w:rPr>
          <w:rFonts w:asciiTheme="majorHAnsi" w:cstheme="majorHAnsi" w:hAnsiTheme="majorHAnsi"/>
          <w:szCs w:val="22"/>
          <w:lang w:val="fr-CA"/>
        </w:rPr>
      </w:pPr>
      <w:r w:rsidRPr="00CF3B16">
        <w:rPr>
          <w:rFonts w:asciiTheme="majorHAnsi" w:cstheme="majorHAnsi" w:hAnsiTheme="majorHAnsi"/>
          <w:szCs w:val="22"/>
          <w:lang w:val="fr-CA"/>
        </w:rPr>
        <w:t>A titre expérimental sur l’année en cours</w:t>
      </w:r>
      <w:r>
        <w:rPr>
          <w:rFonts w:asciiTheme="majorHAnsi" w:cstheme="majorHAnsi" w:hAnsiTheme="majorHAnsi"/>
          <w:szCs w:val="22"/>
          <w:lang w:val="fr-CA"/>
        </w:rPr>
        <w:t>, l</w:t>
      </w:r>
      <w:r w:rsidR="001C23AE" w:rsidRPr="001C23AE">
        <w:rPr>
          <w:rFonts w:asciiTheme="majorHAnsi" w:cstheme="majorHAnsi" w:hAnsiTheme="majorHAnsi"/>
          <w:szCs w:val="22"/>
          <w:lang w:val="fr-CA"/>
        </w:rPr>
        <w:t>es parties conviennent d</w:t>
      </w:r>
      <w:r w:rsidR="00863538">
        <w:rPr>
          <w:rFonts w:asciiTheme="majorHAnsi" w:cstheme="majorHAnsi" w:hAnsiTheme="majorHAnsi"/>
          <w:szCs w:val="22"/>
          <w:lang w:val="fr-CA"/>
        </w:rPr>
        <w:t xml:space="preserve">e mettre en place </w:t>
      </w:r>
      <w:r w:rsidR="001C23AE" w:rsidRPr="001C23AE">
        <w:rPr>
          <w:rFonts w:asciiTheme="majorHAnsi" w:cstheme="majorHAnsi" w:hAnsiTheme="majorHAnsi"/>
          <w:szCs w:val="22"/>
          <w:lang w:val="fr-CA"/>
        </w:rPr>
        <w:t>une prime de performance</w:t>
      </w:r>
      <w:r w:rsidR="00863538">
        <w:rPr>
          <w:rFonts w:asciiTheme="majorHAnsi" w:cstheme="majorHAnsi" w:hAnsiTheme="majorHAnsi"/>
          <w:szCs w:val="22"/>
          <w:lang w:val="fr-CA"/>
        </w:rPr>
        <w:t xml:space="preserve"> à compter du 1</w:t>
      </w:r>
      <w:r w:rsidR="00863538" w:rsidRPr="00863538">
        <w:rPr>
          <w:rFonts w:asciiTheme="majorHAnsi" w:cstheme="majorHAnsi" w:hAnsiTheme="majorHAnsi"/>
          <w:szCs w:val="22"/>
          <w:vertAlign w:val="superscript"/>
          <w:lang w:val="fr-CA"/>
        </w:rPr>
        <w:t>er</w:t>
      </w:r>
      <w:r w:rsidR="00863538">
        <w:rPr>
          <w:rFonts w:asciiTheme="majorHAnsi" w:cstheme="majorHAnsi" w:hAnsiTheme="majorHAnsi"/>
          <w:szCs w:val="22"/>
          <w:lang w:val="fr-CA"/>
        </w:rPr>
        <w:t xml:space="preserve"> janvier 2022.</w:t>
      </w:r>
    </w:p>
    <w:p w14:paraId="1139B0DB" w14:textId="77777777" w:rsidP="001C23AE" w:rsidR="001C23AE" w:rsidRDefault="001C23AE" w:rsidRPr="001C23AE">
      <w:pPr>
        <w:jc w:val="left"/>
        <w:rPr>
          <w:rFonts w:asciiTheme="majorHAnsi" w:cstheme="majorHAnsi" w:hAnsiTheme="majorHAnsi"/>
          <w:szCs w:val="22"/>
          <w:lang w:val="fr-CA"/>
        </w:rPr>
      </w:pPr>
    </w:p>
    <w:p w14:paraId="6D4274BB" w14:textId="77777777" w:rsidP="001C23AE" w:rsidR="001C23AE" w:rsidRDefault="001C23AE" w:rsidRPr="001C23AE">
      <w:pPr>
        <w:jc w:val="left"/>
        <w:rPr>
          <w:rFonts w:asciiTheme="majorHAnsi" w:cstheme="majorHAnsi" w:hAnsiTheme="majorHAnsi"/>
          <w:szCs w:val="22"/>
          <w:lang w:val="fr-CA"/>
        </w:rPr>
      </w:pPr>
      <w:r w:rsidRPr="001C23AE">
        <w:rPr>
          <w:rFonts w:asciiTheme="majorHAnsi" w:cstheme="majorHAnsi" w:hAnsiTheme="majorHAnsi"/>
          <w:szCs w:val="22"/>
          <w:lang w:val="fr-CA"/>
        </w:rPr>
        <w:t xml:space="preserve">Le montant de cette prime annuelle sera de 600 € brut. </w:t>
      </w:r>
    </w:p>
    <w:p w14:paraId="29852C76" w14:textId="66680CF3" w:rsidP="001C23AE" w:rsidR="001C23AE" w:rsidRDefault="001C23AE">
      <w:pPr>
        <w:jc w:val="left"/>
        <w:rPr>
          <w:rFonts w:asciiTheme="majorHAnsi" w:cstheme="majorHAnsi" w:hAnsiTheme="majorHAnsi"/>
          <w:szCs w:val="22"/>
          <w:lang w:val="fr-CA"/>
        </w:rPr>
      </w:pPr>
      <w:r w:rsidRPr="001C23AE">
        <w:rPr>
          <w:rFonts w:asciiTheme="majorHAnsi" w:cstheme="majorHAnsi" w:hAnsiTheme="majorHAnsi"/>
          <w:szCs w:val="22"/>
          <w:lang w:val="fr-CA"/>
        </w:rPr>
        <w:t>Pour autant et afin de faciliter le suivi des critères définis ci-après, les parties conviennent de valoriser cette prime à hauteur de 50 points par mois (soit 600 points annuellement).</w:t>
      </w:r>
    </w:p>
    <w:p w14:paraId="40C5AA28" w14:textId="61E1556C" w:rsidP="001C23AE" w:rsidR="00F46F1D" w:rsidRDefault="00F46F1D" w:rsidRPr="001C23AE">
      <w:pPr>
        <w:jc w:val="left"/>
        <w:rPr>
          <w:rFonts w:asciiTheme="majorHAnsi" w:cstheme="majorHAnsi" w:hAnsiTheme="majorHAnsi"/>
          <w:szCs w:val="22"/>
          <w:lang w:val="fr-CA"/>
        </w:rPr>
      </w:pPr>
      <w:r>
        <w:rPr>
          <w:rFonts w:asciiTheme="majorHAnsi" w:cstheme="majorHAnsi" w:hAnsiTheme="majorHAnsi"/>
          <w:szCs w:val="22"/>
          <w:lang w:val="fr-CA"/>
        </w:rPr>
        <w:t>La prime sera versée au trimestre. En raison de la date de signature de l’accord, le 1</w:t>
      </w:r>
      <w:r w:rsidRPr="00F46F1D">
        <w:rPr>
          <w:rFonts w:asciiTheme="majorHAnsi" w:cstheme="majorHAnsi" w:hAnsiTheme="majorHAnsi"/>
          <w:szCs w:val="22"/>
          <w:vertAlign w:val="superscript"/>
          <w:lang w:val="fr-CA"/>
        </w:rPr>
        <w:t>er</w:t>
      </w:r>
      <w:r>
        <w:rPr>
          <w:rFonts w:asciiTheme="majorHAnsi" w:cstheme="majorHAnsi" w:hAnsiTheme="majorHAnsi"/>
          <w:szCs w:val="22"/>
          <w:lang w:val="fr-CA"/>
        </w:rPr>
        <w:t xml:space="preserve"> trimestre sera versé avec la paie du mois de </w:t>
      </w:r>
      <w:r w:rsidR="00CF3B16">
        <w:rPr>
          <w:rFonts w:asciiTheme="majorHAnsi" w:cstheme="majorHAnsi" w:hAnsiTheme="majorHAnsi"/>
          <w:szCs w:val="22"/>
          <w:lang w:val="fr-CA"/>
        </w:rPr>
        <w:t>jui</w:t>
      </w:r>
      <w:r w:rsidR="005E1192">
        <w:rPr>
          <w:rFonts w:asciiTheme="majorHAnsi" w:cstheme="majorHAnsi" w:hAnsiTheme="majorHAnsi"/>
          <w:szCs w:val="22"/>
          <w:lang w:val="fr-CA"/>
        </w:rPr>
        <w:t>n</w:t>
      </w:r>
      <w:r w:rsidR="00421137">
        <w:rPr>
          <w:rFonts w:asciiTheme="majorHAnsi" w:cstheme="majorHAnsi" w:hAnsiTheme="majorHAnsi"/>
          <w:szCs w:val="22"/>
          <w:lang w:val="fr-CA"/>
        </w:rPr>
        <w:t xml:space="preserve">, </w:t>
      </w:r>
      <w:r w:rsidR="00B11284">
        <w:rPr>
          <w:rFonts w:asciiTheme="majorHAnsi" w:cstheme="majorHAnsi" w:hAnsiTheme="majorHAnsi"/>
          <w:szCs w:val="22"/>
          <w:lang w:val="fr-CA"/>
        </w:rPr>
        <w:t>le 2</w:t>
      </w:r>
      <w:r w:rsidR="00B11284" w:rsidRPr="00B11284">
        <w:rPr>
          <w:rFonts w:asciiTheme="majorHAnsi" w:cstheme="majorHAnsi" w:hAnsiTheme="majorHAnsi"/>
          <w:szCs w:val="22"/>
          <w:vertAlign w:val="superscript"/>
          <w:lang w:val="fr-CA"/>
        </w:rPr>
        <w:t>nd</w:t>
      </w:r>
      <w:r w:rsidR="00B11284">
        <w:rPr>
          <w:rFonts w:asciiTheme="majorHAnsi" w:cstheme="majorHAnsi" w:hAnsiTheme="majorHAnsi"/>
          <w:szCs w:val="22"/>
          <w:lang w:val="fr-CA"/>
        </w:rPr>
        <w:t xml:space="preserve"> trimestre </w:t>
      </w:r>
      <w:r>
        <w:rPr>
          <w:rFonts w:asciiTheme="majorHAnsi" w:cstheme="majorHAnsi" w:hAnsiTheme="majorHAnsi"/>
          <w:szCs w:val="22"/>
          <w:lang w:val="fr-CA"/>
        </w:rPr>
        <w:t>avec la paie d</w:t>
      </w:r>
      <w:r w:rsidR="00AE2FC1">
        <w:rPr>
          <w:rFonts w:asciiTheme="majorHAnsi" w:cstheme="majorHAnsi" w:hAnsiTheme="majorHAnsi"/>
          <w:szCs w:val="22"/>
          <w:lang w:val="fr-CA"/>
        </w:rPr>
        <w:t>e juillet</w:t>
      </w:r>
      <w:r w:rsidR="00B11284">
        <w:rPr>
          <w:rFonts w:asciiTheme="majorHAnsi" w:cstheme="majorHAnsi" w:hAnsiTheme="majorHAnsi"/>
          <w:szCs w:val="22"/>
          <w:lang w:val="fr-CA"/>
        </w:rPr>
        <w:t>, le 3</w:t>
      </w:r>
      <w:r w:rsidR="00B11284" w:rsidRPr="00B11284">
        <w:rPr>
          <w:rFonts w:asciiTheme="majorHAnsi" w:cstheme="majorHAnsi" w:hAnsiTheme="majorHAnsi"/>
          <w:szCs w:val="22"/>
          <w:vertAlign w:val="superscript"/>
          <w:lang w:val="fr-CA"/>
        </w:rPr>
        <w:t>ème</w:t>
      </w:r>
      <w:r w:rsidR="00B11284">
        <w:rPr>
          <w:rFonts w:asciiTheme="majorHAnsi" w:cstheme="majorHAnsi" w:hAnsiTheme="majorHAnsi"/>
          <w:szCs w:val="22"/>
          <w:lang w:val="fr-CA"/>
        </w:rPr>
        <w:t xml:space="preserve"> trimestre avec la paie d’octobre et le dernier trimestre sera versé avec la paie de janvier.</w:t>
      </w:r>
      <w:r>
        <w:rPr>
          <w:rFonts w:asciiTheme="majorHAnsi" w:cstheme="majorHAnsi" w:hAnsiTheme="majorHAnsi"/>
          <w:szCs w:val="22"/>
          <w:lang w:val="fr-CA"/>
        </w:rPr>
        <w:t xml:space="preserve">  </w:t>
      </w:r>
    </w:p>
    <w:p w14:paraId="75076E86" w14:textId="77777777" w:rsidP="001C23AE" w:rsidR="001C23AE" w:rsidRDefault="001C23AE" w:rsidRPr="001C23AE">
      <w:pPr>
        <w:jc w:val="left"/>
        <w:rPr>
          <w:rFonts w:asciiTheme="majorHAnsi" w:cstheme="majorHAnsi" w:hAnsiTheme="majorHAnsi"/>
          <w:szCs w:val="22"/>
          <w:lang w:val="fr-CA"/>
        </w:rPr>
      </w:pPr>
    </w:p>
    <w:p w14:paraId="39280BB5" w14:textId="77777777" w:rsidP="001C23AE" w:rsidR="001C23AE" w:rsidRDefault="001C23AE" w:rsidRPr="001C23AE">
      <w:pPr>
        <w:jc w:val="left"/>
        <w:rPr>
          <w:rFonts w:asciiTheme="majorHAnsi" w:cstheme="majorHAnsi" w:hAnsiTheme="majorHAnsi"/>
          <w:szCs w:val="22"/>
          <w:lang w:val="fr-CA"/>
        </w:rPr>
      </w:pPr>
      <w:r w:rsidRPr="001C23AE">
        <w:rPr>
          <w:rFonts w:asciiTheme="majorHAnsi" w:cstheme="majorHAnsi" w:hAnsiTheme="majorHAnsi"/>
          <w:szCs w:val="22"/>
          <w:lang w:val="fr-CA"/>
        </w:rPr>
        <w:t>En matière d’assiduité, cette prime est conditionnée au strict respect des jours et horaires de travail.</w:t>
      </w:r>
    </w:p>
    <w:p w14:paraId="5055F080" w14:textId="58FE23D7" w:rsidP="001C23AE" w:rsidR="001C23AE" w:rsidRDefault="000F2CBF" w:rsidRPr="00817E8C">
      <w:pPr>
        <w:jc w:val="left"/>
        <w:rPr>
          <w:rFonts w:asciiTheme="majorHAnsi" w:cstheme="majorHAnsi" w:hAnsiTheme="majorHAnsi"/>
          <w:szCs w:val="22"/>
          <w:lang w:val="fr-CA"/>
        </w:rPr>
      </w:pPr>
      <w:r w:rsidRPr="00817E8C">
        <w:rPr>
          <w:rFonts w:asciiTheme="majorHAnsi" w:cstheme="majorHAnsi" w:hAnsiTheme="majorHAnsi"/>
          <w:szCs w:val="22"/>
          <w:lang w:val="fr-CA"/>
        </w:rPr>
        <w:t xml:space="preserve">La prime est proratisée ou supprimée selon le barème établi. </w:t>
      </w:r>
    </w:p>
    <w:p w14:paraId="37EE8CE2" w14:textId="77777777" w:rsidP="00AD6518" w:rsidR="00AD6518" w:rsidRDefault="00AD6518" w:rsidRPr="00AD6518">
      <w:pPr>
        <w:jc w:val="left"/>
        <w:rPr>
          <w:rFonts w:asciiTheme="majorHAnsi" w:cstheme="majorHAnsi" w:hAnsiTheme="majorHAnsi"/>
          <w:szCs w:val="22"/>
          <w:lang w:val="fr-CA"/>
        </w:rPr>
      </w:pPr>
      <w:r w:rsidRPr="00817E8C">
        <w:rPr>
          <w:rFonts w:asciiTheme="majorHAnsi" w:cstheme="majorHAnsi" w:hAnsiTheme="majorHAnsi"/>
          <w:szCs w:val="22"/>
          <w:lang w:val="fr-CA"/>
        </w:rPr>
        <w:t>A titre exceptionnel, en 2022, les parties conviennent de neutraliser la proratisation au titre des jours de congés payés, à hauteur de cinq semaines.</w:t>
      </w:r>
      <w:r w:rsidRPr="00AD6518">
        <w:rPr>
          <w:rFonts w:asciiTheme="majorHAnsi" w:cstheme="majorHAnsi" w:hAnsiTheme="majorHAnsi"/>
          <w:szCs w:val="22"/>
          <w:lang w:val="fr-CA"/>
        </w:rPr>
        <w:t xml:space="preserve"> </w:t>
      </w:r>
    </w:p>
    <w:p w14:paraId="20AE8EF1" w14:textId="77777777" w:rsidP="001C23AE" w:rsidR="001C23AE" w:rsidRDefault="001C23AE" w:rsidRPr="001C23AE">
      <w:pPr>
        <w:jc w:val="left"/>
        <w:rPr>
          <w:rFonts w:asciiTheme="majorHAnsi" w:cstheme="majorHAnsi" w:hAnsiTheme="majorHAnsi"/>
          <w:szCs w:val="22"/>
          <w:lang w:val="fr-CA"/>
        </w:rPr>
      </w:pPr>
    </w:p>
    <w:p w14:paraId="63AE7FD3" w14:textId="492C1F71" w:rsidP="001C23AE" w:rsidR="001C23AE" w:rsidRDefault="001C23AE" w:rsidRPr="001C23AE">
      <w:pPr>
        <w:jc w:val="left"/>
        <w:rPr>
          <w:rFonts w:asciiTheme="majorHAnsi" w:cstheme="majorHAnsi" w:hAnsiTheme="majorHAnsi"/>
          <w:szCs w:val="22"/>
          <w:lang w:val="fr-CA"/>
        </w:rPr>
      </w:pPr>
      <w:r w:rsidRPr="001C23AE">
        <w:rPr>
          <w:rFonts w:asciiTheme="majorHAnsi" w:cstheme="majorHAnsi" w:hAnsiTheme="majorHAnsi"/>
          <w:szCs w:val="22"/>
          <w:lang w:val="fr-CA"/>
        </w:rPr>
        <w:t xml:space="preserve">Concernant le respect des </w:t>
      </w:r>
      <w:r w:rsidR="00AD6518">
        <w:rPr>
          <w:rFonts w:asciiTheme="majorHAnsi" w:cstheme="majorHAnsi" w:hAnsiTheme="majorHAnsi"/>
          <w:szCs w:val="22"/>
          <w:lang w:val="fr-CA"/>
        </w:rPr>
        <w:t xml:space="preserve">jours et </w:t>
      </w:r>
      <w:r w:rsidRPr="001C23AE">
        <w:rPr>
          <w:rFonts w:asciiTheme="majorHAnsi" w:cstheme="majorHAnsi" w:hAnsiTheme="majorHAnsi"/>
          <w:szCs w:val="22"/>
          <w:lang w:val="fr-CA"/>
        </w:rPr>
        <w:t>horaires</w:t>
      </w:r>
      <w:r w:rsidR="00AD6518">
        <w:rPr>
          <w:rFonts w:asciiTheme="majorHAnsi" w:cstheme="majorHAnsi" w:hAnsiTheme="majorHAnsi"/>
          <w:szCs w:val="22"/>
          <w:lang w:val="fr-CA"/>
        </w:rPr>
        <w:t xml:space="preserve"> de travail</w:t>
      </w:r>
      <w:r w:rsidRPr="001C23AE">
        <w:rPr>
          <w:rFonts w:asciiTheme="majorHAnsi" w:cstheme="majorHAnsi" w:hAnsiTheme="majorHAnsi"/>
          <w:szCs w:val="22"/>
          <w:lang w:val="fr-CA"/>
        </w:rPr>
        <w:t>, les parties conviennent des éléments suivants (suivi mensuel) :</w:t>
      </w:r>
    </w:p>
    <w:p w14:paraId="54F6316E" w14:textId="77777777" w:rsidP="001C23AE" w:rsidR="000F2CBF" w:rsidRDefault="000F2CBF" w:rsidRPr="00817E8C">
      <w:pPr>
        <w:numPr>
          <w:ilvl w:val="0"/>
          <w:numId w:val="4"/>
        </w:numPr>
        <w:jc w:val="left"/>
        <w:rPr>
          <w:rFonts w:asciiTheme="majorHAnsi" w:cstheme="majorHAnsi" w:hAnsiTheme="majorHAnsi"/>
          <w:szCs w:val="22"/>
          <w:lang w:val="fr-CA"/>
        </w:rPr>
      </w:pPr>
      <w:r w:rsidRPr="00817E8C">
        <w:rPr>
          <w:rFonts w:asciiTheme="majorHAnsi" w:cstheme="majorHAnsi" w:hAnsiTheme="majorHAnsi"/>
          <w:szCs w:val="22"/>
          <w:lang w:val="fr-CA"/>
        </w:rPr>
        <w:lastRenderedPageBreak/>
        <w:t xml:space="preserve">Absence injustifiée : 50 points </w:t>
      </w:r>
    </w:p>
    <w:p w14:paraId="1EA3BF86" w14:textId="2319EDFA" w:rsidP="00DE296B" w:rsidR="00DE296B" w:rsidRDefault="00DE296B" w:rsidRPr="00DE296B">
      <w:pPr>
        <w:numPr>
          <w:ilvl w:val="0"/>
          <w:numId w:val="5"/>
        </w:numPr>
        <w:jc w:val="left"/>
        <w:rPr>
          <w:rFonts w:asciiTheme="majorHAnsi" w:cstheme="majorHAnsi" w:hAnsiTheme="majorHAnsi"/>
          <w:szCs w:val="22"/>
          <w:lang w:val="fr-CA"/>
        </w:rPr>
      </w:pPr>
      <w:r w:rsidRPr="00DE296B">
        <w:rPr>
          <w:rFonts w:asciiTheme="majorHAnsi" w:cstheme="majorHAnsi" w:hAnsiTheme="majorHAnsi"/>
          <w:szCs w:val="22"/>
          <w:lang w:val="fr-CA"/>
        </w:rPr>
        <w:t>Tolérance d’un retard de moins de 1</w:t>
      </w:r>
      <w:r>
        <w:rPr>
          <w:rFonts w:asciiTheme="majorHAnsi" w:cstheme="majorHAnsi" w:hAnsiTheme="majorHAnsi"/>
          <w:szCs w:val="22"/>
          <w:lang w:val="fr-CA"/>
        </w:rPr>
        <w:t>5</w:t>
      </w:r>
      <w:r w:rsidRPr="00DE296B">
        <w:rPr>
          <w:rFonts w:asciiTheme="majorHAnsi" w:cstheme="majorHAnsi" w:hAnsiTheme="majorHAnsi"/>
          <w:szCs w:val="22"/>
          <w:lang w:val="fr-CA"/>
        </w:rPr>
        <w:t xml:space="preserve"> mn par mois</w:t>
      </w:r>
    </w:p>
    <w:p w14:paraId="0AF73E0A" w14:textId="79E95257" w:rsidP="00DE296B" w:rsidR="00DE296B" w:rsidRDefault="00DE296B" w:rsidRPr="00DE296B">
      <w:pPr>
        <w:numPr>
          <w:ilvl w:val="0"/>
          <w:numId w:val="5"/>
        </w:numPr>
        <w:jc w:val="left"/>
        <w:rPr>
          <w:rFonts w:asciiTheme="majorHAnsi" w:cstheme="majorHAnsi" w:hAnsiTheme="majorHAnsi"/>
          <w:szCs w:val="22"/>
          <w:lang w:val="fr-CA"/>
        </w:rPr>
      </w:pPr>
      <w:r w:rsidRPr="00DE296B">
        <w:rPr>
          <w:rFonts w:asciiTheme="majorHAnsi" w:cstheme="majorHAnsi" w:hAnsiTheme="majorHAnsi"/>
          <w:szCs w:val="22"/>
          <w:lang w:val="fr-CA"/>
        </w:rPr>
        <w:t>En cas d’un 2</w:t>
      </w:r>
      <w:r w:rsidRPr="00DE296B">
        <w:rPr>
          <w:rFonts w:asciiTheme="majorHAnsi" w:cstheme="majorHAnsi" w:hAnsiTheme="majorHAnsi"/>
          <w:szCs w:val="22"/>
          <w:vertAlign w:val="superscript"/>
          <w:lang w:val="fr-CA"/>
        </w:rPr>
        <w:t>ème</w:t>
      </w:r>
      <w:r w:rsidRPr="00DE296B">
        <w:rPr>
          <w:rFonts w:asciiTheme="majorHAnsi" w:cstheme="majorHAnsi" w:hAnsiTheme="majorHAnsi"/>
          <w:szCs w:val="22"/>
          <w:lang w:val="fr-CA"/>
        </w:rPr>
        <w:t xml:space="preserve"> retard de moins de 1</w:t>
      </w:r>
      <w:r>
        <w:rPr>
          <w:rFonts w:asciiTheme="majorHAnsi" w:cstheme="majorHAnsi" w:hAnsiTheme="majorHAnsi"/>
          <w:szCs w:val="22"/>
          <w:lang w:val="fr-CA"/>
        </w:rPr>
        <w:t>5</w:t>
      </w:r>
      <w:r w:rsidRPr="00DE296B">
        <w:rPr>
          <w:rFonts w:asciiTheme="majorHAnsi" w:cstheme="majorHAnsi" w:hAnsiTheme="majorHAnsi"/>
          <w:szCs w:val="22"/>
          <w:lang w:val="fr-CA"/>
        </w:rPr>
        <w:t xml:space="preserve"> mn sur le mois : perte de 10 points.</w:t>
      </w:r>
    </w:p>
    <w:p w14:paraId="4A13CE9D" w14:textId="77E946FF" w:rsidP="00DE296B" w:rsidR="00DE296B" w:rsidRDefault="00DE296B" w:rsidRPr="00DE296B">
      <w:pPr>
        <w:numPr>
          <w:ilvl w:val="0"/>
          <w:numId w:val="5"/>
        </w:numPr>
        <w:jc w:val="left"/>
        <w:rPr>
          <w:rFonts w:asciiTheme="majorHAnsi" w:cstheme="majorHAnsi" w:hAnsiTheme="majorHAnsi"/>
          <w:szCs w:val="22"/>
          <w:lang w:val="fr-CA"/>
        </w:rPr>
      </w:pPr>
      <w:r w:rsidRPr="00DE296B">
        <w:rPr>
          <w:rFonts w:asciiTheme="majorHAnsi" w:cstheme="majorHAnsi" w:hAnsiTheme="majorHAnsi"/>
          <w:szCs w:val="22"/>
          <w:lang w:val="fr-CA"/>
        </w:rPr>
        <w:t>En cas d’un retard supérieur à 1</w:t>
      </w:r>
      <w:r>
        <w:rPr>
          <w:rFonts w:asciiTheme="majorHAnsi" w:cstheme="majorHAnsi" w:hAnsiTheme="majorHAnsi"/>
          <w:szCs w:val="22"/>
          <w:lang w:val="fr-CA"/>
        </w:rPr>
        <w:t>5</w:t>
      </w:r>
      <w:r w:rsidRPr="00DE296B">
        <w:rPr>
          <w:rFonts w:asciiTheme="majorHAnsi" w:cstheme="majorHAnsi" w:hAnsiTheme="majorHAnsi"/>
          <w:szCs w:val="22"/>
          <w:lang w:val="fr-CA"/>
        </w:rPr>
        <w:t xml:space="preserve"> mn sur le mois : perte de 20 points.</w:t>
      </w:r>
    </w:p>
    <w:p w14:paraId="74EA33B9" w14:textId="2DD89257" w:rsidP="00DE296B" w:rsidR="00DE296B" w:rsidRDefault="00DE296B" w:rsidRPr="00DE296B">
      <w:pPr>
        <w:numPr>
          <w:ilvl w:val="0"/>
          <w:numId w:val="5"/>
        </w:numPr>
        <w:jc w:val="left"/>
        <w:rPr>
          <w:rFonts w:asciiTheme="majorHAnsi" w:cstheme="majorHAnsi" w:hAnsiTheme="majorHAnsi"/>
          <w:szCs w:val="22"/>
          <w:lang w:val="fr-CA"/>
        </w:rPr>
      </w:pPr>
      <w:r w:rsidRPr="00DE296B">
        <w:rPr>
          <w:rFonts w:asciiTheme="majorHAnsi" w:cstheme="majorHAnsi" w:hAnsiTheme="majorHAnsi"/>
          <w:szCs w:val="22"/>
          <w:lang w:val="fr-CA"/>
        </w:rPr>
        <w:t>Si le salarié a 2 retards de plus de 1</w:t>
      </w:r>
      <w:r>
        <w:rPr>
          <w:rFonts w:asciiTheme="majorHAnsi" w:cstheme="majorHAnsi" w:hAnsiTheme="majorHAnsi"/>
          <w:szCs w:val="22"/>
          <w:lang w:val="fr-CA"/>
        </w:rPr>
        <w:t>5</w:t>
      </w:r>
      <w:r w:rsidRPr="00DE296B">
        <w:rPr>
          <w:rFonts w:asciiTheme="majorHAnsi" w:cstheme="majorHAnsi" w:hAnsiTheme="majorHAnsi"/>
          <w:szCs w:val="22"/>
          <w:lang w:val="fr-CA"/>
        </w:rPr>
        <w:t xml:space="preserve"> mn sur le mois : perte de 50 points.</w:t>
      </w:r>
    </w:p>
    <w:p w14:paraId="2377DC64" w14:textId="77777777" w:rsidP="001C23AE" w:rsidR="001C23AE" w:rsidRDefault="001C23AE" w:rsidRPr="001C23AE">
      <w:pPr>
        <w:jc w:val="left"/>
        <w:rPr>
          <w:rFonts w:asciiTheme="majorHAnsi" w:cstheme="majorHAnsi" w:hAnsiTheme="majorHAnsi"/>
          <w:szCs w:val="22"/>
          <w:lang w:val="fr-CA"/>
        </w:rPr>
      </w:pPr>
    </w:p>
    <w:p w14:paraId="484EA4F2" w14:textId="77777777" w:rsidP="001C23AE" w:rsidR="001C23AE" w:rsidRDefault="001C23AE" w:rsidRPr="001C23AE">
      <w:pPr>
        <w:jc w:val="left"/>
        <w:rPr>
          <w:rFonts w:asciiTheme="majorHAnsi" w:cstheme="majorHAnsi" w:hAnsiTheme="majorHAnsi"/>
          <w:szCs w:val="22"/>
          <w:lang w:val="fr-CA"/>
        </w:rPr>
      </w:pPr>
      <w:r w:rsidRPr="001C23AE">
        <w:rPr>
          <w:rFonts w:asciiTheme="majorHAnsi" w:cstheme="majorHAnsi" w:hAnsiTheme="majorHAnsi"/>
          <w:szCs w:val="22"/>
          <w:lang w:val="fr-CA"/>
        </w:rPr>
        <w:t>En matière de performance, cette prime est conditionnée au strict respect des procédures et règlementations en vigueur.</w:t>
      </w:r>
    </w:p>
    <w:p w14:paraId="4547903B" w14:textId="183114B8" w:rsidP="00F46F1D" w:rsidR="00F46F1D" w:rsidRDefault="001C23AE">
      <w:pPr>
        <w:jc w:val="left"/>
        <w:rPr>
          <w:rFonts w:asciiTheme="majorHAnsi" w:cstheme="majorHAnsi" w:hAnsiTheme="majorHAnsi"/>
          <w:szCs w:val="22"/>
          <w:lang w:val="fr-CA"/>
        </w:rPr>
      </w:pPr>
      <w:bookmarkStart w:id="9" w:name="_Hlk103441471"/>
      <w:r w:rsidRPr="001C23AE">
        <w:rPr>
          <w:rFonts w:asciiTheme="majorHAnsi" w:cstheme="majorHAnsi" w:hAnsiTheme="majorHAnsi"/>
          <w:szCs w:val="22"/>
          <w:lang w:val="fr-CA"/>
        </w:rPr>
        <w:t>La prime est supprimée dès lors qu’un défaut de procédures et/ou de règlementations est avéré sur le mois</w:t>
      </w:r>
      <w:r w:rsidR="00A30696">
        <w:rPr>
          <w:rFonts w:asciiTheme="majorHAnsi" w:cstheme="majorHAnsi" w:hAnsiTheme="majorHAnsi"/>
          <w:szCs w:val="22"/>
          <w:lang w:val="fr-CA"/>
        </w:rPr>
        <w:t xml:space="preserve"> et </w:t>
      </w:r>
      <w:bookmarkEnd w:id="9"/>
      <w:r w:rsidR="00A30696">
        <w:rPr>
          <w:rFonts w:asciiTheme="majorHAnsi" w:cstheme="majorHAnsi" w:hAnsiTheme="majorHAnsi"/>
          <w:szCs w:val="22"/>
          <w:lang w:val="fr-CA"/>
        </w:rPr>
        <w:t xml:space="preserve">dès lors que le salarié est responsable </w:t>
      </w:r>
      <w:r w:rsidR="00F46F1D" w:rsidRPr="00F46F1D">
        <w:rPr>
          <w:rFonts w:asciiTheme="majorHAnsi" w:cstheme="majorHAnsi" w:hAnsiTheme="majorHAnsi"/>
          <w:szCs w:val="22"/>
          <w:lang w:val="fr-CA"/>
        </w:rPr>
        <w:t>de casse volontaire avérée sur le mois.</w:t>
      </w:r>
    </w:p>
    <w:p w14:paraId="1DF48937" w14:textId="77777777" w:rsidP="00CF3B16" w:rsidR="00CF3B16" w:rsidRDefault="00CF3B16" w:rsidRPr="00CF3B16">
      <w:pPr>
        <w:jc w:val="left"/>
        <w:rPr>
          <w:rFonts w:asciiTheme="majorHAnsi" w:cstheme="majorHAnsi" w:hAnsiTheme="majorHAnsi"/>
          <w:szCs w:val="22"/>
          <w:lang w:val="fr-CA"/>
        </w:rPr>
      </w:pPr>
      <w:r w:rsidRPr="00CF3B16">
        <w:rPr>
          <w:rFonts w:asciiTheme="majorHAnsi" w:cstheme="majorHAnsi" w:hAnsiTheme="majorHAnsi"/>
          <w:szCs w:val="22"/>
          <w:lang w:val="fr-CA"/>
        </w:rPr>
        <w:t>Les parties conviennent de revoir les critères d’obtention et modalités de versement lors de la prochaine NAO.</w:t>
      </w:r>
    </w:p>
    <w:p w14:paraId="2DF4A898" w14:textId="77777777" w:rsidP="00F46F1D" w:rsidR="00CF3B16" w:rsidRDefault="00CF3B16" w:rsidRPr="00F46F1D">
      <w:pPr>
        <w:jc w:val="left"/>
        <w:rPr>
          <w:rFonts w:asciiTheme="majorHAnsi" w:cstheme="majorHAnsi" w:hAnsiTheme="majorHAnsi"/>
          <w:szCs w:val="22"/>
          <w:lang w:val="fr-CA"/>
        </w:rPr>
      </w:pPr>
    </w:p>
    <w:p w14:paraId="4E976F5C" w14:textId="1481D83D" w:rsidP="001C23AE" w:rsidR="001C23AE" w:rsidRDefault="001C23AE" w:rsidRPr="00F46F1D">
      <w:pPr>
        <w:jc w:val="left"/>
        <w:rPr>
          <w:rFonts w:asciiTheme="majorHAnsi" w:cstheme="majorHAnsi" w:hAnsiTheme="majorHAnsi"/>
          <w:szCs w:val="22"/>
          <w:lang w:val="fr-CA"/>
        </w:rPr>
      </w:pPr>
    </w:p>
    <w:p w14:paraId="7854AF8C" w14:textId="5CD561BC" w:rsidP="00F46F1D" w:rsidR="00F46F1D" w:rsidRDefault="00F46F1D" w:rsidRPr="00817E8C">
      <w:pPr>
        <w:jc w:val="left"/>
        <w:rPr>
          <w:rFonts w:asciiTheme="majorHAnsi" w:cstheme="majorHAnsi" w:hAnsiTheme="majorHAnsi"/>
          <w:b/>
          <w:bCs/>
          <w:szCs w:val="22"/>
          <w:u w:val="single"/>
          <w:lang w:val="fr-CA"/>
        </w:rPr>
      </w:pPr>
      <w:r w:rsidRPr="00817E8C">
        <w:rPr>
          <w:rFonts w:asciiTheme="majorHAnsi" w:cstheme="majorHAnsi" w:hAnsiTheme="majorHAnsi"/>
          <w:b/>
          <w:bCs/>
          <w:szCs w:val="22"/>
          <w:u w:val="single"/>
          <w:lang w:val="fr-CA"/>
        </w:rPr>
        <w:t xml:space="preserve">Article 1.5. : Prime de dépassement : </w:t>
      </w:r>
    </w:p>
    <w:p w14:paraId="22801467" w14:textId="269B8A69" w:rsidP="00F46F1D" w:rsidR="00B11284" w:rsidRDefault="00B11284" w:rsidRPr="00817E8C">
      <w:pPr>
        <w:jc w:val="left"/>
        <w:rPr>
          <w:rFonts w:asciiTheme="majorHAnsi" w:cstheme="majorHAnsi" w:hAnsiTheme="majorHAnsi"/>
          <w:b/>
          <w:bCs/>
          <w:szCs w:val="22"/>
          <w:u w:val="single"/>
          <w:lang w:val="fr-CA"/>
        </w:rPr>
      </w:pPr>
    </w:p>
    <w:p w14:paraId="3819B390" w14:textId="56C3962B" w:rsidP="00F46F1D" w:rsidR="00B11284" w:rsidRDefault="00B11284" w:rsidRPr="00F46F1D">
      <w:pPr>
        <w:jc w:val="left"/>
        <w:rPr>
          <w:rFonts w:asciiTheme="majorHAnsi" w:cstheme="majorHAnsi" w:hAnsiTheme="majorHAnsi"/>
          <w:szCs w:val="22"/>
          <w:lang w:val="fr-CA"/>
        </w:rPr>
      </w:pPr>
      <w:r w:rsidRPr="00817E8C">
        <w:rPr>
          <w:rFonts w:asciiTheme="majorHAnsi" w:cstheme="majorHAnsi" w:hAnsiTheme="majorHAnsi"/>
          <w:szCs w:val="22"/>
          <w:lang w:val="fr-CA"/>
        </w:rPr>
        <w:t>Prenant en compte les retards avion en soirée et l’impact sur la fin de l’horaire de vacation, les parties conviennent de mettre en place, à compter du 1</w:t>
      </w:r>
      <w:r w:rsidRPr="00817E8C">
        <w:rPr>
          <w:rFonts w:asciiTheme="majorHAnsi" w:cstheme="majorHAnsi" w:hAnsiTheme="majorHAnsi"/>
          <w:szCs w:val="22"/>
          <w:vertAlign w:val="superscript"/>
          <w:lang w:val="fr-CA"/>
        </w:rPr>
        <w:t>er</w:t>
      </w:r>
      <w:r w:rsidRPr="00817E8C">
        <w:rPr>
          <w:rFonts w:asciiTheme="majorHAnsi" w:cstheme="majorHAnsi" w:hAnsiTheme="majorHAnsi"/>
          <w:szCs w:val="22"/>
          <w:lang w:val="fr-CA"/>
        </w:rPr>
        <w:t xml:space="preserve"> mai 2022, une prime de </w:t>
      </w:r>
      <w:r w:rsidR="00817E8C">
        <w:rPr>
          <w:rFonts w:asciiTheme="majorHAnsi" w:cstheme="majorHAnsi" w:hAnsiTheme="majorHAnsi"/>
          <w:szCs w:val="22"/>
          <w:lang w:val="fr-CA"/>
        </w:rPr>
        <w:t xml:space="preserve">dépassement </w:t>
      </w:r>
      <w:r w:rsidRPr="00817E8C">
        <w:rPr>
          <w:rFonts w:asciiTheme="majorHAnsi" w:cstheme="majorHAnsi" w:hAnsiTheme="majorHAnsi"/>
          <w:szCs w:val="22"/>
          <w:lang w:val="fr-CA"/>
        </w:rPr>
        <w:t>20 euros brut. Cette prime sera versée en cas de prolongation de l’horaire au-delà de minuit</w:t>
      </w:r>
      <w:r w:rsidR="000F2CBF" w:rsidRPr="00817E8C">
        <w:rPr>
          <w:rFonts w:asciiTheme="majorHAnsi" w:cstheme="majorHAnsi" w:hAnsiTheme="majorHAnsi"/>
          <w:szCs w:val="22"/>
          <w:lang w:val="fr-CA"/>
        </w:rPr>
        <w:t xml:space="preserve"> sur jour off</w:t>
      </w:r>
      <w:r w:rsidRPr="00817E8C">
        <w:rPr>
          <w:rFonts w:asciiTheme="majorHAnsi" w:cstheme="majorHAnsi" w:hAnsiTheme="majorHAnsi"/>
          <w:szCs w:val="22"/>
          <w:lang w:val="fr-CA"/>
        </w:rPr>
        <w:t>.</w:t>
      </w:r>
      <w:r>
        <w:rPr>
          <w:rFonts w:asciiTheme="majorHAnsi" w:cstheme="majorHAnsi" w:hAnsiTheme="majorHAnsi"/>
          <w:szCs w:val="22"/>
          <w:lang w:val="fr-CA"/>
        </w:rPr>
        <w:t xml:space="preserve"> </w:t>
      </w:r>
      <w:r w:rsidRPr="00B11284">
        <w:rPr>
          <w:rFonts w:asciiTheme="majorHAnsi" w:cstheme="majorHAnsi" w:hAnsiTheme="majorHAnsi"/>
          <w:szCs w:val="22"/>
          <w:lang w:val="fr-CA"/>
        </w:rPr>
        <w:t xml:space="preserve">    </w:t>
      </w:r>
    </w:p>
    <w:p w14:paraId="73EE5FD5" w14:textId="77777777" w:rsidP="00D55113" w:rsidR="00D55113" w:rsidRDefault="00D55113" w:rsidRPr="00D55113">
      <w:pPr>
        <w:jc w:val="left"/>
        <w:rPr>
          <w:rFonts w:asciiTheme="majorHAnsi" w:cstheme="majorHAnsi" w:hAnsiTheme="majorHAnsi"/>
          <w:szCs w:val="22"/>
          <w:lang w:val="fr-CA"/>
        </w:rPr>
      </w:pPr>
    </w:p>
    <w:p w14:paraId="182435B8" w14:textId="47DB590F" w:rsidP="00D55113" w:rsidR="00D55113" w:rsidRDefault="00D55113" w:rsidRPr="00A30696">
      <w:pPr>
        <w:jc w:val="left"/>
        <w:rPr>
          <w:rFonts w:asciiTheme="majorHAnsi" w:cstheme="majorHAnsi" w:hAnsiTheme="majorHAnsi"/>
          <w:b/>
          <w:bCs/>
          <w:szCs w:val="22"/>
          <w:u w:val="single"/>
          <w:lang w:val="fr-CA"/>
        </w:rPr>
      </w:pPr>
      <w:r w:rsidRPr="00A30696">
        <w:rPr>
          <w:rFonts w:asciiTheme="majorHAnsi" w:cstheme="majorHAnsi" w:hAnsiTheme="majorHAnsi"/>
          <w:b/>
          <w:bCs/>
          <w:szCs w:val="22"/>
          <w:u w:val="single"/>
          <w:lang w:val="fr-CA"/>
        </w:rPr>
        <w:t>Article 1.</w:t>
      </w:r>
      <w:r w:rsidR="000F2CBF">
        <w:rPr>
          <w:rFonts w:asciiTheme="majorHAnsi" w:cstheme="majorHAnsi" w:hAnsiTheme="majorHAnsi"/>
          <w:b/>
          <w:bCs/>
          <w:szCs w:val="22"/>
          <w:u w:val="single"/>
          <w:lang w:val="fr-CA"/>
        </w:rPr>
        <w:t>6</w:t>
      </w:r>
      <w:r w:rsidRPr="00A30696">
        <w:rPr>
          <w:rFonts w:asciiTheme="majorHAnsi" w:cstheme="majorHAnsi" w:hAnsiTheme="majorHAnsi"/>
          <w:b/>
          <w:bCs/>
          <w:szCs w:val="22"/>
          <w:u w:val="single"/>
          <w:lang w:val="fr-CA"/>
        </w:rPr>
        <w:t xml:space="preserve">. : grille salariale : </w:t>
      </w:r>
    </w:p>
    <w:p w14:paraId="402D8A04" w14:textId="77777777" w:rsidP="00D55113" w:rsidR="00D55113" w:rsidRDefault="00D55113" w:rsidRPr="00D55113">
      <w:pPr>
        <w:jc w:val="left"/>
        <w:rPr>
          <w:rFonts w:asciiTheme="majorHAnsi" w:cstheme="majorHAnsi" w:hAnsiTheme="majorHAnsi"/>
          <w:szCs w:val="22"/>
          <w:u w:val="single"/>
          <w:lang w:val="fr-CA"/>
        </w:rPr>
      </w:pPr>
    </w:p>
    <w:p w14:paraId="276C9A64" w14:textId="113E3606" w:rsidP="003E3710" w:rsidR="003E3710" w:rsidRDefault="005E1192" w:rsidRPr="003E3710">
      <w:pPr>
        <w:jc w:val="left"/>
        <w:rPr>
          <w:rFonts w:asciiTheme="majorHAnsi" w:cstheme="majorHAnsi" w:hAnsiTheme="majorHAnsi"/>
          <w:szCs w:val="22"/>
          <w:lang w:val="fr-CA"/>
        </w:rPr>
      </w:pPr>
      <w:r>
        <w:rPr>
          <w:rFonts w:asciiTheme="majorHAnsi" w:cstheme="majorHAnsi" w:hAnsiTheme="majorHAnsi"/>
          <w:szCs w:val="22"/>
          <w:lang w:val="fr-CA"/>
        </w:rPr>
        <w:t xml:space="preserve">Les parties conviennent </w:t>
      </w:r>
      <w:r w:rsidR="00DC6E0B">
        <w:rPr>
          <w:rFonts w:asciiTheme="majorHAnsi" w:cstheme="majorHAnsi" w:hAnsiTheme="majorHAnsi"/>
          <w:szCs w:val="22"/>
          <w:lang w:val="fr-CA"/>
        </w:rPr>
        <w:t xml:space="preserve">de mettre </w:t>
      </w:r>
      <w:r w:rsidR="00D420F5">
        <w:rPr>
          <w:rFonts w:asciiTheme="majorHAnsi" w:cstheme="majorHAnsi" w:hAnsiTheme="majorHAnsi"/>
          <w:szCs w:val="22"/>
          <w:lang w:val="fr-CA"/>
        </w:rPr>
        <w:t>en place l</w:t>
      </w:r>
      <w:r w:rsidR="003E3710" w:rsidRPr="003E3710">
        <w:rPr>
          <w:rFonts w:asciiTheme="majorHAnsi" w:cstheme="majorHAnsi" w:hAnsiTheme="majorHAnsi"/>
          <w:szCs w:val="22"/>
          <w:lang w:val="fr-CA"/>
        </w:rPr>
        <w:t xml:space="preserve">a grille suivante </w:t>
      </w:r>
      <w:r w:rsidR="00D420F5">
        <w:rPr>
          <w:rFonts w:asciiTheme="majorHAnsi" w:cstheme="majorHAnsi" w:hAnsiTheme="majorHAnsi"/>
          <w:szCs w:val="22"/>
          <w:lang w:val="fr-CA"/>
        </w:rPr>
        <w:t>app</w:t>
      </w:r>
      <w:r w:rsidR="003E3710" w:rsidRPr="003E3710">
        <w:rPr>
          <w:rFonts w:asciiTheme="majorHAnsi" w:cstheme="majorHAnsi" w:hAnsiTheme="majorHAnsi"/>
          <w:szCs w:val="22"/>
          <w:lang w:val="fr-CA"/>
        </w:rPr>
        <w:t>licable au 1</w:t>
      </w:r>
      <w:r w:rsidR="003E3710" w:rsidRPr="003E3710">
        <w:rPr>
          <w:rFonts w:asciiTheme="majorHAnsi" w:cstheme="majorHAnsi" w:hAnsiTheme="majorHAnsi"/>
          <w:szCs w:val="22"/>
          <w:vertAlign w:val="superscript"/>
          <w:lang w:val="fr-CA"/>
        </w:rPr>
        <w:t>er</w:t>
      </w:r>
      <w:r w:rsidR="003E3710" w:rsidRPr="003E3710">
        <w:rPr>
          <w:rFonts w:asciiTheme="majorHAnsi" w:cstheme="majorHAnsi" w:hAnsiTheme="majorHAnsi"/>
          <w:szCs w:val="22"/>
          <w:lang w:val="fr-CA"/>
        </w:rPr>
        <w:t xml:space="preserve"> </w:t>
      </w:r>
      <w:r>
        <w:rPr>
          <w:rFonts w:asciiTheme="majorHAnsi" w:cstheme="majorHAnsi" w:hAnsiTheme="majorHAnsi"/>
          <w:szCs w:val="22"/>
          <w:lang w:val="fr-CA"/>
        </w:rPr>
        <w:t xml:space="preserve">janvier </w:t>
      </w:r>
      <w:r w:rsidR="003E3710" w:rsidRPr="003E3710">
        <w:rPr>
          <w:rFonts w:asciiTheme="majorHAnsi" w:cstheme="majorHAnsi" w:hAnsiTheme="majorHAnsi"/>
          <w:szCs w:val="22"/>
          <w:lang w:val="fr-CA"/>
        </w:rPr>
        <w:t>2022.</w:t>
      </w:r>
    </w:p>
    <w:p w14:paraId="0C6BA6AD" w14:textId="77777777" w:rsidP="003E3710" w:rsidR="003E3710" w:rsidRDefault="003E3710" w:rsidRPr="003E3710">
      <w:pPr>
        <w:jc w:val="left"/>
        <w:rPr>
          <w:rFonts w:asciiTheme="majorHAnsi" w:cstheme="majorHAnsi" w:hAnsiTheme="majorHAnsi"/>
          <w:szCs w:val="22"/>
          <w:lang w:val="fr-CA"/>
        </w:rPr>
      </w:pPr>
    </w:p>
    <w:tbl>
      <w:tblPr>
        <w:tblW w:type="dxa" w:w="2660"/>
        <w:tblInd w:type="dxa" w:w="5"/>
        <w:tblCellMar>
          <w:left w:type="dxa" w:w="70"/>
          <w:right w:type="dxa" w:w="70"/>
        </w:tblCellMar>
        <w:tblLook w:firstColumn="1" w:firstRow="1" w:lastColumn="0" w:lastRow="0" w:noHBand="0" w:noVBand="1" w:val="04A0"/>
      </w:tblPr>
      <w:tblGrid>
        <w:gridCol w:w="1460"/>
        <w:gridCol w:w="1200"/>
      </w:tblGrid>
      <w:tr w14:paraId="05DAB1CF" w14:textId="77777777" w:rsidR="003E3710" w:rsidRPr="003E3710" w:rsidTr="00945BD7">
        <w:trPr>
          <w:trHeight w:val="420"/>
        </w:trPr>
        <w:tc>
          <w:tcPr>
            <w:tcW w:type="dxa" w:w="1460"/>
            <w:tcBorders>
              <w:top w:color="1F497D" w:space="0" w:sz="4" w:val="single"/>
              <w:left w:val="nil"/>
              <w:bottom w:color="1F497D" w:space="0" w:sz="4" w:val="single"/>
              <w:right w:color="1F497D" w:space="0" w:sz="4" w:val="single"/>
            </w:tcBorders>
            <w:shd w:color="000000" w:fill="FFFFFF" w:val="clear"/>
            <w:vAlign w:val="center"/>
            <w:hideMark/>
          </w:tcPr>
          <w:p w14:paraId="18E6051B"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 xml:space="preserve">Intitulé Grille ALYPRO </w:t>
            </w:r>
          </w:p>
        </w:tc>
        <w:tc>
          <w:tcPr>
            <w:tcW w:type="dxa" w:w="1200"/>
            <w:tcBorders>
              <w:top w:color="1F497D" w:space="0" w:sz="4" w:val="single"/>
              <w:left w:val="nil"/>
              <w:bottom w:color="1F497D" w:space="0" w:sz="4" w:val="single"/>
              <w:right w:color="1F497D" w:space="0" w:sz="4" w:val="single"/>
            </w:tcBorders>
            <w:shd w:color="000000" w:fill="FFFFFF" w:val="clear"/>
            <w:vAlign w:val="center"/>
            <w:hideMark/>
          </w:tcPr>
          <w:p w14:paraId="4B5E9082"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Valeur Grille</w:t>
            </w:r>
          </w:p>
        </w:tc>
      </w:tr>
      <w:tr w14:paraId="4E17FF67"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31E3F8DD"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195</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11CF05A3"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1 657,20</w:t>
            </w:r>
          </w:p>
        </w:tc>
      </w:tr>
      <w:tr w14:paraId="6DE79129"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09ADED4F"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200</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7075AFD6"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1 673,46</w:t>
            </w:r>
          </w:p>
        </w:tc>
      </w:tr>
      <w:tr w14:paraId="479D188F"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67B8CBCD"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210</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376F65B1"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1 697,84</w:t>
            </w:r>
          </w:p>
        </w:tc>
      </w:tr>
      <w:tr w14:paraId="08D1B561"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70C3F6F2"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215</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28E58951"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1 715,12</w:t>
            </w:r>
          </w:p>
        </w:tc>
      </w:tr>
      <w:tr w14:paraId="78D14420"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7028129E"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220</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4C5F2312"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1 736,45</w:t>
            </w:r>
          </w:p>
        </w:tc>
      </w:tr>
      <w:tr w14:paraId="64D57685"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0F2F709F"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235</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2A0033F1"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1 865,49</w:t>
            </w:r>
          </w:p>
        </w:tc>
      </w:tr>
      <w:tr w14:paraId="1B35EE44"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6C30C194"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COEFF 245</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257F2EDF" w14:textId="77777777" w:rsidP="003E3710" w:rsidR="003E3710" w:rsidRDefault="003E3710" w:rsidRPr="003E3710">
            <w:pPr>
              <w:jc w:val="left"/>
              <w:rPr>
                <w:rFonts w:asciiTheme="majorHAnsi" w:cstheme="majorHAnsi" w:hAnsiTheme="majorHAnsi"/>
                <w:szCs w:val="22"/>
              </w:rPr>
            </w:pPr>
            <w:r w:rsidRPr="003E3710">
              <w:rPr>
                <w:rFonts w:asciiTheme="majorHAnsi" w:cstheme="majorHAnsi" w:hAnsiTheme="majorHAnsi"/>
                <w:b/>
                <w:bCs/>
                <w:szCs w:val="22"/>
              </w:rPr>
              <w:t>1 918,33</w:t>
            </w:r>
          </w:p>
        </w:tc>
      </w:tr>
      <w:tr w14:paraId="59CECFDE"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7F026497"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COEFF 260</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19D9F669"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2 033,14</w:t>
            </w:r>
          </w:p>
        </w:tc>
      </w:tr>
      <w:tr w14:paraId="78D9DDDC"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6E095A8D"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COEFF 270</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77E3CA6E"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2 110,36</w:t>
            </w:r>
          </w:p>
        </w:tc>
      </w:tr>
      <w:tr w14:paraId="5DB56B5F" w14:textId="77777777" w:rsidR="003E3710" w:rsidRPr="003E3710" w:rsidTr="00945BD7">
        <w:trPr>
          <w:trHeight w:val="290"/>
        </w:trPr>
        <w:tc>
          <w:tcPr>
            <w:tcW w:type="dxa" w:w="1460"/>
            <w:tcBorders>
              <w:top w:color="1F497D" w:space="0" w:sz="4" w:val="dotted"/>
              <w:left w:val="nil"/>
              <w:bottom w:color="1F497D" w:space="0" w:sz="4" w:val="single"/>
              <w:right w:color="1F497D" w:space="0" w:sz="4" w:val="dotted"/>
            </w:tcBorders>
            <w:shd w:color="000000" w:fill="FFFFFF" w:val="clear"/>
            <w:noWrap/>
            <w:vAlign w:val="center"/>
            <w:hideMark/>
          </w:tcPr>
          <w:p w14:paraId="59214385"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COEFF 290</w:t>
            </w:r>
          </w:p>
        </w:tc>
        <w:tc>
          <w:tcPr>
            <w:tcW w:type="dxa" w:w="1200"/>
            <w:tcBorders>
              <w:top w:color="1F497D" w:space="0" w:sz="4" w:val="dotted"/>
              <w:left w:val="nil"/>
              <w:bottom w:color="1F497D" w:space="0" w:sz="4" w:val="single"/>
              <w:right w:color="1F497D" w:space="0" w:sz="4" w:val="dotted"/>
            </w:tcBorders>
            <w:shd w:color="000000" w:fill="FFFFFF" w:val="clear"/>
            <w:noWrap/>
            <w:vAlign w:val="center"/>
            <w:hideMark/>
          </w:tcPr>
          <w:p w14:paraId="6C28363B" w14:textId="77777777" w:rsidP="003E3710" w:rsidR="003E3710" w:rsidRDefault="003E3710" w:rsidRPr="003E3710">
            <w:pPr>
              <w:jc w:val="left"/>
              <w:rPr>
                <w:rFonts w:asciiTheme="majorHAnsi" w:cstheme="majorHAnsi" w:hAnsiTheme="majorHAnsi"/>
                <w:b/>
                <w:bCs/>
                <w:szCs w:val="22"/>
              </w:rPr>
            </w:pPr>
            <w:r w:rsidRPr="003E3710">
              <w:rPr>
                <w:rFonts w:asciiTheme="majorHAnsi" w:cstheme="majorHAnsi" w:hAnsiTheme="majorHAnsi"/>
                <w:b/>
                <w:bCs/>
                <w:szCs w:val="22"/>
              </w:rPr>
              <w:t>2 261,76</w:t>
            </w:r>
          </w:p>
        </w:tc>
      </w:tr>
    </w:tbl>
    <w:p w14:paraId="13E4F1C2" w14:textId="77777777" w:rsidP="003E3710" w:rsidR="003E3710" w:rsidRDefault="003E3710" w:rsidRPr="003E3710">
      <w:pPr>
        <w:jc w:val="left"/>
        <w:rPr>
          <w:rFonts w:asciiTheme="majorHAnsi" w:cstheme="majorHAnsi" w:hAnsiTheme="majorHAnsi"/>
          <w:szCs w:val="22"/>
          <w:u w:val="single"/>
          <w:lang w:val="fr-CA"/>
        </w:rPr>
      </w:pPr>
    </w:p>
    <w:p w14:paraId="511B5593" w14:textId="77777777" w:rsidP="003E3710" w:rsidR="003E3710" w:rsidRDefault="003E3710" w:rsidRPr="003E3710">
      <w:pPr>
        <w:jc w:val="left"/>
        <w:rPr>
          <w:rFonts w:asciiTheme="majorHAnsi" w:cstheme="majorHAnsi" w:hAnsiTheme="majorHAnsi"/>
          <w:szCs w:val="22"/>
          <w:lang w:val="fr-CA"/>
        </w:rPr>
      </w:pPr>
      <w:r w:rsidRPr="003E3710">
        <w:rPr>
          <w:rFonts w:asciiTheme="majorHAnsi" w:cstheme="majorHAnsi" w:hAnsiTheme="majorHAnsi"/>
          <w:szCs w:val="22"/>
          <w:lang w:val="fr-CA"/>
        </w:rPr>
        <w:t>Concernant les autres coefficients de l’annexe Ouvriers-Employés, le salaire applicable est celui relatif au SMIC.</w:t>
      </w:r>
    </w:p>
    <w:p w14:paraId="0B4C5180" w14:textId="77777777" w:rsidP="00D55113" w:rsidR="00D55113" w:rsidRDefault="00D55113" w:rsidRPr="00D55113">
      <w:pPr>
        <w:jc w:val="left"/>
        <w:rPr>
          <w:rFonts w:asciiTheme="majorHAnsi" w:cstheme="majorHAnsi" w:hAnsiTheme="majorHAnsi"/>
          <w:szCs w:val="22"/>
          <w:lang w:val="fr-CA"/>
        </w:rPr>
      </w:pPr>
    </w:p>
    <w:bookmarkEnd w:id="6"/>
    <w:p w14:paraId="6AE7BF5B" w14:textId="77777777" w:rsidP="00D55113" w:rsidR="00D55113" w:rsidRDefault="00D55113" w:rsidRPr="00D55113">
      <w:pPr>
        <w:jc w:val="left"/>
        <w:rPr>
          <w:rFonts w:asciiTheme="majorHAnsi" w:cstheme="majorHAnsi" w:hAnsiTheme="majorHAnsi"/>
          <w:szCs w:val="22"/>
          <w:u w:val="single"/>
          <w:lang w:val="fr-CA"/>
        </w:rPr>
      </w:pPr>
    </w:p>
    <w:p w14:paraId="57A50656" w14:textId="77777777" w:rsidP="00D55113" w:rsidR="00D55113" w:rsidRDefault="00D55113" w:rsidRPr="00D55113">
      <w:pPr>
        <w:jc w:val="left"/>
        <w:rPr>
          <w:rFonts w:asciiTheme="majorHAnsi" w:cstheme="majorHAnsi" w:hAnsiTheme="majorHAnsi"/>
          <w:szCs w:val="22"/>
          <w:u w:val="single"/>
        </w:rPr>
      </w:pPr>
      <w:r w:rsidRPr="00D55113">
        <w:rPr>
          <w:rFonts w:asciiTheme="majorHAnsi" w:cstheme="majorHAnsi" w:hAnsiTheme="majorHAnsi"/>
          <w:szCs w:val="22"/>
          <w:u w:val="single"/>
          <w:lang w:val="fr-CA"/>
        </w:rPr>
        <w:t>Article 2 :  </w:t>
      </w:r>
      <w:r w:rsidRPr="00D55113">
        <w:rPr>
          <w:rFonts w:asciiTheme="majorHAnsi" w:cstheme="majorHAnsi" w:hAnsiTheme="majorHAnsi"/>
          <w:bCs/>
          <w:szCs w:val="22"/>
          <w:u w:val="single"/>
        </w:rPr>
        <w:t>Egalité professionnelle femmes - hommes</w:t>
      </w:r>
    </w:p>
    <w:p w14:paraId="70F0E9E1" w14:textId="77777777" w:rsidP="00D55113" w:rsidR="00D55113" w:rsidRDefault="00D55113" w:rsidRPr="00D55113">
      <w:pPr>
        <w:jc w:val="left"/>
        <w:rPr>
          <w:rFonts w:asciiTheme="majorHAnsi" w:cstheme="majorHAnsi" w:hAnsiTheme="majorHAnsi"/>
          <w:szCs w:val="22"/>
          <w:u w:val="single"/>
        </w:rPr>
      </w:pPr>
    </w:p>
    <w:p w14:paraId="6549585E"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Les parties conviennent d’ouvrir des négociations spécifiques sur le thème de l’égalité professionnelle femmes – hommes.</w:t>
      </w:r>
    </w:p>
    <w:p w14:paraId="49D00343" w14:textId="3755861E"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 xml:space="preserve">Sur l’escale de </w:t>
      </w:r>
      <w:r w:rsidR="00A30696">
        <w:rPr>
          <w:rFonts w:asciiTheme="majorHAnsi" w:cstheme="majorHAnsi" w:hAnsiTheme="majorHAnsi"/>
          <w:bCs/>
          <w:szCs w:val="22"/>
        </w:rPr>
        <w:t>Marseille,</w:t>
      </w:r>
      <w:r w:rsidRPr="00D55113">
        <w:rPr>
          <w:rFonts w:asciiTheme="majorHAnsi" w:cstheme="majorHAnsi" w:hAnsiTheme="majorHAnsi"/>
          <w:bCs/>
          <w:szCs w:val="22"/>
        </w:rPr>
        <w:t xml:space="preserve"> les effectifs femmes représentent 4</w:t>
      </w:r>
      <w:r w:rsidR="00A30696">
        <w:rPr>
          <w:rFonts w:asciiTheme="majorHAnsi" w:cstheme="majorHAnsi" w:hAnsiTheme="majorHAnsi"/>
          <w:bCs/>
          <w:szCs w:val="22"/>
        </w:rPr>
        <w:t>3</w:t>
      </w:r>
      <w:r w:rsidRPr="00D55113">
        <w:rPr>
          <w:rFonts w:asciiTheme="majorHAnsi" w:cstheme="majorHAnsi" w:hAnsiTheme="majorHAnsi"/>
          <w:bCs/>
          <w:szCs w:val="22"/>
        </w:rPr>
        <w:t>% de l’escale.</w:t>
      </w:r>
    </w:p>
    <w:p w14:paraId="4C19F782"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Les thèmes suivants seront notamment abordés.</w:t>
      </w:r>
    </w:p>
    <w:p w14:paraId="1B390BB9" w14:textId="77777777" w:rsidP="00D55113" w:rsidR="00D55113" w:rsidRDefault="00D55113" w:rsidRPr="00D55113">
      <w:pPr>
        <w:jc w:val="left"/>
        <w:rPr>
          <w:rFonts w:asciiTheme="majorHAnsi" w:cstheme="majorHAnsi" w:hAnsiTheme="majorHAnsi"/>
          <w:bCs/>
          <w:szCs w:val="22"/>
        </w:rPr>
      </w:pPr>
    </w:p>
    <w:p w14:paraId="76837558"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lastRenderedPageBreak/>
        <w:t>En matière d’égalité salariale : les grilles de rémunération en vigueur dans l’entreprise permettent d’assurer une pleine égalité de traitement et de rémunération entre les salariés hommes et femmes. A ce jour, ces dispositions restent sans objet.</w:t>
      </w:r>
    </w:p>
    <w:p w14:paraId="2C39B991" w14:textId="77777777" w:rsidP="00D55113" w:rsidR="00D55113" w:rsidRDefault="00D55113" w:rsidRPr="00D55113">
      <w:pPr>
        <w:jc w:val="left"/>
        <w:rPr>
          <w:rFonts w:asciiTheme="majorHAnsi" w:cstheme="majorHAnsi" w:hAnsiTheme="majorHAnsi"/>
          <w:bCs/>
          <w:szCs w:val="22"/>
        </w:rPr>
      </w:pPr>
    </w:p>
    <w:p w14:paraId="3D90A83F"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En matière d’égalité d’emploi et de promotion, de formation, de répartition des postes et déroulement des carrières dans l’entreprise : l’accès aux postes et aux promotions internes, ainsi qu’à la formation professionnelle ne laisse apparaître aucune discrimination entre les salariés autre que celle qui seraient liés aux diplômes, formation et compétences requises pour la tenue du poste de travail.</w:t>
      </w:r>
    </w:p>
    <w:p w14:paraId="7193580B" w14:textId="77777777" w:rsidP="00D55113" w:rsidR="00D55113" w:rsidRDefault="00D55113" w:rsidRPr="00D55113">
      <w:pPr>
        <w:jc w:val="left"/>
        <w:rPr>
          <w:rFonts w:asciiTheme="majorHAnsi" w:cstheme="majorHAnsi" w:hAnsiTheme="majorHAnsi"/>
          <w:bCs/>
          <w:szCs w:val="22"/>
        </w:rPr>
      </w:pPr>
    </w:p>
    <w:p w14:paraId="3CA59210" w14:textId="77777777" w:rsidP="00D55113" w:rsidR="00D55113" w:rsidRDefault="00D55113" w:rsidRPr="00D55113">
      <w:pPr>
        <w:jc w:val="left"/>
        <w:rPr>
          <w:rFonts w:asciiTheme="majorHAnsi" w:cstheme="majorHAnsi" w:hAnsiTheme="majorHAnsi"/>
          <w:bCs/>
          <w:szCs w:val="22"/>
        </w:rPr>
      </w:pPr>
      <w:r w:rsidRPr="00D55113">
        <w:rPr>
          <w:rFonts w:asciiTheme="majorHAnsi" w:cstheme="majorHAnsi" w:hAnsiTheme="majorHAnsi"/>
          <w:bCs/>
          <w:szCs w:val="22"/>
        </w:rPr>
        <w:t>En matière de temps de travail et d’accès au temps partiel choisi, d’équilibre vie professionnelle/vie personnelle, un point précis sera fait avant le début de la négociation.</w:t>
      </w:r>
    </w:p>
    <w:p w14:paraId="36E1313A" w14:textId="77777777" w:rsidP="00D55113" w:rsidR="00D55113" w:rsidRDefault="00D55113" w:rsidRPr="00D55113">
      <w:pPr>
        <w:jc w:val="left"/>
        <w:rPr>
          <w:rFonts w:asciiTheme="majorHAnsi" w:cstheme="majorHAnsi" w:hAnsiTheme="majorHAnsi"/>
          <w:b/>
          <w:bCs/>
          <w:szCs w:val="22"/>
        </w:rPr>
      </w:pPr>
    </w:p>
    <w:p w14:paraId="782A477F" w14:textId="77777777" w:rsidP="00D55113" w:rsidR="00D55113" w:rsidRDefault="00D55113" w:rsidRPr="00D55113">
      <w:pPr>
        <w:jc w:val="left"/>
        <w:rPr>
          <w:rFonts w:asciiTheme="majorHAnsi" w:cstheme="majorHAnsi" w:hAnsiTheme="majorHAnsi"/>
          <w:szCs w:val="22"/>
          <w:u w:val="single"/>
          <w:lang w:val="fr-CA"/>
        </w:rPr>
      </w:pPr>
      <w:r w:rsidRPr="00D55113">
        <w:rPr>
          <w:rFonts w:asciiTheme="majorHAnsi" w:cstheme="majorHAnsi" w:hAnsiTheme="majorHAnsi"/>
          <w:szCs w:val="22"/>
          <w:u w:val="single"/>
          <w:lang w:val="fr-CA"/>
        </w:rPr>
        <w:t>Article 3 : Durée de l’accord</w:t>
      </w:r>
    </w:p>
    <w:p w14:paraId="0905D3A4" w14:textId="77777777" w:rsidP="00D55113" w:rsidR="00D55113" w:rsidRDefault="00D55113" w:rsidRPr="00D55113">
      <w:pPr>
        <w:jc w:val="left"/>
        <w:rPr>
          <w:rFonts w:asciiTheme="majorHAnsi" w:cstheme="majorHAnsi" w:hAnsiTheme="majorHAnsi"/>
          <w:szCs w:val="22"/>
          <w:u w:val="single"/>
          <w:lang w:val="fr-CA"/>
        </w:rPr>
      </w:pPr>
    </w:p>
    <w:p w14:paraId="6706ED2F" w14:textId="46EE5EB9" w:rsidP="00CF3B16" w:rsidR="00CF3B16" w:rsidRDefault="00D55113" w:rsidRPr="00CF3B16">
      <w:pPr>
        <w:jc w:val="left"/>
        <w:rPr>
          <w:rFonts w:asciiTheme="majorHAnsi" w:cstheme="majorHAnsi" w:hAnsiTheme="majorHAnsi"/>
          <w:szCs w:val="22"/>
          <w:lang w:val="fr-CA"/>
        </w:rPr>
      </w:pPr>
      <w:r w:rsidRPr="00D55113">
        <w:rPr>
          <w:rFonts w:asciiTheme="majorHAnsi" w:cstheme="majorHAnsi" w:hAnsiTheme="majorHAnsi"/>
          <w:szCs w:val="22"/>
          <w:lang w:val="fr-CA"/>
        </w:rPr>
        <w:t>Le présent accord est conclu pour une durée indéterminée</w:t>
      </w:r>
      <w:r w:rsidR="00CF3B16">
        <w:rPr>
          <w:rFonts w:asciiTheme="majorHAnsi" w:cstheme="majorHAnsi" w:hAnsiTheme="majorHAnsi"/>
          <w:szCs w:val="22"/>
          <w:lang w:val="fr-CA"/>
        </w:rPr>
        <w:t>,</w:t>
      </w:r>
      <w:r w:rsidR="00CF3B16" w:rsidRPr="00CF3B16">
        <w:rPr>
          <w:rFonts w:ascii="Calibri Light" w:cs="Calibri Light" w:hAnsi="Calibri Light"/>
          <w:szCs w:val="22"/>
          <w:lang w:val="fr-CA"/>
        </w:rPr>
        <w:t xml:space="preserve"> </w:t>
      </w:r>
      <w:r w:rsidR="00CF3B16" w:rsidRPr="00CF3B16">
        <w:rPr>
          <w:rFonts w:asciiTheme="majorHAnsi" w:cstheme="majorHAnsi" w:hAnsiTheme="majorHAnsi"/>
          <w:szCs w:val="22"/>
          <w:lang w:val="fr-CA"/>
        </w:rPr>
        <w:t>excepté pour l’article 1.4 - Prime de performance – pour lequel les parties conviennent de revoir les critères et modalités de versement.</w:t>
      </w:r>
    </w:p>
    <w:p w14:paraId="3F9501D6" w14:textId="41B4C5DC"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 xml:space="preserve"> </w:t>
      </w:r>
    </w:p>
    <w:p w14:paraId="52743E9D"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Il pourra être dénoncé dans les conditions prévues par les articles L.2261-9 et suivants du Code du travail, à savoir, par les parties signataires, après respect d’un préavis de trois mois. La dénonciation sera notifiée par son auteur aux autres signataires de l’accord.</w:t>
      </w:r>
    </w:p>
    <w:p w14:paraId="5092FF00"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L’accord pourra également être révisé, dans le respect des dispositions de l’article L.2261-7 du Code du travail.</w:t>
      </w:r>
    </w:p>
    <w:p w14:paraId="324D8768" w14:textId="77777777" w:rsidP="00D55113" w:rsidR="00D55113" w:rsidRDefault="00D55113" w:rsidRPr="00D55113">
      <w:pPr>
        <w:jc w:val="left"/>
        <w:rPr>
          <w:rFonts w:asciiTheme="majorHAnsi" w:cstheme="majorHAnsi" w:hAnsiTheme="majorHAnsi"/>
          <w:szCs w:val="22"/>
          <w:lang w:val="fr-CA"/>
        </w:rPr>
      </w:pPr>
    </w:p>
    <w:p w14:paraId="6350638A" w14:textId="77777777" w:rsidP="00D55113" w:rsidR="00D55113" w:rsidRDefault="00D55113" w:rsidRPr="00D55113">
      <w:pPr>
        <w:jc w:val="left"/>
        <w:rPr>
          <w:rFonts w:asciiTheme="majorHAnsi" w:cstheme="majorHAnsi" w:hAnsiTheme="majorHAnsi"/>
          <w:szCs w:val="22"/>
          <w:u w:val="single"/>
          <w:lang w:val="fr-CA"/>
        </w:rPr>
      </w:pPr>
      <w:r w:rsidRPr="00D55113">
        <w:rPr>
          <w:rFonts w:asciiTheme="majorHAnsi" w:cstheme="majorHAnsi" w:hAnsiTheme="majorHAnsi"/>
          <w:szCs w:val="22"/>
          <w:u w:val="single"/>
          <w:lang w:val="fr-CA"/>
        </w:rPr>
        <w:t>Article 4 : Publicité</w:t>
      </w:r>
    </w:p>
    <w:p w14:paraId="1E079F45" w14:textId="77777777" w:rsidP="00D55113" w:rsidR="00D55113" w:rsidRDefault="00D55113" w:rsidRPr="00D55113">
      <w:pPr>
        <w:jc w:val="left"/>
        <w:rPr>
          <w:rFonts w:asciiTheme="majorHAnsi" w:cstheme="majorHAnsi" w:hAnsiTheme="majorHAnsi"/>
          <w:szCs w:val="22"/>
          <w:lang w:val="fr-CA"/>
        </w:rPr>
      </w:pPr>
    </w:p>
    <w:p w14:paraId="2575D064"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Le dépôt légal du présent accord sera effectué conformément à l’article L 2231-6 du Code du Travail.</w:t>
      </w:r>
    </w:p>
    <w:p w14:paraId="33C85A41"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Le dépôt sera effectué sur la plateforme de téléprocédure du Ministère du Travail en vigueur ((www.teleaccords.travail-emploi.gouv.fr).</w:t>
      </w:r>
    </w:p>
    <w:p w14:paraId="283B45DC"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Il sera également effectué en un exemplaire au Secrétariat Greffe du Conseil des Prud’hommes du lieu de conclusion.</w:t>
      </w:r>
    </w:p>
    <w:p w14:paraId="04F3BF06"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Un exemplaire de l’accord sera adressé au délégué syndical.</w:t>
      </w:r>
    </w:p>
    <w:p w14:paraId="15F40234" w14:textId="77777777"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Il sera par ailleurs porté au panneau d’affichage un avis spécifiant l’existence de cet accord et la possibilité de le consulter pour tout salarié de l’entreprise.</w:t>
      </w:r>
    </w:p>
    <w:p w14:paraId="4D054122" w14:textId="77777777" w:rsidP="00D55113" w:rsidR="00D55113" w:rsidRDefault="00D55113" w:rsidRPr="00D55113">
      <w:pPr>
        <w:jc w:val="left"/>
        <w:rPr>
          <w:rFonts w:asciiTheme="majorHAnsi" w:cstheme="majorHAnsi" w:hAnsiTheme="majorHAnsi"/>
          <w:szCs w:val="22"/>
          <w:lang w:val="fr-CA"/>
        </w:rPr>
      </w:pPr>
    </w:p>
    <w:p w14:paraId="5DA090B0" w14:textId="1C5A85BC"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 xml:space="preserve">Fait à </w:t>
      </w:r>
      <w:r w:rsidR="00A30696">
        <w:rPr>
          <w:rFonts w:asciiTheme="majorHAnsi" w:cstheme="majorHAnsi" w:hAnsiTheme="majorHAnsi"/>
          <w:szCs w:val="22"/>
          <w:lang w:val="fr-CA"/>
        </w:rPr>
        <w:t>Marseille</w:t>
      </w:r>
      <w:r w:rsidRPr="00D55113">
        <w:rPr>
          <w:rFonts w:asciiTheme="majorHAnsi" w:cstheme="majorHAnsi" w:hAnsiTheme="majorHAnsi"/>
          <w:szCs w:val="22"/>
          <w:lang w:val="fr-CA"/>
        </w:rPr>
        <w:t xml:space="preserve">, le </w:t>
      </w:r>
      <w:r w:rsidR="00ED074A">
        <w:rPr>
          <w:rFonts w:asciiTheme="majorHAnsi" w:cstheme="majorHAnsi" w:hAnsiTheme="majorHAnsi"/>
          <w:szCs w:val="22"/>
          <w:lang w:val="fr-CA"/>
        </w:rPr>
        <w:t>20</w:t>
      </w:r>
      <w:r w:rsidR="000F2CBF">
        <w:rPr>
          <w:rFonts w:asciiTheme="majorHAnsi" w:cstheme="majorHAnsi" w:hAnsiTheme="majorHAnsi"/>
          <w:szCs w:val="22"/>
          <w:lang w:val="fr-CA"/>
        </w:rPr>
        <w:t>/06</w:t>
      </w:r>
      <w:r w:rsidRPr="00D55113">
        <w:rPr>
          <w:rFonts w:asciiTheme="majorHAnsi" w:cstheme="majorHAnsi" w:hAnsiTheme="majorHAnsi"/>
          <w:szCs w:val="22"/>
          <w:lang w:val="fr-CA"/>
        </w:rPr>
        <w:t xml:space="preserve">/2022 en </w:t>
      </w:r>
      <w:r w:rsidR="000F2CBF">
        <w:rPr>
          <w:rFonts w:asciiTheme="majorHAnsi" w:cstheme="majorHAnsi" w:hAnsiTheme="majorHAnsi"/>
          <w:szCs w:val="22"/>
          <w:lang w:val="fr-CA"/>
        </w:rPr>
        <w:t xml:space="preserve">quatre </w:t>
      </w:r>
      <w:r w:rsidRPr="00D55113">
        <w:rPr>
          <w:rFonts w:asciiTheme="majorHAnsi" w:cstheme="majorHAnsi" w:hAnsiTheme="majorHAnsi"/>
          <w:szCs w:val="22"/>
          <w:lang w:val="fr-CA"/>
        </w:rPr>
        <w:t>exemplaires.</w:t>
      </w:r>
    </w:p>
    <w:p w14:paraId="73DB99E2" w14:textId="77777777" w:rsidP="00D55113" w:rsidR="00D55113" w:rsidRDefault="00D55113" w:rsidRPr="00D55113">
      <w:pPr>
        <w:jc w:val="left"/>
        <w:rPr>
          <w:rFonts w:asciiTheme="majorHAnsi" w:cstheme="majorHAnsi" w:hAnsiTheme="majorHAnsi"/>
          <w:szCs w:val="22"/>
          <w:lang w:val="fr-CA"/>
        </w:rPr>
      </w:pPr>
    </w:p>
    <w:p w14:paraId="4AAB6D29" w14:textId="453B4A05" w:rsidP="00D55113" w:rsidR="00D55113" w:rsidRDefault="00D55113" w:rsidRPr="00D55113">
      <w:pPr>
        <w:jc w:val="left"/>
        <w:rPr>
          <w:rFonts w:asciiTheme="majorHAnsi" w:cstheme="majorHAnsi" w:hAnsiTheme="majorHAnsi"/>
          <w:szCs w:val="22"/>
          <w:lang w:val="fr-CA"/>
        </w:rPr>
      </w:pPr>
      <w:r w:rsidRPr="00D55113">
        <w:rPr>
          <w:rFonts w:asciiTheme="majorHAnsi" w:cstheme="majorHAnsi" w:hAnsiTheme="majorHAnsi"/>
          <w:szCs w:val="22"/>
          <w:lang w:val="fr-CA"/>
        </w:rPr>
        <w:t xml:space="preserve">Pour la Société ALYZIA PROVINCE </w:t>
      </w:r>
      <w:r w:rsidRPr="00D55113">
        <w:rPr>
          <w:rFonts w:asciiTheme="majorHAnsi" w:cstheme="majorHAnsi" w:hAnsiTheme="majorHAnsi"/>
          <w:szCs w:val="22"/>
          <w:lang w:val="fr-CA"/>
        </w:rPr>
        <w:tab/>
      </w:r>
      <w:r w:rsidRPr="00D55113">
        <w:rPr>
          <w:rFonts w:asciiTheme="majorHAnsi" w:cstheme="majorHAnsi" w:hAnsiTheme="majorHAnsi"/>
          <w:szCs w:val="22"/>
          <w:lang w:val="fr-CA"/>
        </w:rPr>
        <w:tab/>
      </w:r>
      <w:r w:rsidRPr="00D55113">
        <w:rPr>
          <w:rFonts w:asciiTheme="majorHAnsi" w:cstheme="majorHAnsi" w:hAnsiTheme="majorHAnsi"/>
          <w:szCs w:val="22"/>
          <w:lang w:val="fr-CA"/>
        </w:rPr>
        <w:tab/>
        <w:t>L</w:t>
      </w:r>
      <w:r w:rsidR="000F2CBF">
        <w:rPr>
          <w:rFonts w:asciiTheme="majorHAnsi" w:cstheme="majorHAnsi" w:hAnsiTheme="majorHAnsi"/>
          <w:szCs w:val="22"/>
          <w:lang w:val="fr-CA"/>
        </w:rPr>
        <w:t>’</w:t>
      </w:r>
      <w:r w:rsidRPr="00D55113">
        <w:rPr>
          <w:rFonts w:asciiTheme="majorHAnsi" w:cstheme="majorHAnsi" w:hAnsiTheme="majorHAnsi"/>
          <w:szCs w:val="22"/>
          <w:lang w:val="fr-CA"/>
        </w:rPr>
        <w:t>Organisation Syndicale Représentative</w:t>
      </w:r>
    </w:p>
    <w:p w14:paraId="2D8793B0" w14:textId="3C5D3A0C" w:rsidP="00D55113" w:rsidR="00D55113" w:rsidRDefault="00154EDE" w:rsidRPr="00D55113">
      <w:pPr>
        <w:jc w:val="left"/>
        <w:rPr>
          <w:rFonts w:asciiTheme="majorHAnsi" w:cstheme="majorHAnsi" w:hAnsiTheme="majorHAnsi"/>
          <w:szCs w:val="22"/>
          <w:lang w:val="en-US"/>
        </w:rPr>
      </w:pPr>
      <w:r>
        <w:rPr>
          <w:rFonts w:asciiTheme="majorHAnsi" w:cstheme="majorHAnsi" w:hAnsiTheme="majorHAnsi"/>
          <w:szCs w:val="22"/>
          <w:lang w:val="en-US"/>
        </w:rPr>
        <w:tab/>
      </w:r>
      <w:r w:rsidR="00D55113" w:rsidRPr="00D55113">
        <w:rPr>
          <w:rFonts w:asciiTheme="majorHAnsi" w:cstheme="majorHAnsi" w:hAnsiTheme="majorHAnsi"/>
          <w:szCs w:val="22"/>
          <w:lang w:val="en-US"/>
        </w:rPr>
        <w:tab/>
      </w:r>
      <w:r w:rsidR="00D55113" w:rsidRPr="00D55113">
        <w:rPr>
          <w:rFonts w:asciiTheme="majorHAnsi" w:cstheme="majorHAnsi" w:hAnsiTheme="majorHAnsi"/>
          <w:szCs w:val="22"/>
          <w:lang w:val="en-US"/>
        </w:rPr>
        <w:tab/>
      </w:r>
      <w:r w:rsidR="00D55113" w:rsidRPr="00D55113">
        <w:rPr>
          <w:rFonts w:asciiTheme="majorHAnsi" w:cstheme="majorHAnsi" w:hAnsiTheme="majorHAnsi"/>
          <w:szCs w:val="22"/>
          <w:lang w:val="en-US"/>
        </w:rPr>
        <w:tab/>
      </w:r>
      <w:r w:rsidR="00D55113" w:rsidRPr="00D55113">
        <w:rPr>
          <w:rFonts w:asciiTheme="majorHAnsi" w:cstheme="majorHAnsi" w:hAnsiTheme="majorHAnsi"/>
          <w:szCs w:val="22"/>
          <w:lang w:val="en-US"/>
        </w:rPr>
        <w:tab/>
      </w:r>
      <w:r w:rsidR="00D55113" w:rsidRPr="00D55113">
        <w:rPr>
          <w:rFonts w:asciiTheme="majorHAnsi" w:cstheme="majorHAnsi" w:hAnsiTheme="majorHAnsi"/>
          <w:szCs w:val="22"/>
          <w:lang w:val="en-US"/>
        </w:rPr>
        <w:tab/>
      </w:r>
      <w:r w:rsidR="00D55113" w:rsidRPr="00D55113">
        <w:rPr>
          <w:rFonts w:asciiTheme="majorHAnsi" w:cstheme="majorHAnsi" w:hAnsiTheme="majorHAnsi"/>
          <w:szCs w:val="22"/>
          <w:lang w:val="en-US"/>
        </w:rPr>
        <w:tab/>
      </w:r>
      <w:r w:rsidR="002A31C9" w:rsidRPr="00372655">
        <w:rPr>
          <w:rFonts w:asciiTheme="majorHAnsi" w:cstheme="majorHAnsi" w:hAnsiTheme="majorHAnsi"/>
          <w:szCs w:val="22"/>
        </w:rPr>
        <w:t xml:space="preserve">FO-ACTA représenté par Madame </w:t>
      </w:r>
      <w:bookmarkEnd w:id="0"/>
    </w:p>
    <w:p w14:paraId="3E061F45" w14:textId="0BEA7110" w:rsidP="00C96802" w:rsidR="00D55113" w:rsidRDefault="00D55113" w:rsidRPr="00D55113">
      <w:pPr>
        <w:rPr>
          <w:rFonts w:asciiTheme="majorHAnsi" w:cstheme="majorHAnsi" w:hAnsiTheme="majorHAnsi"/>
          <w:szCs w:val="22"/>
        </w:rPr>
      </w:pPr>
    </w:p>
    <w:sectPr w:rsidR="00D55113" w:rsidRPr="00D55113">
      <w:footerReference r:id="rId7"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2F05" w14:textId="77777777" w:rsidR="006354DA" w:rsidRDefault="006354DA" w:rsidP="00CB4B1D">
      <w:r>
        <w:separator/>
      </w:r>
    </w:p>
  </w:endnote>
  <w:endnote w:type="continuationSeparator" w:id="0">
    <w:p w14:paraId="46C329F2" w14:textId="77777777" w:rsidR="006354DA" w:rsidRDefault="006354DA" w:rsidP="00CB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203699461"/>
      <w:docPartObj>
        <w:docPartGallery w:val="Page Numbers (Bottom of Page)"/>
        <w:docPartUnique/>
      </w:docPartObj>
    </w:sdtPr>
    <w:sdtEndPr/>
    <w:sdtContent>
      <w:p w14:paraId="04A0F754" w14:textId="77777777" w:rsidR="00CB4B1D" w:rsidRDefault="00CB4B1D">
        <w:pPr>
          <w:pStyle w:val="Pieddepage"/>
          <w:jc w:val="center"/>
        </w:pPr>
        <w:r>
          <w:fldChar w:fldCharType="begin"/>
        </w:r>
        <w:r>
          <w:instrText>PAGE   \* MERGEFORMAT</w:instrText>
        </w:r>
        <w:r>
          <w:fldChar w:fldCharType="separate"/>
        </w:r>
        <w:r w:rsidR="0080345E">
          <w:rPr>
            <w:noProof/>
          </w:rPr>
          <w:t>4</w:t>
        </w:r>
        <w:r>
          <w:fldChar w:fldCharType="end"/>
        </w:r>
      </w:p>
    </w:sdtContent>
  </w:sdt>
  <w:p w14:paraId="2E3D05F8" w14:textId="77777777" w:rsidR="00CB4B1D" w:rsidRDefault="00CB4B1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94D85D1" w14:textId="77777777" w:rsidP="00CB4B1D" w:rsidR="006354DA" w:rsidRDefault="006354DA">
      <w:r>
        <w:separator/>
      </w:r>
    </w:p>
  </w:footnote>
  <w:footnote w:id="0" w:type="continuationSeparator">
    <w:p w14:paraId="0A30B933" w14:textId="77777777" w:rsidP="00CB4B1D" w:rsidR="006354DA" w:rsidRDefault="006354DA">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D8A3151"/>
    <w:multiLevelType w:val="hybridMultilevel"/>
    <w:tmpl w:val="BE3A5EC8"/>
    <w:lvl w:ilvl="0" w:tplc="C64865CC">
      <w:start w:val="2"/>
      <w:numFmt w:val="bullet"/>
      <w:lvlText w:val="-"/>
      <w:lvlJc w:val="left"/>
      <w:pPr>
        <w:ind w:hanging="360" w:left="720"/>
      </w:pPr>
      <w:rPr>
        <w:rFonts w:ascii="Calibri" w:cs="Times New Roman" w:eastAsia="Times New Roman" w:hAnsi="Calibri" w:hint="default"/>
        <w:sz w:val="24"/>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38E61767"/>
    <w:multiLevelType w:val="multilevel"/>
    <w:tmpl w:val="15769514"/>
    <w:lvl w:ilvl="0">
      <w:start w:val="1"/>
      <w:numFmt w:val="upperRoman"/>
      <w:pStyle w:val="Titre1"/>
      <w:suff w:val="space"/>
      <w:lvlText w:val="TITRE %1"/>
      <w:lvlJc w:val="left"/>
      <w:pPr>
        <w:ind w:firstLine="0" w:left="2836"/>
      </w:pPr>
      <w:rPr>
        <w:rFonts w:ascii="Arial" w:hAnsi="Arial" w:hint="default"/>
        <w:b/>
        <w:i w:val="0"/>
        <w:caps/>
        <w:strike w:val="0"/>
        <w:dstrike w:val="0"/>
        <w:outline w:val="0"/>
        <w:shadow w:val="0"/>
        <w:emboss w:val="0"/>
        <w:imprint w:val="0"/>
        <w:vanish w:val="0"/>
        <w:sz w:val="24"/>
        <w:vertAlign w:val="baseline"/>
      </w:rPr>
    </w:lvl>
    <w:lvl w:ilvl="1">
      <w:start w:val="1"/>
      <w:numFmt w:val="decimal"/>
      <w:pStyle w:val="Titre2"/>
      <w:suff w:val="space"/>
      <w:lvlText w:val="CHAPITRE %2 :"/>
      <w:lvlJc w:val="left"/>
      <w:pPr>
        <w:ind w:firstLine="0" w:left="1135"/>
      </w:pPr>
      <w:rPr>
        <w:rFonts w:ascii="Arial" w:hAnsi="Arial" w:hint="default"/>
        <w:b/>
        <w:i w:val="0"/>
        <w:caps/>
        <w:strike w:val="0"/>
        <w:dstrike w:val="0"/>
        <w:outline w:val="0"/>
        <w:shadow w:val="0"/>
        <w:emboss w:val="0"/>
        <w:imprint w:val="0"/>
        <w:vanish w:val="0"/>
        <w:sz w:val="22"/>
        <w:vertAlign w:val="baseline"/>
      </w:rPr>
    </w:lvl>
    <w:lvl w:ilvl="2">
      <w:start w:val="1"/>
      <w:numFmt w:val="decimal"/>
      <w:pStyle w:val="Titre3"/>
      <w:isLgl/>
      <w:suff w:val="space"/>
      <w:lvlText w:val="ARTICLE %3 :"/>
      <w:lvlJc w:val="left"/>
      <w:pPr>
        <w:ind w:hanging="720" w:left="9792"/>
      </w:pPr>
      <w:rPr>
        <w:rFonts w:ascii="Arial" w:hAnsi="Arial" w:hint="default"/>
        <w:b/>
        <w:i w:val="0"/>
        <w:caps/>
        <w:strike w:val="0"/>
        <w:dstrike w:val="0"/>
        <w:outline w:val="0"/>
        <w:shadow w:val="0"/>
        <w:emboss w:val="0"/>
        <w:imprint w:val="0"/>
        <w:vanish w:val="0"/>
        <w:sz w:val="22"/>
        <w:vertAlign w:val="baseline"/>
      </w:rPr>
    </w:lvl>
    <w:lvl w:ilvl="3">
      <w:start w:val="1"/>
      <w:numFmt w:val="decimal"/>
      <w:pStyle w:val="Titre4"/>
      <w:suff w:val="space"/>
      <w:lvlText w:val="Article %3.%4 :"/>
      <w:lvlJc w:val="left"/>
      <w:pPr>
        <w:ind w:hanging="144" w:left="3700"/>
      </w:pPr>
      <w:rPr>
        <w:rFonts w:ascii="Arial" w:hAnsi="Arial" w:hint="default"/>
        <w:b/>
        <w:i w:val="0"/>
        <w:caps w:val="0"/>
        <w:strike w:val="0"/>
        <w:dstrike w:val="0"/>
        <w:outline w:val="0"/>
        <w:shadow w:val="0"/>
        <w:emboss w:val="0"/>
        <w:imprint w:val="0"/>
        <w:vanish w:val="0"/>
        <w:sz w:val="22"/>
        <w:vertAlign w:val="baseline"/>
      </w:rPr>
    </w:lvl>
    <w:lvl w:ilvl="4">
      <w:start w:val="1"/>
      <w:numFmt w:val="decimal"/>
      <w:pStyle w:val="Titre5"/>
      <w:suff w:val="space"/>
      <w:lvlText w:val="Article %3.%4.%5 :"/>
      <w:lvlJc w:val="left"/>
      <w:pPr>
        <w:ind w:hanging="1701" w:left="5671"/>
      </w:pPr>
      <w:rPr>
        <w:rFonts w:ascii="Arial" w:hAnsi="Arial" w:hint="default"/>
        <w:b/>
        <w:i w:val="0"/>
        <w:caps w:val="0"/>
        <w:strike w:val="0"/>
        <w:dstrike w:val="0"/>
        <w:outline w:val="0"/>
        <w:shadow w:val="0"/>
        <w:emboss w:val="0"/>
        <w:imprint w:val="0"/>
        <w:vanish w:val="0"/>
        <w:sz w:val="22"/>
        <w:vertAlign w:val="baseline"/>
      </w:rPr>
    </w:lvl>
    <w:lvl w:ilvl="5">
      <w:start w:val="1"/>
      <w:numFmt w:val="decimal"/>
      <w:pStyle w:val="Titre6"/>
      <w:suff w:val="space"/>
      <w:lvlText w:val="%3.%4.%5.%6 :"/>
      <w:lvlJc w:val="left"/>
      <w:pPr>
        <w:ind w:firstLine="2023" w:left="5065"/>
      </w:pPr>
      <w:rPr>
        <w:rFonts w:ascii="Arial" w:hAnsi="Arial" w:hint="default"/>
        <w:b/>
        <w:i w:val="0"/>
        <w:caps w:val="0"/>
        <w:strike w:val="0"/>
        <w:dstrike w:val="0"/>
        <w:outline w:val="0"/>
        <w:shadow w:val="0"/>
        <w:emboss w:val="0"/>
        <w:imprint w:val="0"/>
        <w:vanish w:val="0"/>
        <w:sz w:val="22"/>
        <w:vertAlign w:val="baseline"/>
      </w:rPr>
    </w:lvl>
    <w:lvl w:ilvl="6">
      <w:start w:val="1"/>
      <w:numFmt w:val="lowerRoman"/>
      <w:lvlText w:val="%7)"/>
      <w:lvlJc w:val="right"/>
      <w:pPr>
        <w:tabs>
          <w:tab w:pos="4132" w:val="num"/>
        </w:tabs>
        <w:ind w:hanging="288" w:left="4132"/>
      </w:pPr>
    </w:lvl>
    <w:lvl w:ilvl="7">
      <w:start w:val="1"/>
      <w:numFmt w:val="lowerLetter"/>
      <w:lvlText w:val="%8."/>
      <w:lvlJc w:val="left"/>
      <w:pPr>
        <w:tabs>
          <w:tab w:pos="4276" w:val="num"/>
        </w:tabs>
        <w:ind w:hanging="432" w:left="4276"/>
      </w:pPr>
    </w:lvl>
    <w:lvl w:ilvl="8">
      <w:start w:val="1"/>
      <w:numFmt w:val="lowerRoman"/>
      <w:lvlText w:val="%9."/>
      <w:lvlJc w:val="right"/>
      <w:pPr>
        <w:tabs>
          <w:tab w:pos="4420" w:val="num"/>
        </w:tabs>
        <w:ind w:hanging="144" w:left="4420"/>
      </w:pPr>
    </w:lvl>
  </w:abstractNum>
  <w:abstractNum w15:restartNumberingAfterBreak="0" w:abstractNumId="2">
    <w:nsid w:val="42FE3B63"/>
    <w:multiLevelType w:val="hybridMultilevel"/>
    <w:tmpl w:val="392A78E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560A0E8C"/>
    <w:multiLevelType w:val="singleLevel"/>
    <w:tmpl w:val="98BE5C56"/>
    <w:lvl w:ilvl="0">
      <w:numFmt w:val="bullet"/>
      <w:lvlText w:val="-"/>
      <w:lvlJc w:val="left"/>
      <w:pPr>
        <w:tabs>
          <w:tab w:pos="405" w:val="num"/>
        </w:tabs>
        <w:ind w:hanging="360" w:left="405"/>
      </w:pPr>
      <w:rPr>
        <w:rFonts w:hint="default"/>
      </w:rPr>
    </w:lvl>
  </w:abstractNum>
  <w:num w16cid:durableId="888686996" w:numId="1">
    <w:abstractNumId w:val="2"/>
  </w:num>
  <w:num w16cid:durableId="211507078" w:numId="2">
    <w:abstractNumId w:val="3"/>
  </w:num>
  <w:num w16cid:durableId="1217857619" w:numId="3">
    <w:abstractNumId w:val="1"/>
  </w:num>
  <w:num w16cid:durableId="209389728" w:numId="4">
    <w:abstractNumId w:val="0"/>
  </w:num>
  <w:num w16cid:durableId="1397163412" w:numId="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802"/>
    <w:rsid w:val="00003505"/>
    <w:rsid w:val="000A0993"/>
    <w:rsid w:val="000B3A10"/>
    <w:rsid w:val="000F2CBF"/>
    <w:rsid w:val="00154EDE"/>
    <w:rsid w:val="00191F28"/>
    <w:rsid w:val="001C23AE"/>
    <w:rsid w:val="002A31C9"/>
    <w:rsid w:val="00317F7A"/>
    <w:rsid w:val="00341580"/>
    <w:rsid w:val="00372655"/>
    <w:rsid w:val="003D3475"/>
    <w:rsid w:val="003E3710"/>
    <w:rsid w:val="00421137"/>
    <w:rsid w:val="00426FA2"/>
    <w:rsid w:val="0049400B"/>
    <w:rsid w:val="004F6B5C"/>
    <w:rsid w:val="00550E5F"/>
    <w:rsid w:val="00564840"/>
    <w:rsid w:val="005C7643"/>
    <w:rsid w:val="005E1192"/>
    <w:rsid w:val="006354DA"/>
    <w:rsid w:val="00683440"/>
    <w:rsid w:val="00683779"/>
    <w:rsid w:val="00776BF9"/>
    <w:rsid w:val="00782895"/>
    <w:rsid w:val="0079171C"/>
    <w:rsid w:val="0080345E"/>
    <w:rsid w:val="00816BC6"/>
    <w:rsid w:val="00817E8C"/>
    <w:rsid w:val="00863538"/>
    <w:rsid w:val="008B7294"/>
    <w:rsid w:val="008D426E"/>
    <w:rsid w:val="008E51F8"/>
    <w:rsid w:val="009D3D0E"/>
    <w:rsid w:val="009D7429"/>
    <w:rsid w:val="00A027CD"/>
    <w:rsid w:val="00A30696"/>
    <w:rsid w:val="00A31455"/>
    <w:rsid w:val="00AA678E"/>
    <w:rsid w:val="00AB2461"/>
    <w:rsid w:val="00AD6518"/>
    <w:rsid w:val="00AE2FC1"/>
    <w:rsid w:val="00B11284"/>
    <w:rsid w:val="00B6559E"/>
    <w:rsid w:val="00BA1170"/>
    <w:rsid w:val="00C26904"/>
    <w:rsid w:val="00C96802"/>
    <w:rsid w:val="00CA5F24"/>
    <w:rsid w:val="00CB1FBB"/>
    <w:rsid w:val="00CB4B1D"/>
    <w:rsid w:val="00CC1C24"/>
    <w:rsid w:val="00CE01BA"/>
    <w:rsid w:val="00CE5B8C"/>
    <w:rsid w:val="00CF3B16"/>
    <w:rsid w:val="00D420F5"/>
    <w:rsid w:val="00D55113"/>
    <w:rsid w:val="00DC6E0B"/>
    <w:rsid w:val="00DE296B"/>
    <w:rsid w:val="00E00519"/>
    <w:rsid w:val="00E07609"/>
    <w:rsid w:val="00E128DC"/>
    <w:rsid w:val="00E15DB7"/>
    <w:rsid w:val="00ED074A"/>
    <w:rsid w:val="00F11CB2"/>
    <w:rsid w:val="00F46F1D"/>
    <w:rsid w:val="00FF280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21843AE"/>
  <w15:chartTrackingRefBased/>
  <w15:docId w15:val="{AA12B917-798C-4AAC-9DF8-0833DBEB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0"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96802"/>
    <w:pPr>
      <w:spacing w:after="0" w:line="240" w:lineRule="auto"/>
      <w:jc w:val="both"/>
    </w:pPr>
    <w:rPr>
      <w:rFonts w:ascii="Arial" w:cs="Times New Roman" w:eastAsia="Times New Roman" w:hAnsi="Arial"/>
      <w:szCs w:val="20"/>
      <w:lang w:eastAsia="fr-FR"/>
    </w:rPr>
  </w:style>
  <w:style w:styleId="Titre1" w:type="paragraph">
    <w:name w:val="heading 1"/>
    <w:basedOn w:val="Normal"/>
    <w:next w:val="Normal"/>
    <w:link w:val="Titre1Car"/>
    <w:qFormat/>
    <w:rsid w:val="00C96802"/>
    <w:pPr>
      <w:keepNext/>
      <w:pageBreakBefore/>
      <w:numPr>
        <w:numId w:val="3"/>
      </w:numPr>
      <w:spacing w:after="360" w:before="360"/>
      <w:jc w:val="center"/>
      <w:outlineLvl w:val="0"/>
    </w:pPr>
    <w:rPr>
      <w:b/>
      <w:caps/>
      <w:kern w:val="28"/>
      <w:sz w:val="24"/>
    </w:rPr>
  </w:style>
  <w:style w:styleId="Titre2" w:type="paragraph">
    <w:name w:val="heading 2"/>
    <w:basedOn w:val="Titre1"/>
    <w:next w:val="Normal"/>
    <w:link w:val="Titre2Car"/>
    <w:qFormat/>
    <w:rsid w:val="00C96802"/>
    <w:pPr>
      <w:pageBreakBefore w:val="0"/>
      <w:numPr>
        <w:ilvl w:val="1"/>
      </w:numPr>
      <w:outlineLvl w:val="1"/>
    </w:pPr>
    <w:rPr>
      <w:kern w:val="18"/>
    </w:rPr>
  </w:style>
  <w:style w:styleId="Titre3" w:type="paragraph">
    <w:name w:val="heading 3"/>
    <w:basedOn w:val="Titre2"/>
    <w:next w:val="Normal"/>
    <w:link w:val="Titre3Car"/>
    <w:qFormat/>
    <w:rsid w:val="00C96802"/>
    <w:pPr>
      <w:numPr>
        <w:ilvl w:val="2"/>
      </w:numPr>
      <w:spacing w:before="240"/>
      <w:outlineLvl w:val="2"/>
    </w:pPr>
  </w:style>
  <w:style w:styleId="Titre4" w:type="paragraph">
    <w:name w:val="heading 4"/>
    <w:basedOn w:val="Titre3"/>
    <w:next w:val="Normal"/>
    <w:link w:val="Titre4Car"/>
    <w:qFormat/>
    <w:rsid w:val="00C96802"/>
    <w:pPr>
      <w:numPr>
        <w:ilvl w:val="3"/>
      </w:numPr>
      <w:spacing w:after="240"/>
      <w:outlineLvl w:val="3"/>
    </w:pPr>
    <w:rPr>
      <w:caps w:val="0"/>
      <w:sz w:val="22"/>
    </w:rPr>
  </w:style>
  <w:style w:styleId="Titre5" w:type="paragraph">
    <w:name w:val="heading 5"/>
    <w:basedOn w:val="Titre4"/>
    <w:next w:val="Normal"/>
    <w:link w:val="Titre5Car"/>
    <w:qFormat/>
    <w:rsid w:val="00C96802"/>
    <w:pPr>
      <w:numPr>
        <w:ilvl w:val="4"/>
      </w:numPr>
      <w:outlineLvl w:val="4"/>
    </w:pPr>
  </w:style>
  <w:style w:styleId="Titre6" w:type="paragraph">
    <w:name w:val="heading 6"/>
    <w:basedOn w:val="Titre5"/>
    <w:next w:val="Normal"/>
    <w:link w:val="Titre6Car"/>
    <w:qFormat/>
    <w:rsid w:val="00C96802"/>
    <w:pPr>
      <w:numPr>
        <w:ilvl w:val="5"/>
      </w:numPr>
      <w:outlineLvl w:val="5"/>
    </w:p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rsid w:val="00C96802"/>
    <w:rPr>
      <w:sz w:val="24"/>
    </w:rPr>
  </w:style>
  <w:style w:customStyle="1" w:styleId="CorpsdetexteCar" w:type="character">
    <w:name w:val="Corps de texte Car"/>
    <w:basedOn w:val="Policepardfaut"/>
    <w:link w:val="Corpsdetexte"/>
    <w:rsid w:val="00C96802"/>
    <w:rPr>
      <w:rFonts w:ascii="Arial" w:cs="Times New Roman" w:eastAsia="Times New Roman" w:hAnsi="Arial"/>
      <w:sz w:val="24"/>
      <w:szCs w:val="20"/>
      <w:lang w:eastAsia="fr-FR"/>
    </w:rPr>
  </w:style>
  <w:style w:styleId="NormalWeb" w:type="paragraph">
    <w:name w:val="Normal (Web)"/>
    <w:basedOn w:val="Normal"/>
    <w:uiPriority w:val="99"/>
    <w:unhideWhenUsed/>
    <w:rsid w:val="00C96802"/>
    <w:pPr>
      <w:spacing w:after="100" w:afterAutospacing="1" w:before="100" w:beforeAutospacing="1"/>
      <w:jc w:val="left"/>
    </w:pPr>
    <w:rPr>
      <w:rFonts w:ascii="Times New Roman" w:hAnsi="Times New Roman"/>
      <w:sz w:val="24"/>
      <w:szCs w:val="24"/>
    </w:rPr>
  </w:style>
  <w:style w:styleId="Titre" w:type="paragraph">
    <w:name w:val="Title"/>
    <w:basedOn w:val="Normal"/>
    <w:link w:val="TitreCar"/>
    <w:qFormat/>
    <w:rsid w:val="00C96802"/>
    <w:pPr>
      <w:jc w:val="center"/>
    </w:pPr>
    <w:rPr>
      <w:b/>
      <w:sz w:val="24"/>
    </w:rPr>
  </w:style>
  <w:style w:customStyle="1" w:styleId="TitreCar" w:type="character">
    <w:name w:val="Titre Car"/>
    <w:basedOn w:val="Policepardfaut"/>
    <w:link w:val="Titre"/>
    <w:rsid w:val="00C96802"/>
    <w:rPr>
      <w:rFonts w:ascii="Arial" w:cs="Times New Roman" w:eastAsia="Times New Roman" w:hAnsi="Arial"/>
      <w:b/>
      <w:sz w:val="24"/>
      <w:szCs w:val="20"/>
      <w:lang w:eastAsia="fr-FR"/>
    </w:rPr>
  </w:style>
  <w:style w:customStyle="1" w:styleId="Titre1Car" w:type="character">
    <w:name w:val="Titre 1 Car"/>
    <w:basedOn w:val="Policepardfaut"/>
    <w:link w:val="Titre1"/>
    <w:rsid w:val="00C96802"/>
    <w:rPr>
      <w:rFonts w:ascii="Arial" w:cs="Times New Roman" w:eastAsia="Times New Roman" w:hAnsi="Arial"/>
      <w:b/>
      <w:caps/>
      <w:kern w:val="28"/>
      <w:sz w:val="24"/>
      <w:szCs w:val="20"/>
      <w:lang w:eastAsia="fr-FR"/>
    </w:rPr>
  </w:style>
  <w:style w:customStyle="1" w:styleId="Titre2Car" w:type="character">
    <w:name w:val="Titre 2 Car"/>
    <w:basedOn w:val="Policepardfaut"/>
    <w:link w:val="Titre2"/>
    <w:rsid w:val="00C96802"/>
    <w:rPr>
      <w:rFonts w:ascii="Arial" w:cs="Times New Roman" w:eastAsia="Times New Roman" w:hAnsi="Arial"/>
      <w:b/>
      <w:caps/>
      <w:kern w:val="18"/>
      <w:sz w:val="24"/>
      <w:szCs w:val="20"/>
      <w:lang w:eastAsia="fr-FR"/>
    </w:rPr>
  </w:style>
  <w:style w:customStyle="1" w:styleId="Titre3Car" w:type="character">
    <w:name w:val="Titre 3 Car"/>
    <w:basedOn w:val="Policepardfaut"/>
    <w:link w:val="Titre3"/>
    <w:rsid w:val="00C96802"/>
    <w:rPr>
      <w:rFonts w:ascii="Arial" w:cs="Times New Roman" w:eastAsia="Times New Roman" w:hAnsi="Arial"/>
      <w:b/>
      <w:caps/>
      <w:kern w:val="18"/>
      <w:sz w:val="24"/>
      <w:szCs w:val="20"/>
      <w:lang w:eastAsia="fr-FR"/>
    </w:rPr>
  </w:style>
  <w:style w:customStyle="1" w:styleId="Titre4Car" w:type="character">
    <w:name w:val="Titre 4 Car"/>
    <w:basedOn w:val="Policepardfaut"/>
    <w:link w:val="Titre4"/>
    <w:rsid w:val="00C96802"/>
    <w:rPr>
      <w:rFonts w:ascii="Arial" w:cs="Times New Roman" w:eastAsia="Times New Roman" w:hAnsi="Arial"/>
      <w:b/>
      <w:kern w:val="18"/>
      <w:szCs w:val="20"/>
      <w:lang w:eastAsia="fr-FR"/>
    </w:rPr>
  </w:style>
  <w:style w:customStyle="1" w:styleId="Titre5Car" w:type="character">
    <w:name w:val="Titre 5 Car"/>
    <w:basedOn w:val="Policepardfaut"/>
    <w:link w:val="Titre5"/>
    <w:rsid w:val="00C96802"/>
    <w:rPr>
      <w:rFonts w:ascii="Arial" w:cs="Times New Roman" w:eastAsia="Times New Roman" w:hAnsi="Arial"/>
      <w:b/>
      <w:kern w:val="18"/>
      <w:szCs w:val="20"/>
      <w:lang w:eastAsia="fr-FR"/>
    </w:rPr>
  </w:style>
  <w:style w:customStyle="1" w:styleId="Titre6Car" w:type="character">
    <w:name w:val="Titre 6 Car"/>
    <w:basedOn w:val="Policepardfaut"/>
    <w:link w:val="Titre6"/>
    <w:rsid w:val="00C96802"/>
    <w:rPr>
      <w:rFonts w:ascii="Arial" w:cs="Times New Roman" w:eastAsia="Times New Roman" w:hAnsi="Arial"/>
      <w:b/>
      <w:kern w:val="18"/>
      <w:szCs w:val="20"/>
      <w:lang w:eastAsia="fr-FR"/>
    </w:rPr>
  </w:style>
  <w:style w:styleId="Paragraphedeliste" w:type="paragraph">
    <w:name w:val="List Paragraph"/>
    <w:basedOn w:val="Normal"/>
    <w:uiPriority w:val="34"/>
    <w:qFormat/>
    <w:rsid w:val="00E07609"/>
    <w:pPr>
      <w:ind w:left="720"/>
      <w:contextualSpacing/>
    </w:pPr>
  </w:style>
  <w:style w:styleId="En-tte" w:type="paragraph">
    <w:name w:val="header"/>
    <w:basedOn w:val="Normal"/>
    <w:link w:val="En-tteCar"/>
    <w:uiPriority w:val="99"/>
    <w:unhideWhenUsed/>
    <w:rsid w:val="00CB4B1D"/>
    <w:pPr>
      <w:tabs>
        <w:tab w:pos="4536" w:val="center"/>
        <w:tab w:pos="9072" w:val="right"/>
      </w:tabs>
    </w:pPr>
  </w:style>
  <w:style w:customStyle="1" w:styleId="En-tteCar" w:type="character">
    <w:name w:val="En-tête Car"/>
    <w:basedOn w:val="Policepardfaut"/>
    <w:link w:val="En-tte"/>
    <w:uiPriority w:val="99"/>
    <w:rsid w:val="00CB4B1D"/>
    <w:rPr>
      <w:rFonts w:ascii="Arial" w:cs="Times New Roman" w:eastAsia="Times New Roman" w:hAnsi="Arial"/>
      <w:szCs w:val="20"/>
      <w:lang w:eastAsia="fr-FR"/>
    </w:rPr>
  </w:style>
  <w:style w:styleId="Pieddepage" w:type="paragraph">
    <w:name w:val="footer"/>
    <w:basedOn w:val="Normal"/>
    <w:link w:val="PieddepageCar"/>
    <w:uiPriority w:val="99"/>
    <w:unhideWhenUsed/>
    <w:rsid w:val="00CB4B1D"/>
    <w:pPr>
      <w:tabs>
        <w:tab w:pos="4536" w:val="center"/>
        <w:tab w:pos="9072" w:val="right"/>
      </w:tabs>
    </w:pPr>
  </w:style>
  <w:style w:customStyle="1" w:styleId="PieddepageCar" w:type="character">
    <w:name w:val="Pied de page Car"/>
    <w:basedOn w:val="Policepardfaut"/>
    <w:link w:val="Pieddepage"/>
    <w:uiPriority w:val="99"/>
    <w:rsid w:val="00CB4B1D"/>
    <w:rPr>
      <w:rFonts w:ascii="Arial" w:cs="Times New Roman" w:eastAsia="Times New Roman" w:hAnsi="Arial"/>
      <w:szCs w:val="20"/>
      <w:lang w:eastAsia="fr-FR"/>
    </w:rPr>
  </w:style>
  <w:style w:styleId="Textedebulles" w:type="paragraph">
    <w:name w:val="Balloon Text"/>
    <w:basedOn w:val="Normal"/>
    <w:link w:val="TextedebullesCar"/>
    <w:uiPriority w:val="99"/>
    <w:semiHidden/>
    <w:unhideWhenUsed/>
    <w:rsid w:val="00816BC6"/>
    <w:rPr>
      <w:rFonts w:ascii="Segoe UI" w:cs="Segoe UI" w:hAnsi="Segoe UI"/>
      <w:sz w:val="18"/>
      <w:szCs w:val="18"/>
    </w:rPr>
  </w:style>
  <w:style w:customStyle="1" w:styleId="TextedebullesCar" w:type="character">
    <w:name w:val="Texte de bulles Car"/>
    <w:basedOn w:val="Policepardfaut"/>
    <w:link w:val="Textedebulles"/>
    <w:uiPriority w:val="99"/>
    <w:semiHidden/>
    <w:rsid w:val="00816BC6"/>
    <w:rPr>
      <w:rFonts w:ascii="Segoe UI" w:cs="Segoe UI" w:eastAsia="Times New Roman" w:hAnsi="Segoe UI"/>
      <w:sz w:val="18"/>
      <w:szCs w:val="18"/>
      <w:lang w:eastAsia="fr-FR"/>
    </w:rPr>
  </w:style>
  <w:style w:styleId="Lienhypertexte" w:type="character">
    <w:name w:val="Hyperlink"/>
    <w:basedOn w:val="Policepardfaut"/>
    <w:uiPriority w:val="99"/>
    <w:unhideWhenUsed/>
    <w:rsid w:val="00FF280F"/>
    <w:rPr>
      <w:color w:themeColor="hyperlink" w:val="0563C1"/>
      <w:u w:val="single"/>
    </w:rPr>
  </w:style>
  <w:style w:styleId="Mentionnonrsolue" w:type="character">
    <w:name w:val="Unresolved Mention"/>
    <w:basedOn w:val="Policepardfaut"/>
    <w:uiPriority w:val="99"/>
    <w:semiHidden/>
    <w:unhideWhenUsed/>
    <w:rsid w:val="00FF280F"/>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2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1405</Words>
  <Characters>7729</Characters>
  <Application>Microsoft Office Word</Application>
  <DocSecurity>0</DocSecurity>
  <Lines>64</Lines>
  <Paragraphs>18</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2023-02-02T11:00:00Z</dcterms:created>
  <cp:lastPrinted>2022-06-20T05:51:00Z</cp:lastPrinted>
  <dcterms:modified xsi:type="dcterms:W3CDTF">2023-02-02T11:00:00Z</dcterms:modified>
  <cp:revision>3</cp:revision>
</cp:coreProperties>
</file>