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bCs/>
          <w:lang w:val="en-GB" w:eastAsia="en-GB"/>
        </w:rPr>
      </w:pPr>
      <w:r>
        <w:rPr>
          <w:rFonts w:cs="Arial" w:ascii="Arial" w:hAnsi="Arial"/>
          <w:b/>
          <w:bCs/>
          <w:lang w:val="en-GB" w:eastAsia="en-GB"/>
        </w:rPr>
        <w:drawing>
          <wp:anchor behindDoc="0" distT="0" distB="0" distL="114935" distR="114935" simplePos="0" locked="0" layoutInCell="1" allowOverlap="1" relativeHeight="7">
            <wp:simplePos x="0" y="0"/>
            <wp:positionH relativeFrom="column">
              <wp:posOffset>-642620</wp:posOffset>
            </wp:positionH>
            <wp:positionV relativeFrom="paragraph">
              <wp:posOffset>-670560</wp:posOffset>
            </wp:positionV>
            <wp:extent cx="1514475" cy="733425"/>
            <wp:effectExtent l="0" t="0" r="0" b="0"/>
            <wp:wrapNone/>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rcRect l="-1" t="-4" r="-1" b="-4"/>
                    <a:stretch>
                      <a:fillRect/>
                    </a:stretch>
                  </pic:blipFill>
                  <pic:spPr bwMode="auto">
                    <a:xfrm>
                      <a:off x="0" y="0"/>
                      <a:ext cx="1514475" cy="733425"/>
                    </a:xfrm>
                    <a:prstGeom prst="rect">
                      <a:avLst/>
                    </a:prstGeom>
                  </pic:spPr>
                </pic:pic>
              </a:graphicData>
            </a:graphic>
          </wp:anchor>
        </w:drawing>
      </w:r>
    </w:p>
    <w:p>
      <w:pPr>
        <w:pStyle w:val="Normal"/>
        <w:jc w:val="center"/>
        <w:rPr>
          <w:rFonts w:ascii="Arial" w:hAnsi="Arial" w:cs="Arial"/>
          <w:b/>
          <w:b/>
          <w:bCs/>
          <w:sz w:val="36"/>
          <w:szCs w:val="36"/>
        </w:rPr>
      </w:pPr>
      <w:r>
        <w:rPr>
          <w:rFonts w:cs="Arial" w:ascii="Arial" w:hAnsi="Arial"/>
          <w:b/>
          <w:bCs/>
          <w:sz w:val="36"/>
          <w:szCs w:val="36"/>
        </w:rPr>
      </w:r>
    </w:p>
    <w:p>
      <w:pPr>
        <w:pStyle w:val="Normal"/>
        <w:jc w:val="center"/>
        <w:rPr/>
      </w:pPr>
      <w:r>
        <w:rPr>
          <w:rFonts w:cs="Arial" w:ascii="Arial" w:hAnsi="Arial"/>
          <w:b/>
          <w:bCs/>
          <w:sz w:val="36"/>
          <w:szCs w:val="36"/>
        </w:rPr>
        <w:t xml:space="preserve">ACCORD D’ENTREPRISE RELATIF À LA </w:t>
      </w:r>
      <w:r>
        <w:rPr>
          <w:rFonts w:cs="Arial" w:ascii="Arial" w:hAnsi="Arial"/>
          <w:b/>
          <w:sz w:val="36"/>
          <w:szCs w:val="36"/>
        </w:rPr>
        <w:t xml:space="preserve">NEGOCIATION ANNUELLE </w:t>
      </w:r>
    </w:p>
    <w:p>
      <w:pPr>
        <w:pStyle w:val="Normal"/>
        <w:jc w:val="center"/>
        <w:rPr>
          <w:rFonts w:ascii="Arial" w:hAnsi="Arial" w:cs="Arial"/>
          <w:b/>
          <w:b/>
          <w:sz w:val="36"/>
          <w:szCs w:val="36"/>
        </w:rPr>
      </w:pPr>
      <w:r>
        <w:rPr>
          <w:rFonts w:cs="Arial" w:ascii="Arial" w:hAnsi="Arial"/>
          <w:b/>
          <w:sz w:val="36"/>
          <w:szCs w:val="36"/>
        </w:rPr>
        <w:t>ANNEE 2022</w:t>
      </w:r>
    </w:p>
    <w:p>
      <w:pPr>
        <w:pStyle w:val="Normal"/>
        <w:jc w:val="center"/>
        <w:rPr>
          <w:rFonts w:ascii="Arial" w:hAnsi="Arial" w:cs="Arial"/>
          <w:b/>
          <w:b/>
        </w:rPr>
      </w:pPr>
      <w:r>
        <w:rPr>
          <w:rFonts w:cs="Arial" w:ascii="Arial" w:hAnsi="Arial"/>
          <w:b/>
        </w:rPr>
        <w:t>___</w:t>
      </w:r>
    </w:p>
    <w:p>
      <w:pPr>
        <w:pStyle w:val="Normal"/>
        <w:jc w:val="both"/>
        <w:rPr>
          <w:rFonts w:ascii="Arial" w:hAnsi="Arial" w:cs="Arial"/>
        </w:rPr>
      </w:pPr>
      <w:r>
        <w:rPr>
          <w:rFonts w:cs="Arial" w:ascii="Arial" w:hAnsi="Arial"/>
        </w:rPr>
        <w:t>ENTRE :</w:t>
      </w:r>
    </w:p>
    <w:p>
      <w:pPr>
        <w:pStyle w:val="Normal"/>
        <w:jc w:val="both"/>
        <w:rPr>
          <w:rFonts w:ascii="Arial" w:hAnsi="Arial" w:cs="Arial"/>
        </w:rPr>
      </w:pPr>
      <w:r>
        <w:rPr>
          <w:rFonts w:cs="Arial" w:ascii="Arial" w:hAnsi="Arial"/>
        </w:rPr>
      </w:r>
    </w:p>
    <w:p>
      <w:pPr>
        <w:pStyle w:val="Normal"/>
        <w:jc w:val="both"/>
        <w:rPr/>
      </w:pPr>
      <w:r>
        <w:rPr>
          <w:rFonts w:cs="Arial" w:ascii="Arial" w:hAnsi="Arial"/>
          <w:b/>
        </w:rPr>
        <w:t>La SAS GRAND CASINO de CABOURG, dont le siège est situé Promenade Marcel-Proust - 14390 CABOURG, représentée par Monsieur ……………, directeur général responsable délégué ;</w:t>
      </w:r>
    </w:p>
    <w:p>
      <w:pPr>
        <w:pStyle w:val="Normal"/>
        <w:jc w:val="both"/>
        <w:rPr>
          <w:rFonts w:ascii="Arial" w:hAnsi="Arial" w:cs="Arial"/>
          <w:b/>
          <w:b/>
        </w:rPr>
      </w:pPr>
      <w:r>
        <w:rPr>
          <w:rFonts w:cs="Arial" w:ascii="Arial" w:hAnsi="Arial"/>
          <w:b/>
        </w:rPr>
      </w:r>
    </w:p>
    <w:p>
      <w:pPr>
        <w:pStyle w:val="Normal"/>
        <w:jc w:val="right"/>
        <w:rPr>
          <w:rFonts w:ascii="Arial" w:hAnsi="Arial" w:cs="Arial"/>
        </w:rPr>
      </w:pPr>
      <w:r>
        <w:rPr>
          <w:rFonts w:eastAsia="Arial" w:cs="Arial" w:ascii="Arial" w:hAnsi="Arial"/>
        </w:rPr>
        <w:t xml:space="preserve">   </w:t>
      </w:r>
      <w:r>
        <w:rPr>
          <w:rFonts w:cs="Arial" w:ascii="Arial" w:hAnsi="Arial"/>
        </w:rPr>
        <w:t>D’une part,</w:t>
        <w:tab/>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ET :</w:t>
      </w:r>
    </w:p>
    <w:p>
      <w:pPr>
        <w:pStyle w:val="Normal"/>
        <w:jc w:val="both"/>
        <w:rPr>
          <w:rFonts w:ascii="Arial" w:hAnsi="Arial" w:cs="Arial"/>
        </w:rPr>
      </w:pPr>
      <w:r>
        <w:rPr>
          <w:rFonts w:cs="Arial" w:ascii="Arial" w:hAnsi="Arial"/>
        </w:rPr>
      </w:r>
    </w:p>
    <w:p>
      <w:pPr>
        <w:pStyle w:val="Normal"/>
        <w:tabs>
          <w:tab w:val="left" w:pos="1701" w:leader="none"/>
          <w:tab w:val="left" w:pos="5103" w:leader="none"/>
        </w:tabs>
        <w:rPr/>
      </w:pPr>
      <w:r>
        <w:rPr>
          <w:rFonts w:cs="Arial" w:ascii="Arial" w:hAnsi="Arial"/>
          <w:b/>
          <w:bCs/>
        </w:rPr>
        <w:t>Les membres du CSE Élus non mandatés :</w:t>
      </w:r>
    </w:p>
    <w:p>
      <w:pPr>
        <w:pStyle w:val="Normal"/>
        <w:tabs>
          <w:tab w:val="left" w:pos="1701" w:leader="none"/>
          <w:tab w:val="left" w:pos="5103" w:leader="none"/>
        </w:tabs>
        <w:rPr>
          <w:rFonts w:ascii="Arial" w:hAnsi="Arial" w:cs="Arial"/>
          <w:b/>
          <w:b/>
          <w:bCs/>
        </w:rPr>
      </w:pPr>
      <w:r>
        <w:rPr>
          <w:rFonts w:cs="Arial" w:ascii="Arial" w:hAnsi="Arial"/>
          <w:b/>
          <w:bCs/>
        </w:rPr>
      </w:r>
    </w:p>
    <w:p>
      <w:pPr>
        <w:pStyle w:val="Normal"/>
        <w:tabs>
          <w:tab w:val="left" w:pos="1701" w:leader="none"/>
          <w:tab w:val="left" w:pos="5103" w:leader="none"/>
        </w:tabs>
        <w:rPr>
          <w:rFonts w:ascii="Arial" w:hAnsi="Arial" w:cs="Arial"/>
        </w:rPr>
      </w:pPr>
      <w:r>
        <w:rPr>
          <w:rFonts w:cs="Arial" w:ascii="Arial" w:hAnsi="Arial"/>
        </w:rPr>
        <w:tab/>
        <w:t xml:space="preserve">                                  Madame ……………………..</w:t>
      </w:r>
    </w:p>
    <w:p>
      <w:pPr>
        <w:pStyle w:val="Normal"/>
        <w:tabs>
          <w:tab w:val="left" w:pos="1701" w:leader="none"/>
          <w:tab w:val="left" w:pos="5103" w:leader="none"/>
        </w:tabs>
        <w:ind w:left="3969" w:hanging="0"/>
        <w:rPr/>
      </w:pPr>
      <w:r>
        <w:rPr>
          <w:rFonts w:cs="Arial" w:ascii="Arial" w:hAnsi="Arial"/>
        </w:rPr>
        <w:t xml:space="preserve">Madame …………………….. </w:t>
      </w:r>
    </w:p>
    <w:p>
      <w:pPr>
        <w:pStyle w:val="Normal"/>
        <w:tabs>
          <w:tab w:val="left" w:pos="1701" w:leader="none"/>
          <w:tab w:val="left" w:pos="5103" w:leader="none"/>
        </w:tabs>
        <w:ind w:left="3969" w:hanging="0"/>
        <w:rPr>
          <w:rFonts w:ascii="Arial" w:hAnsi="Arial" w:cs="Arial"/>
        </w:rPr>
      </w:pPr>
      <w:r>
        <w:rPr>
          <w:rFonts w:cs="Arial" w:ascii="Arial" w:hAnsi="Arial"/>
        </w:rPr>
        <w:t>Monsieur …………………….</w:t>
      </w:r>
    </w:p>
    <w:p>
      <w:pPr>
        <w:pStyle w:val="Normal"/>
        <w:tabs>
          <w:tab w:val="left" w:pos="1701" w:leader="none"/>
          <w:tab w:val="left" w:pos="5103" w:leader="none"/>
        </w:tabs>
        <w:ind w:left="3969" w:hanging="0"/>
        <w:rPr>
          <w:rFonts w:ascii="Arial" w:hAnsi="Arial" w:cs="Arial"/>
        </w:rPr>
      </w:pPr>
      <w:r>
        <w:rPr>
          <w:rFonts w:cs="Arial" w:ascii="Arial" w:hAnsi="Arial"/>
        </w:rPr>
        <w:t>Monsieur …………………….</w:t>
      </w:r>
    </w:p>
    <w:p>
      <w:pPr>
        <w:pStyle w:val="Normal"/>
        <w:tabs>
          <w:tab w:val="left" w:pos="1701" w:leader="none"/>
          <w:tab w:val="left" w:pos="5103" w:leader="none"/>
        </w:tabs>
        <w:rPr>
          <w:rFonts w:ascii="Arial" w:hAnsi="Arial" w:eastAsia="Arial" w:cs="Arial"/>
        </w:rPr>
      </w:pPr>
      <w:r>
        <w:rPr>
          <w:rFonts w:eastAsia="Arial" w:cs="Arial" w:ascii="Arial" w:hAnsi="Arial"/>
        </w:rPr>
        <w:t xml:space="preserve">                                   </w:t>
      </w:r>
    </w:p>
    <w:p>
      <w:pPr>
        <w:pStyle w:val="Normal"/>
        <w:tabs>
          <w:tab w:val="left" w:pos="1701" w:leader="none"/>
          <w:tab w:val="left" w:pos="5103" w:leader="none"/>
        </w:tabs>
        <w:rPr>
          <w:rFonts w:ascii="Arial" w:hAnsi="Arial" w:cs="Arial"/>
        </w:rPr>
      </w:pPr>
      <w:r>
        <w:rPr>
          <w:rFonts w:cs="Arial" w:ascii="Arial" w:hAnsi="Arial"/>
        </w:rPr>
        <w:t>Liste syndicale C.F.T.C, ayant obtenu 86,36 % lors des élections professionnelles, non mandatés.</w:t>
      </w:r>
    </w:p>
    <w:p>
      <w:pPr>
        <w:pStyle w:val="Normal"/>
        <w:jc w:val="both"/>
        <w:rPr>
          <w:rFonts w:ascii="Arial" w:hAnsi="Arial" w:cs="Arial"/>
        </w:rPr>
      </w:pPr>
      <w:r>
        <w:rPr>
          <w:rFonts w:cs="Arial" w:ascii="Arial" w:hAnsi="Arial"/>
        </w:rPr>
      </w:r>
    </w:p>
    <w:p>
      <w:pPr>
        <w:pStyle w:val="Normal"/>
        <w:jc w:val="right"/>
        <w:rPr>
          <w:rFonts w:ascii="Arial" w:hAnsi="Arial" w:cs="Arial"/>
        </w:rPr>
      </w:pPr>
      <w:r>
        <w:rPr>
          <w:rFonts w:cs="Arial" w:ascii="Arial" w:hAnsi="Arial"/>
        </w:rPr>
        <w:t>D’autre part,</w:t>
      </w:r>
    </w:p>
    <w:p>
      <w:pPr>
        <w:pStyle w:val="Normal"/>
        <w:jc w:val="right"/>
        <w:rPr>
          <w:rFonts w:ascii="Arial" w:hAnsi="Arial" w:cs="Arial"/>
        </w:rPr>
      </w:pPr>
      <w:r>
        <w:rPr>
          <w:rFonts w:cs="Arial" w:ascii="Arial" w:hAnsi="Arial"/>
        </w:rPr>
      </w:r>
    </w:p>
    <w:p>
      <w:pPr>
        <w:pStyle w:val="Normal"/>
        <w:jc w:val="both"/>
        <w:rPr>
          <w:rFonts w:ascii="Arial" w:hAnsi="Arial" w:cs="Arial"/>
          <w:b/>
          <w:b/>
          <w:u w:val="single"/>
        </w:rPr>
      </w:pPr>
      <w:r>
        <w:rPr>
          <w:rFonts w:cs="Arial" w:ascii="Arial" w:hAnsi="Arial"/>
          <w:b/>
          <w:u w:val="single"/>
        </w:rPr>
        <w:t>Préambule</w:t>
      </w:r>
    </w:p>
    <w:p>
      <w:pPr>
        <w:pStyle w:val="Normal"/>
        <w:jc w:val="right"/>
        <w:rPr>
          <w:rFonts w:ascii="Arial" w:hAnsi="Arial" w:cs="Arial"/>
          <w:b/>
          <w:b/>
          <w:u w:val="single"/>
        </w:rPr>
      </w:pPr>
      <w:r>
        <w:rPr>
          <w:rFonts w:cs="Arial" w:ascii="Arial" w:hAnsi="Arial"/>
          <w:b/>
          <w:u w:val="single"/>
        </w:rPr>
      </w:r>
    </w:p>
    <w:p>
      <w:pPr>
        <w:pStyle w:val="Alinea"/>
        <w:rPr>
          <w:rFonts w:ascii="Arial" w:hAnsi="Arial" w:cs="Arial"/>
          <w:sz w:val="24"/>
          <w:szCs w:val="24"/>
        </w:rPr>
      </w:pPr>
      <w:r>
        <w:rPr>
          <w:rFonts w:cs="Arial" w:ascii="Arial" w:hAnsi="Arial"/>
          <w:sz w:val="24"/>
          <w:szCs w:val="24"/>
        </w:rPr>
        <w:t>S.A.S. GRAND CASINO DE CABOURG est une société qui a une activité de services qui sont liés entre eux et dont l’ensemble fait sa force : restauration, jeux d’argent, spectacles. Sa mission est de divertir ses clients – qui la font vivre - en leur faisant passer un moment d’évasion et de plaisir, et elle doit le faire mieux que ses concurrents.</w:t>
      </w:r>
    </w:p>
    <w:p>
      <w:pPr>
        <w:pStyle w:val="Alinea"/>
        <w:rPr>
          <w:rFonts w:ascii="Arial" w:hAnsi="Arial" w:cs="Arial"/>
          <w:sz w:val="24"/>
          <w:szCs w:val="24"/>
        </w:rPr>
      </w:pPr>
      <w:r>
        <w:rPr>
          <w:rFonts w:cs="Arial" w:ascii="Arial" w:hAnsi="Arial"/>
          <w:sz w:val="24"/>
          <w:szCs w:val="24"/>
        </w:rPr>
        <w:t xml:space="preserve">Les femmes et les hommes qui la composent en sont l’élément essentiel, car la qualité de l’accueil, de la relation client, passe par un contact client qui vise l’excellence, que ce soit dans les jeux, au restaurant et au Lounge Bar. </w:t>
      </w:r>
    </w:p>
    <w:p>
      <w:pPr>
        <w:pStyle w:val="Alinea"/>
        <w:rPr/>
      </w:pPr>
      <w:r>
        <w:rPr>
          <w:rFonts w:cs="Arial" w:ascii="Arial" w:hAnsi="Arial"/>
          <w:sz w:val="24"/>
          <w:szCs w:val="24"/>
        </w:rPr>
        <w:t>Et ce résultat ne serait pas atteint sans celles et ceux qui – sans être en contact direct avec nos client, font partie de la chaîne : il s’agit des cuisines, de l’administration, de l’entretien, etc.</w:t>
      </w:r>
    </w:p>
    <w:p>
      <w:pPr>
        <w:pStyle w:val="Alinea"/>
        <w:rPr>
          <w:rFonts w:ascii="Arial" w:hAnsi="Arial" w:cs="Arial"/>
          <w:sz w:val="24"/>
          <w:szCs w:val="24"/>
        </w:rPr>
      </w:pPr>
      <w:r>
        <w:rPr>
          <w:rFonts w:cs="Arial" w:ascii="Arial" w:hAnsi="Arial"/>
          <w:sz w:val="24"/>
          <w:szCs w:val="24"/>
        </w:rPr>
        <w:t>La S.A.S. GRAND CASINO DE CABOURG  tient à rappeler qu’elle entend être à tous moments: un CASINOTIER, DYNAMIQUE, CONVIVIAL et ENGAGE.</w:t>
      </w:r>
    </w:p>
    <w:p>
      <w:pPr>
        <w:pStyle w:val="Alinea"/>
        <w:rPr/>
      </w:pPr>
      <w:r>
        <w:rPr>
          <w:rFonts w:cs="Arial" w:ascii="Arial" w:hAnsi="Arial"/>
          <w:sz w:val="24"/>
          <w:szCs w:val="24"/>
        </w:rPr>
        <w:t>S</w:t>
      </w:r>
      <w:r>
        <w:rPr>
          <w:rFonts w:cs="Arial" w:ascii="Arial" w:hAnsi="Arial"/>
          <w:sz w:val="24"/>
          <w:szCs w:val="24"/>
        </w:rPr>
        <w:t>es valeurs requièrent des modes d’organisation du travail adaptés et conformes à la promesse de valeur vis à vis des collaborateurs et des clients. De même que des modes de négociation collective dynamiques et fluides.</w:t>
      </w:r>
      <w:r>
        <mc:AlternateContent>
          <mc:Choice Requires="wps">
            <w:drawing>
              <wp:anchor behindDoc="0" distT="0" distB="0" distL="114935" distR="114935" simplePos="0" locked="0" layoutInCell="1" allowOverlap="1" relativeHeight="6">
                <wp:simplePos x="0" y="0"/>
                <wp:positionH relativeFrom="column">
                  <wp:posOffset>-560705</wp:posOffset>
                </wp:positionH>
                <wp:positionV relativeFrom="paragraph">
                  <wp:posOffset>801370</wp:posOffset>
                </wp:positionV>
                <wp:extent cx="6438265" cy="933450"/>
                <wp:effectExtent l="0" t="0" r="0" b="0"/>
                <wp:wrapNone/>
                <wp:docPr id="2" name="Frame1"/>
                <a:graphic xmlns:a="http://schemas.openxmlformats.org/drawingml/2006/main">
                  <a:graphicData uri="http://schemas.microsoft.com/office/word/2010/wordprocessingShape">
                    <wps:wsp>
                      <wps:cNvSpPr txBox="1"/>
                      <wps:spPr>
                        <a:xfrm>
                          <a:off x="0" y="0"/>
                          <a:ext cx="6438265" cy="933450"/>
                        </a:xfrm>
                        <a:prstGeom prst="rect"/>
                        <a:solidFill>
                          <a:srgbClr val="FFFFFF"/>
                        </a:solidFill>
                      </wps:spPr>
                      <wps:txbx>
                        <w:txbxContent>
                          <w:p>
                            <w:pPr>
                              <w:pStyle w:val="Footer"/>
                              <w:rPr>
                                <w:b/>
                                <w:b/>
                              </w:rPr>
                            </w:pPr>
                            <w:r>
                              <w:rPr>
                                <w:b/>
                              </w:rPr>
                              <w:t>Grand Casino De Cabourg</w:t>
                            </w:r>
                          </w:p>
                          <w:p>
                            <w:pPr>
                              <w:pStyle w:val="Footer"/>
                              <w:rPr>
                                <w:sz w:val="18"/>
                                <w:szCs w:val="18"/>
                              </w:rPr>
                            </w:pPr>
                            <w:r>
                              <w:rPr>
                                <w:sz w:val="18"/>
                                <w:szCs w:val="18"/>
                              </w:rPr>
                              <w:t>Promenade Marcel-Proust- 14390 Cabourg – Tél. +33 (0)2.31.28.19.19 – Fax +33 (0)2.31.28.19.15</w:t>
                            </w:r>
                          </w:p>
                          <w:p>
                            <w:pPr>
                              <w:pStyle w:val="Footer"/>
                              <w:rPr>
                                <w:sz w:val="18"/>
                                <w:szCs w:val="18"/>
                              </w:rPr>
                            </w:pPr>
                            <w:r>
                              <w:rPr>
                                <w:sz w:val="18"/>
                                <w:szCs w:val="18"/>
                              </w:rPr>
                              <w:t>S.A.S. au capital de 300 000 euros – RCS CAEN 409.268.786 – APE 9200 Z – N°TVA intercommunautaire FR 61 409 268 786</w:t>
                            </w:r>
                          </w:p>
                          <w:p>
                            <w:pPr>
                              <w:pStyle w:val="Footer"/>
                              <w:rPr/>
                            </w:pPr>
                            <w:hyperlink r:id="rId3">
                              <w:r>
                                <w:rPr>
                                  <w:rStyle w:val="InternetLink"/>
                                  <w:b/>
                                  <w:sz w:val="18"/>
                                  <w:szCs w:val="18"/>
                                </w:rPr>
                                <w:t>www.casinocabourg.com</w:t>
                              </w:r>
                            </w:hyperlink>
                            <w:r>
                              <w:rPr>
                                <w:b/>
                                <w:sz w:val="18"/>
                                <w:szCs w:val="18"/>
                              </w:rPr>
                              <w:t xml:space="preserve"> – E-mail : casino-cabourg@partouche.com</w:t>
                            </w:r>
                          </w:p>
                        </w:txbxContent>
                      </wps:txbx>
                      <wps:bodyPr anchor="t" lIns="92075" tIns="46355" rIns="92075" bIns="46355">
                        <a:noAutofit/>
                      </wps:bodyPr>
                    </wps:wsp>
                  </a:graphicData>
                </a:graphic>
              </wp:anchor>
            </w:drawing>
          </mc:Choice>
          <mc:Fallback>
            <w:pict>
              <v:rect fillcolor="#FFFFFF" style="position:absolute;rotation:0;width:506.95pt;height:73.5pt;mso-wrap-distance-left:9.05pt;mso-wrap-distance-right:9.05pt;margin-top:63.1pt;mso-position-vertical-relative:text;margin-left:-44.15pt;mso-position-horizontal-relative:text">
                <v:textbox inset="0.100694444444444in,0.0506944444444444in,0.100694444444444in,0.0506944444444444in">
                  <w:txbxContent>
                    <w:p>
                      <w:pPr>
                        <w:pStyle w:val="Footer"/>
                        <w:rPr>
                          <w:b/>
                          <w:b/>
                        </w:rPr>
                      </w:pPr>
                      <w:r>
                        <w:rPr>
                          <w:b/>
                        </w:rPr>
                        <w:t>Grand Casino De Cabourg</w:t>
                      </w:r>
                    </w:p>
                    <w:p>
                      <w:pPr>
                        <w:pStyle w:val="Footer"/>
                        <w:rPr>
                          <w:sz w:val="18"/>
                          <w:szCs w:val="18"/>
                        </w:rPr>
                      </w:pPr>
                      <w:r>
                        <w:rPr>
                          <w:sz w:val="18"/>
                          <w:szCs w:val="18"/>
                        </w:rPr>
                        <w:t>Promenade Marcel-Proust- 14390 Cabourg – Tél. +33 (0)2.31.28.19.19 – Fax +33 (0)2.31.28.19.15</w:t>
                      </w:r>
                    </w:p>
                    <w:p>
                      <w:pPr>
                        <w:pStyle w:val="Footer"/>
                        <w:rPr>
                          <w:sz w:val="18"/>
                          <w:szCs w:val="18"/>
                        </w:rPr>
                      </w:pPr>
                      <w:r>
                        <w:rPr>
                          <w:sz w:val="18"/>
                          <w:szCs w:val="18"/>
                        </w:rPr>
                        <w:t>S.A.S. au capital de 300 000 euros – RCS CAEN 409.268.786 – APE 9200 Z – N°TVA intercommunautaire FR 61 409 268 786</w:t>
                      </w:r>
                    </w:p>
                    <w:p>
                      <w:pPr>
                        <w:pStyle w:val="Footer"/>
                        <w:rPr/>
                      </w:pPr>
                      <w:hyperlink r:id="rId4">
                        <w:r>
                          <w:rPr>
                            <w:rStyle w:val="InternetLink"/>
                            <w:b/>
                            <w:sz w:val="18"/>
                            <w:szCs w:val="18"/>
                          </w:rPr>
                          <w:t>www.casinocabourg.com</w:t>
                        </w:r>
                      </w:hyperlink>
                      <w:r>
                        <w:rPr>
                          <w:b/>
                          <w:sz w:val="18"/>
                          <w:szCs w:val="18"/>
                        </w:rPr>
                        <w:t xml:space="preserve"> – E-mail : casino-cabourg@partouche.com</w:t>
                      </w:r>
                    </w:p>
                  </w:txbxContent>
                </v:textbox>
              </v:rect>
            </w:pict>
          </mc:Fallback>
        </mc:AlternateContent>
      </w:r>
    </w:p>
    <w:p>
      <w:pPr>
        <w:pStyle w:val="Alinea"/>
        <w:rPr>
          <w:rFonts w:ascii="Arial" w:hAnsi="Arial" w:cs="Arial"/>
          <w:sz w:val="24"/>
          <w:szCs w:val="24"/>
          <w:highlight w:val="white"/>
        </w:rPr>
      </w:pPr>
      <w:r>
        <w:rPr>
          <w:rFonts w:cs="Arial" w:ascii="Arial" w:hAnsi="Arial"/>
          <w:sz w:val="24"/>
          <w:szCs w:val="24"/>
        </w:rPr>
        <w:t xml:space="preserve">Le présent accord a pour objet de </w:t>
      </w:r>
      <w:r>
        <w:rPr>
          <w:rFonts w:cs="Arial" w:ascii="Arial" w:hAnsi="Arial"/>
          <w:sz w:val="24"/>
          <w:szCs w:val="24"/>
          <w:shd w:fill="FFFFFF" w:val="clear"/>
        </w:rPr>
        <w:t>négocier sur la rémunération, notamment les salaires effectifs d'une part et la rémunération de la performance d'autre part (prime de la performance individuelle).</w:t>
      </w:r>
    </w:p>
    <w:p>
      <w:pPr>
        <w:pStyle w:val="Normal"/>
        <w:ind w:left="993" w:hanging="0"/>
        <w:jc w:val="both"/>
        <w:rPr>
          <w:rFonts w:ascii="Arial" w:hAnsi="Arial" w:cs="Arial"/>
          <w:sz w:val="24"/>
          <w:szCs w:val="24"/>
          <w:shd w:fill="FFFFFF" w:val="clear"/>
        </w:rPr>
      </w:pPr>
      <w:r>
        <w:rPr>
          <w:rFonts w:cs="Arial" w:ascii="Arial" w:hAnsi="Arial"/>
          <w:sz w:val="24"/>
          <w:szCs w:val="24"/>
          <w:shd w:fill="FFFFFF" w:val="clear"/>
        </w:rPr>
      </w:r>
    </w:p>
    <w:p>
      <w:pPr>
        <w:pStyle w:val="Normal"/>
        <w:jc w:val="both"/>
        <w:rPr/>
      </w:pPr>
      <w:r>
        <w:rPr>
          <w:rFonts w:cs="Arial" w:ascii="Arial" w:hAnsi="Arial"/>
        </w:rPr>
        <w:t>Une réunion s’est tenue le 14 janvier 2022 à 14h00</w:t>
      </w:r>
    </w:p>
    <w:p>
      <w:pPr>
        <w:pStyle w:val="Normal"/>
        <w:ind w:left="720" w:hanging="0"/>
        <w:jc w:val="both"/>
        <w:rPr>
          <w:rFonts w:ascii="Arial" w:hAnsi="Arial" w:cs="Arial"/>
        </w:rPr>
      </w:pPr>
      <w:r>
        <w:rPr>
          <w:rFonts w:cs="Arial" w:ascii="Arial" w:hAnsi="Arial"/>
        </w:rPr>
      </w:r>
    </w:p>
    <w:p>
      <w:pPr>
        <w:pStyle w:val="Normal"/>
        <w:jc w:val="both"/>
        <w:rPr/>
      </w:pPr>
      <w:r>
        <w:rPr>
          <w:rFonts w:cs="Arial" w:ascii="Arial" w:hAnsi="Arial"/>
        </w:rPr>
        <w:t xml:space="preserve">À l’issue de la réunion consacrée à la négociation et après les échanges, les parties se sont accordées sur les points suivants : </w:t>
      </w:r>
    </w:p>
    <w:p>
      <w:pPr>
        <w:pStyle w:val="Normal"/>
        <w:jc w:val="both"/>
        <w:rPr>
          <w:rFonts w:ascii="Arial" w:hAnsi="Arial" w:cs="Arial"/>
        </w:rPr>
      </w:pPr>
      <w:r>
        <w:rPr>
          <w:rFonts w:cs="Arial" w:ascii="Arial" w:hAnsi="Arial"/>
        </w:rPr>
      </w:r>
    </w:p>
    <w:p>
      <w:pPr>
        <w:pStyle w:val="Normal"/>
        <w:jc w:val="both"/>
        <w:rPr/>
      </w:pPr>
      <w:r>
        <w:rPr>
          <w:rFonts w:cs="Arial" w:ascii="Arial" w:hAnsi="Arial"/>
          <w:b/>
          <w:u w:val="single"/>
        </w:rPr>
        <w:t>ARTICLE 1- Augmentation des salaires</w:t>
      </w:r>
    </w:p>
    <w:p>
      <w:pPr>
        <w:pStyle w:val="Normal"/>
        <w:shd w:fill="FFFFFF" w:val="clear"/>
        <w:jc w:val="both"/>
        <w:rPr>
          <w:rFonts w:ascii="Arial" w:hAnsi="Arial" w:cs="Arial"/>
          <w:b/>
          <w:b/>
          <w:bCs/>
          <w:highlight w:val="yellow"/>
          <w:u w:val="single"/>
        </w:rPr>
      </w:pPr>
      <w:r>
        <w:rPr>
          <w:rFonts w:cs="Arial" w:ascii="Arial" w:hAnsi="Arial"/>
          <w:b/>
          <w:bCs/>
          <w:highlight w:val="yellow"/>
          <w:u w:val="single"/>
        </w:rPr>
      </w:r>
    </w:p>
    <w:p>
      <w:pPr>
        <w:pStyle w:val="Normal"/>
        <w:shd w:fill="FFFFFF" w:val="clear"/>
        <w:jc w:val="both"/>
        <w:rPr>
          <w:rFonts w:ascii="Arial" w:hAnsi="Arial" w:cs="Arial"/>
          <w:bCs/>
        </w:rPr>
      </w:pPr>
      <w:r>
        <w:rPr>
          <w:rFonts w:cs="Arial" w:ascii="Arial" w:hAnsi="Arial"/>
          <w:bCs/>
        </w:rPr>
        <w:t xml:space="preserve">Les membres du CSE ainsi que la Direction ont décidé de pratiquer une augmentation de 4% pour les niveaux 1 à 3 et une augmentation de 3% pour les niveaux supérieurs, sur les contrats à durée indéterminée au 31 décembre 2021. </w:t>
      </w:r>
    </w:p>
    <w:p>
      <w:pPr>
        <w:pStyle w:val="Normal"/>
        <w:shd w:fill="FFFFFF" w:val="clear"/>
        <w:jc w:val="both"/>
        <w:rPr>
          <w:rFonts w:ascii="Arial" w:hAnsi="Arial" w:cs="Arial"/>
          <w:bCs/>
        </w:rPr>
      </w:pPr>
      <w:r>
        <w:rPr>
          <w:rFonts w:cs="Arial" w:ascii="Arial" w:hAnsi="Arial"/>
          <w:bCs/>
        </w:rPr>
      </w:r>
    </w:p>
    <w:p>
      <w:pPr>
        <w:pStyle w:val="Normal"/>
        <w:shd w:fill="FFFFFF" w:val="clear"/>
        <w:jc w:val="both"/>
        <w:rPr>
          <w:rFonts w:ascii="Arial" w:hAnsi="Arial" w:cs="Arial"/>
          <w:b/>
          <w:b/>
          <w:bCs/>
        </w:rPr>
      </w:pPr>
      <w:r>
        <w:rPr>
          <w:rFonts w:cs="Arial" w:ascii="Arial" w:hAnsi="Arial"/>
          <w:b/>
          <w:bCs/>
        </w:rPr>
        <w:t>Cette augmentation s’appliquera à compter du 1</w:t>
      </w:r>
      <w:r>
        <w:rPr>
          <w:rFonts w:cs="Arial" w:ascii="Arial" w:hAnsi="Arial"/>
          <w:b/>
          <w:bCs/>
          <w:vertAlign w:val="superscript"/>
        </w:rPr>
        <w:t>er</w:t>
      </w:r>
      <w:r>
        <w:rPr>
          <w:rFonts w:cs="Arial" w:ascii="Arial" w:hAnsi="Arial"/>
          <w:b/>
          <w:bCs/>
        </w:rPr>
        <w:t xml:space="preserve"> janvier 2022.</w:t>
      </w:r>
    </w:p>
    <w:p>
      <w:pPr>
        <w:pStyle w:val="Normal"/>
        <w:pBdr>
          <w:bottom w:val="single" w:sz="4" w:space="1" w:color="000000"/>
        </w:pBdr>
        <w:jc w:val="both"/>
        <w:rPr>
          <w:rFonts w:ascii="Arial" w:hAnsi="Arial" w:cs="Arial"/>
          <w:b/>
          <w:b/>
          <w:bCs/>
        </w:rPr>
      </w:pPr>
      <w:r>
        <w:rPr>
          <w:rFonts w:cs="Arial" w:ascii="Arial" w:hAnsi="Arial"/>
          <w:b/>
          <w:bCs/>
        </w:rPr>
      </w:r>
    </w:p>
    <w:p>
      <w:pPr>
        <w:pStyle w:val="Normal"/>
        <w:pBdr>
          <w:bottom w:val="single" w:sz="4" w:space="1" w:color="000000"/>
        </w:pBdr>
        <w:jc w:val="both"/>
        <w:rPr>
          <w:rFonts w:ascii="Arial" w:hAnsi="Arial" w:cs="Arial"/>
          <w:b/>
          <w:b/>
        </w:rPr>
      </w:pPr>
      <w:r>
        <w:rPr>
          <w:rFonts w:cs="Arial" w:ascii="Arial" w:hAnsi="Arial"/>
          <w:b/>
        </w:rPr>
        <w:t>ARTICLE 2 : Rémunération de la performance</w:t>
      </w:r>
    </w:p>
    <w:p>
      <w:pPr>
        <w:pStyle w:val="Normal"/>
        <w:jc w:val="both"/>
        <w:rPr>
          <w:rFonts w:ascii="Arial" w:hAnsi="Arial" w:cs="Arial"/>
          <w:b/>
          <w:b/>
        </w:rPr>
      </w:pPr>
      <w:r>
        <w:rPr>
          <w:rFonts w:cs="Arial" w:ascii="Arial" w:hAnsi="Arial"/>
          <w:b/>
        </w:rPr>
      </w:r>
    </w:p>
    <w:p>
      <w:pPr>
        <w:pStyle w:val="Normal"/>
        <w:jc w:val="both"/>
        <w:rPr>
          <w:rFonts w:ascii="Arial" w:hAnsi="Arial" w:cs="Arial"/>
        </w:rPr>
      </w:pPr>
      <w:r>
        <w:rPr>
          <w:rFonts w:cs="Arial" w:ascii="Arial" w:hAnsi="Arial"/>
        </w:rPr>
        <w:t xml:space="preserve">Les deux parties conviennent que pour l’exercice comptable du 1 novembre 2021 au 31 octobre 2022, il sera versé une prime liée à la performance individuelle des salariés. </w:t>
      </w:r>
    </w:p>
    <w:p>
      <w:pPr>
        <w:pStyle w:val="Normal"/>
        <w:jc w:val="both"/>
        <w:rPr>
          <w:rFonts w:ascii="Arial" w:hAnsi="Arial" w:cs="Arial"/>
        </w:rPr>
      </w:pPr>
      <w:r>
        <w:rPr>
          <w:rFonts w:cs="Arial" w:ascii="Arial" w:hAnsi="Arial"/>
        </w:rPr>
      </w:r>
    </w:p>
    <w:p>
      <w:pPr>
        <w:pStyle w:val="Normal"/>
        <w:numPr>
          <w:ilvl w:val="1"/>
          <w:numId w:val="1"/>
        </w:numPr>
        <w:jc w:val="both"/>
        <w:rPr/>
      </w:pPr>
      <w:r>
        <w:rPr>
          <w:rFonts w:cs="Arial" w:ascii="Arial" w:hAnsi="Arial"/>
          <w:b/>
          <w:u w:val="single"/>
        </w:rPr>
        <w:t>- Caractéristiques de la prime </w:t>
      </w:r>
      <w:r>
        <w:rPr>
          <w:rFonts w:cs="Arial" w:ascii="Arial" w:hAnsi="Arial"/>
          <w:b/>
        </w:rPr>
        <w:t>:</w:t>
      </w:r>
    </w:p>
    <w:p>
      <w:pPr>
        <w:pStyle w:val="Normal"/>
        <w:ind w:left="720" w:hanging="0"/>
        <w:jc w:val="both"/>
        <w:rPr>
          <w:rFonts w:ascii="Arial" w:hAnsi="Arial" w:cs="Arial"/>
          <w:b/>
          <w:b/>
        </w:rPr>
      </w:pPr>
      <w:r>
        <w:rPr>
          <w:rFonts w:cs="Arial" w:ascii="Arial" w:hAnsi="Arial"/>
          <w:b/>
        </w:rPr>
      </w:r>
    </w:p>
    <w:p>
      <w:pPr>
        <w:pStyle w:val="Normal"/>
        <w:widowControl w:val="false"/>
        <w:tabs>
          <w:tab w:val="left" w:pos="405" w:leader="none"/>
          <w:tab w:val="left" w:pos="720" w:leader="none"/>
          <w:tab w:val="left" w:pos="1440" w:leader="none"/>
          <w:tab w:val="left" w:pos="2160" w:leader="none"/>
          <w:tab w:val="left" w:pos="2880" w:leader="none"/>
        </w:tabs>
        <w:rPr>
          <w:rFonts w:ascii="Arial" w:hAnsi="Arial" w:cs="Arial"/>
        </w:rPr>
      </w:pPr>
      <w:r>
        <w:rPr>
          <w:rFonts w:cs="Arial" w:ascii="Arial" w:hAnsi="Arial"/>
        </w:rPr>
        <w:t>Cette prime sera versée aux salariés présents au 1</w:t>
      </w:r>
      <w:r>
        <w:rPr>
          <w:rFonts w:cs="Arial" w:ascii="Arial" w:hAnsi="Arial"/>
          <w:vertAlign w:val="superscript"/>
        </w:rPr>
        <w:t>er</w:t>
      </w:r>
      <w:r>
        <w:rPr>
          <w:rFonts w:cs="Arial" w:ascii="Arial" w:hAnsi="Arial"/>
        </w:rPr>
        <w:t xml:space="preserve"> janvier 2022 et au moment du versement de cette prime.</w:t>
      </w:r>
    </w:p>
    <w:p>
      <w:pPr>
        <w:pStyle w:val="Normal"/>
        <w:jc w:val="both"/>
        <w:rPr>
          <w:rFonts w:ascii="Arial" w:hAnsi="Arial" w:cs="Arial"/>
        </w:rPr>
      </w:pPr>
      <w:r>
        <w:rPr>
          <w:rFonts w:cs="Arial" w:ascii="Arial" w:hAnsi="Arial"/>
        </w:rPr>
      </w:r>
    </w:p>
    <w:p>
      <w:pPr>
        <w:pStyle w:val="Normal"/>
        <w:jc w:val="both"/>
        <w:rPr/>
      </w:pPr>
      <w:r>
        <w:rPr>
          <w:rFonts w:cs="Arial" w:ascii="Arial" w:hAnsi="Arial"/>
          <w:b/>
          <w:u w:val="single"/>
        </w:rPr>
        <w:t>2-2- Montant global maximal de la prime à la performance </w:t>
      </w:r>
      <w:r>
        <w:rPr>
          <w:rFonts w:cs="Arial" w:ascii="Arial" w:hAnsi="Arial"/>
        </w:rPr>
        <w:t xml:space="preserve">: </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Les partenaires sociaux conviennent que le montant global maximal de la prime à la performance sera défini ultérieurement au vu des conditions sanitaires actuelles</w:t>
      </w:r>
      <w:r>
        <w:rPr>
          <w:rFonts w:cs="Arial" w:ascii="Arial" w:hAnsi="Arial"/>
          <w:b/>
        </w:rPr>
        <w:t>.</w:t>
      </w:r>
      <w:r>
        <w:rPr>
          <w:rFonts w:cs="Arial" w:ascii="Arial" w:hAnsi="Arial"/>
        </w:rPr>
        <w:t xml:space="preserve"> </w:t>
      </w:r>
    </w:p>
    <w:p>
      <w:pPr>
        <w:pStyle w:val="Normal"/>
        <w:jc w:val="both"/>
        <w:rPr>
          <w:rFonts w:ascii="Arial" w:hAnsi="Arial" w:cs="Arial"/>
        </w:rPr>
      </w:pPr>
      <w:r>
        <w:rPr>
          <w:rFonts w:cs="Arial" w:ascii="Arial" w:hAnsi="Arial"/>
        </w:rPr>
        <w:t>Le montant ne pourra être inférieur à 10 000€ dans la mesure où il a été conclu qu’en contrepartie du non versement de la prime festival, une enveloppe de 10 000€ (correspondant à la somme allouée à la prime festival) serait réintégrée au montant consacré à la prime à la performance.</w:t>
      </w:r>
    </w:p>
    <w:p>
      <w:pPr>
        <w:pStyle w:val="Normal"/>
        <w:jc w:val="both"/>
        <w:rPr>
          <w:rFonts w:ascii="Arial" w:hAnsi="Arial" w:cs="Arial"/>
        </w:rPr>
      </w:pPr>
      <w:r>
        <w:rPr>
          <w:rFonts w:cs="Arial" w:ascii="Arial" w:hAnsi="Arial"/>
        </w:rPr>
      </w:r>
    </w:p>
    <w:p>
      <w:pPr>
        <w:pStyle w:val="Normal"/>
        <w:jc w:val="both"/>
        <w:rPr/>
      </w:pPr>
      <w:r>
        <w:rPr>
          <w:rFonts w:cs="Arial" w:ascii="Arial" w:hAnsi="Arial"/>
          <w:b/>
          <w:u w:val="single"/>
        </w:rPr>
        <w:t xml:space="preserve">2-3- Modalités d’attribution individuelle de la prime </w:t>
      </w:r>
    </w:p>
    <w:p>
      <w:pPr>
        <w:pStyle w:val="Normal"/>
        <w:jc w:val="both"/>
        <w:rPr>
          <w:rFonts w:ascii="Arial" w:hAnsi="Arial" w:cs="Arial"/>
          <w:b/>
          <w:b/>
          <w:u w:val="single"/>
        </w:rPr>
      </w:pPr>
      <w:r>
        <w:rPr>
          <w:rFonts w:cs="Arial" w:ascii="Arial" w:hAnsi="Arial"/>
          <w:b/>
          <w:u w:val="single"/>
        </w:rPr>
      </w:r>
    </w:p>
    <w:p>
      <w:pPr>
        <w:pStyle w:val="Normal"/>
        <w:jc w:val="both"/>
        <w:rPr>
          <w:rFonts w:ascii="Arial" w:hAnsi="Arial" w:cs="Arial"/>
        </w:rPr>
      </w:pPr>
      <w:r>
        <w:rPr>
          <w:rFonts w:cs="Arial" w:ascii="Arial" w:hAnsi="Arial"/>
        </w:rPr>
        <w:t xml:space="preserve">Pour répondre aux exigences d’équité d’une telle prime, la prime individuelle annuelle sera basée sur le score d’évaluation de chaque collaborateur obtenu à l’issue des entretiens d’évaluation annuelle. </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Les critères d’attribution seront validés lors d’une prochaine réunion du comité social et économique.</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 xml:space="preserve">Conformément aux engagements en vigueur en matière d’évaluation annuelle, l’employeur s’engage à ce que les valeurs obtenues soient objectives, et exemptes de toute considération exogène, contexte, climat social, tensions. </w:t>
      </w:r>
    </w:p>
    <w:p>
      <w:pPr>
        <w:pStyle w:val="Normal"/>
        <w:jc w:val="both"/>
        <w:rPr>
          <w:rFonts w:ascii="Arial" w:hAnsi="Arial" w:cs="Arial"/>
        </w:rPr>
      </w:pPr>
      <w:r>
        <w:rPr>
          <w:rFonts w:cs="Arial" w:ascii="Arial" w:hAnsi="Arial"/>
        </w:rPr>
      </w:r>
    </w:p>
    <w:p>
      <w:pPr>
        <w:pStyle w:val="Paragraphedeliste"/>
        <w:ind w:left="0" w:hanging="0"/>
        <w:jc w:val="both"/>
        <w:rPr/>
      </w:pPr>
      <w:r>
        <w:rPr>
          <w:rFonts w:cs="Arial" w:ascii="Arial" w:hAnsi="Arial"/>
        </w:rPr>
        <w:t>Il est précisé que le paiement effectif de la prime acquise au titre des performances individuelles du salarié au cours de l’exercice allant du 1</w:t>
      </w:r>
      <w:r>
        <w:rPr>
          <w:rFonts w:cs="Arial" w:ascii="Arial" w:hAnsi="Arial"/>
          <w:vertAlign w:val="superscript"/>
        </w:rPr>
        <w:t>er</w:t>
      </w:r>
      <w:r>
        <w:rPr>
          <w:rFonts w:cs="Arial" w:ascii="Arial" w:hAnsi="Arial"/>
        </w:rPr>
        <w:t xml:space="preserve"> novembre 2021 au 31 octobre 2022, ne pourra intervenir qu’à l’issue de la campagne d’entretien d’évaluations annuelles. Aucune prime à la performance n’est attribuée sans l’entretien d’évaluation annuelle.</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pBdr>
          <w:bottom w:val="single" w:sz="4" w:space="1" w:color="000000"/>
        </w:pBdr>
        <w:jc w:val="both"/>
        <w:rPr/>
      </w:pPr>
      <w:r>
        <w:rPr>
          <w:rFonts w:cs="Arial" w:ascii="Arial" w:hAnsi="Arial"/>
          <w:b/>
        </w:rPr>
        <w:t xml:space="preserve">2- 4 - Évènements affectant la période d’emploi </w:t>
      </w:r>
    </w:p>
    <w:p>
      <w:pPr>
        <w:pStyle w:val="Normal"/>
        <w:jc w:val="both"/>
        <w:rPr>
          <w:rFonts w:ascii="Arial" w:hAnsi="Arial" w:cs="Arial"/>
          <w:b/>
          <w:b/>
          <w:u w:val="single"/>
        </w:rPr>
      </w:pPr>
      <w:r>
        <w:rPr>
          <w:rFonts w:cs="Arial" w:ascii="Arial" w:hAnsi="Arial"/>
          <w:b/>
          <w:u w:val="single"/>
        </w:rPr>
      </w:r>
    </w:p>
    <w:p>
      <w:pPr>
        <w:pStyle w:val="Normal"/>
        <w:jc w:val="both"/>
        <w:rPr>
          <w:rFonts w:ascii="Arial" w:hAnsi="Arial" w:cs="Arial"/>
        </w:rPr>
      </w:pPr>
      <w:r>
        <w:rPr>
          <w:rFonts w:cs="Arial" w:ascii="Arial" w:hAnsi="Arial"/>
        </w:rPr>
        <w:t xml:space="preserve">S’agissant d’une partie variable de rémunération, correspondant à la rémunération de la performance individuelle, les partenaires sociaux conviennent que cette prime sera attribuée au prorata temporis du temps de présence du collaborateur sur l’année. </w:t>
      </w:r>
    </w:p>
    <w:p>
      <w:pPr>
        <w:pStyle w:val="Normal"/>
        <w:jc w:val="both"/>
        <w:rPr>
          <w:rFonts w:ascii="Arial" w:hAnsi="Arial" w:cs="Arial"/>
        </w:rPr>
      </w:pPr>
      <w:r>
        <w:rPr>
          <w:rFonts w:cs="Arial" w:ascii="Arial" w:hAnsi="Arial"/>
        </w:rPr>
      </w:r>
    </w:p>
    <w:p>
      <w:pPr>
        <w:pStyle w:val="Normal"/>
        <w:jc w:val="both"/>
        <w:rPr/>
      </w:pPr>
      <w:r>
        <w:rPr>
          <w:rFonts w:cs="Arial" w:ascii="Arial" w:hAnsi="Arial"/>
        </w:rPr>
        <w:t xml:space="preserve">Toute période pendant laquelle le contrat de travail est suspendu entraînera donc la proratisation, à due proportion, du montant de la prime. (le calcul se fera en fonction de nombre de jours d’absence ouvrés) </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 xml:space="preserve">Toutefois, il est précisé qu’en vertu de la loi applicable, les périodes de suspension du contrat de travail pour cause d’accident ou maladie d’origine professionnelle, ou maternité, paternité, sont assimilées à du temps de travail effectif. </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S’agissant des absences injustifiées, une absence par an entraînera la diminution de la prime de 50 % et la deuxième absence injustifiée entraînera le non versement de la prime.</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pBdr>
          <w:bottom w:val="single" w:sz="4" w:space="1" w:color="000000"/>
        </w:pBdr>
        <w:jc w:val="both"/>
        <w:rPr/>
      </w:pPr>
      <w:r>
        <w:rPr>
          <w:rFonts w:cs="Arial" w:ascii="Arial" w:hAnsi="Arial"/>
          <w:b/>
        </w:rPr>
        <w:t>ARTICLE 3 : Prise d’effet</w:t>
      </w:r>
    </w:p>
    <w:p>
      <w:pPr>
        <w:pStyle w:val="Normal"/>
        <w:tabs>
          <w:tab w:val="decimal" w:pos="3402" w:leader="none"/>
          <w:tab w:val="decimal" w:pos="5670" w:leader="none"/>
        </w:tabs>
        <w:jc w:val="both"/>
        <w:rPr>
          <w:rFonts w:ascii="Arial" w:hAnsi="Arial" w:cs="Arial"/>
          <w:b/>
          <w:b/>
        </w:rPr>
      </w:pPr>
      <w:r>
        <w:rPr>
          <w:rFonts w:cs="Arial" w:ascii="Arial" w:hAnsi="Arial"/>
          <w:b/>
        </w:rPr>
      </w:r>
    </w:p>
    <w:p>
      <w:pPr>
        <w:pStyle w:val="Normal"/>
        <w:jc w:val="both"/>
        <w:rPr/>
      </w:pPr>
      <w:r>
        <w:rPr>
          <w:rFonts w:cs="Arial" w:ascii="Arial" w:hAnsi="Arial"/>
        </w:rPr>
        <w:t xml:space="preserve">Les dispositions seront applicables dès la signature du présent accord, au titre de l’exercice clos au 31 octobre 2022. </w:t>
      </w:r>
    </w:p>
    <w:p>
      <w:pPr>
        <w:pStyle w:val="Normal"/>
        <w:widowControl w:val="false"/>
        <w:tabs>
          <w:tab w:val="left" w:pos="142" w:leader="none"/>
        </w:tabs>
        <w:autoSpaceDE w:val="false"/>
        <w:jc w:val="both"/>
        <w:rPr>
          <w:rFonts w:ascii="Arial" w:hAnsi="Arial" w:eastAsia="Symbol" w:cs="Arial"/>
        </w:rPr>
      </w:pPr>
      <w:r>
        <w:rPr>
          <w:rFonts w:eastAsia="Symbol" w:cs="Arial" w:ascii="Arial" w:hAnsi="Arial"/>
        </w:rPr>
      </w:r>
    </w:p>
    <w:p>
      <w:pPr>
        <w:pStyle w:val="Normal"/>
        <w:tabs>
          <w:tab w:val="decimal" w:pos="3402" w:leader="none"/>
          <w:tab w:val="decimal" w:pos="5670" w:leader="none"/>
        </w:tabs>
        <w:jc w:val="both"/>
        <w:rPr/>
      </w:pPr>
      <w:r>
        <w:rPr>
          <w:rFonts w:cs="Arial" w:ascii="Arial" w:hAnsi="Arial"/>
        </w:rPr>
        <w:t xml:space="preserve">Le montant de la prime à la performance résultant de l’entretien annuel sera versé sur la paie </w:t>
      </w:r>
      <w:r>
        <w:rPr>
          <w:rFonts w:cs="Arial" w:ascii="Arial" w:hAnsi="Arial"/>
          <w:b/>
        </w:rPr>
        <w:t xml:space="preserve">d’octobre 2022 </w:t>
      </w:r>
      <w:r>
        <w:rPr>
          <w:rFonts w:cs="Arial" w:ascii="Arial" w:hAnsi="Arial"/>
        </w:rPr>
        <w:t xml:space="preserve">soit début novembre 2022.  </w:t>
      </w:r>
    </w:p>
    <w:p>
      <w:pPr>
        <w:pStyle w:val="Normal"/>
        <w:tabs>
          <w:tab w:val="decimal" w:pos="3402" w:leader="none"/>
          <w:tab w:val="decimal" w:pos="5670" w:leader="none"/>
        </w:tabs>
        <w:jc w:val="both"/>
        <w:rPr>
          <w:rFonts w:ascii="Arial" w:hAnsi="Arial" w:cs="Arial"/>
        </w:rPr>
      </w:pPr>
      <w:r>
        <w:rPr>
          <w:rFonts w:cs="Arial" w:ascii="Arial" w:hAnsi="Arial"/>
        </w:rPr>
      </w:r>
    </w:p>
    <w:p>
      <w:pPr>
        <w:pStyle w:val="Normal"/>
        <w:widowControl w:val="false"/>
        <w:pBdr>
          <w:bottom w:val="single" w:sz="4" w:space="1" w:color="000000"/>
        </w:pBdr>
        <w:tabs>
          <w:tab w:val="left" w:pos="142" w:leader="none"/>
        </w:tabs>
        <w:autoSpaceDE w:val="false"/>
        <w:ind w:right="334" w:hanging="0"/>
        <w:jc w:val="both"/>
        <w:rPr/>
      </w:pPr>
      <w:r>
        <w:rPr>
          <w:rFonts w:eastAsia="Symbol" w:cs="Arial" w:ascii="Arial" w:hAnsi="Arial"/>
          <w:b/>
          <w:bCs/>
        </w:rPr>
        <w:t>ARTICLE 4 - Durée d'application</w:t>
      </w:r>
    </w:p>
    <w:p>
      <w:pPr>
        <w:pStyle w:val="Normal"/>
        <w:widowControl w:val="false"/>
        <w:tabs>
          <w:tab w:val="left" w:pos="142" w:leader="none"/>
        </w:tabs>
        <w:autoSpaceDE w:val="false"/>
        <w:ind w:right="334" w:hanging="0"/>
        <w:jc w:val="both"/>
        <w:rPr>
          <w:rFonts w:ascii="Arial" w:hAnsi="Arial" w:eastAsia="Symbol" w:cs="Arial"/>
          <w:b/>
          <w:b/>
          <w:bCs/>
        </w:rPr>
      </w:pPr>
      <w:r>
        <w:rPr>
          <w:rFonts w:eastAsia="Symbol" w:cs="Arial" w:ascii="Arial" w:hAnsi="Arial"/>
          <w:b/>
          <w:bCs/>
        </w:rPr>
      </w:r>
    </w:p>
    <w:p>
      <w:pPr>
        <w:pStyle w:val="Normal"/>
        <w:widowControl w:val="false"/>
        <w:tabs>
          <w:tab w:val="left" w:pos="142" w:leader="none"/>
        </w:tabs>
        <w:autoSpaceDE w:val="false"/>
        <w:ind w:right="334" w:hanging="0"/>
        <w:jc w:val="both"/>
        <w:rPr/>
      </w:pPr>
      <w:r>
        <w:rPr>
          <w:rFonts w:cs="Arial" w:ascii="Arial" w:hAnsi="Arial"/>
        </w:rPr>
        <w:t>Le présent accord sera applicable à compter de la date de sa signature pour une durée déterminée et prendra fin de plein droit au 31 décembre 2022.</w:t>
      </w:r>
    </w:p>
    <w:p>
      <w:pPr>
        <w:pStyle w:val="Normal"/>
        <w:widowControl w:val="false"/>
        <w:tabs>
          <w:tab w:val="left" w:pos="142" w:leader="none"/>
        </w:tabs>
        <w:autoSpaceDE w:val="false"/>
        <w:ind w:right="334" w:hanging="0"/>
        <w:jc w:val="both"/>
        <w:rPr>
          <w:rFonts w:ascii="Arial" w:hAnsi="Arial" w:cs="Arial"/>
          <w:sz w:val="20"/>
          <w:szCs w:val="20"/>
        </w:rPr>
      </w:pPr>
      <w:r>
        <w:rPr>
          <w:rFonts w:cs="Arial" w:ascii="Arial" w:hAnsi="Arial"/>
          <w:sz w:val="20"/>
          <w:szCs w:val="20"/>
        </w:rPr>
      </w:r>
    </w:p>
    <w:p>
      <w:pPr>
        <w:pStyle w:val="Normal"/>
        <w:widowControl w:val="false"/>
        <w:tabs>
          <w:tab w:val="left" w:pos="142" w:leader="none"/>
        </w:tabs>
        <w:autoSpaceDE w:val="false"/>
        <w:ind w:right="334" w:hanging="0"/>
        <w:jc w:val="both"/>
        <w:rPr>
          <w:rFonts w:ascii="Arial" w:hAnsi="Arial" w:eastAsia="Symbol" w:cs="Arial"/>
        </w:rPr>
      </w:pPr>
      <w:r>
        <w:rPr>
          <w:rFonts w:eastAsia="Symbol" w:cs="Arial" w:ascii="Arial" w:hAnsi="Arial"/>
        </w:rPr>
        <w:t xml:space="preserve">Les partenaires sociaux rappellent qu’à l’échéance du présent accord, les effets du présent accord ne pourront plus trouver aucune application. </w:t>
      </w:r>
    </w:p>
    <w:p>
      <w:pPr>
        <w:pStyle w:val="Normal"/>
        <w:widowControl w:val="false"/>
        <w:tabs>
          <w:tab w:val="left" w:pos="142" w:leader="none"/>
        </w:tabs>
        <w:autoSpaceDE w:val="false"/>
        <w:ind w:right="334" w:hanging="0"/>
        <w:jc w:val="both"/>
        <w:rPr>
          <w:rFonts w:ascii="Arial" w:hAnsi="Arial" w:eastAsia="Symbol" w:cs="Arial"/>
        </w:rPr>
      </w:pPr>
      <w:r>
        <w:rPr>
          <w:rFonts w:eastAsia="Symbol" w:cs="Arial" w:ascii="Arial" w:hAnsi="Arial"/>
        </w:rPr>
        <w:t xml:space="preserve">Aucune reconduction tacite ou avantage individuel acquis ne seront possibles. </w:t>
      </w:r>
    </w:p>
    <w:p>
      <w:pPr>
        <w:pStyle w:val="Normal"/>
        <w:widowControl w:val="false"/>
        <w:tabs>
          <w:tab w:val="left" w:pos="142" w:leader="none"/>
        </w:tabs>
        <w:autoSpaceDE w:val="false"/>
        <w:ind w:right="334" w:hanging="0"/>
        <w:jc w:val="both"/>
        <w:rPr>
          <w:rFonts w:ascii="Arial" w:hAnsi="Arial" w:eastAsia="Symbol" w:cs="Arial"/>
        </w:rPr>
      </w:pPr>
      <w:r>
        <w:rPr>
          <w:rFonts w:eastAsia="Symbol" w:cs="Arial" w:ascii="Arial" w:hAnsi="Arial"/>
        </w:rPr>
      </w:r>
    </w:p>
    <w:p>
      <w:pPr>
        <w:pStyle w:val="Normal"/>
        <w:widowControl w:val="false"/>
        <w:pBdr>
          <w:bottom w:val="single" w:sz="4" w:space="1" w:color="000000"/>
        </w:pBdr>
        <w:tabs>
          <w:tab w:val="left" w:pos="142" w:leader="none"/>
        </w:tabs>
        <w:autoSpaceDE w:val="false"/>
        <w:ind w:right="334" w:hanging="0"/>
        <w:jc w:val="both"/>
        <w:rPr/>
      </w:pPr>
      <w:r>
        <w:rPr>
          <w:rFonts w:eastAsia="Symbol" w:cs="Arial" w:ascii="Arial" w:hAnsi="Arial"/>
          <w:b/>
          <w:bCs/>
        </w:rPr>
        <w:t>ARTICLE 5 - Dépôt</w:t>
      </w:r>
    </w:p>
    <w:p>
      <w:pPr>
        <w:pStyle w:val="Normal"/>
        <w:widowControl w:val="false"/>
        <w:tabs>
          <w:tab w:val="left" w:pos="142" w:leader="none"/>
        </w:tabs>
        <w:autoSpaceDE w:val="false"/>
        <w:ind w:right="334" w:hanging="0"/>
        <w:jc w:val="both"/>
        <w:rPr>
          <w:rFonts w:ascii="Arial" w:hAnsi="Arial" w:eastAsia="Symbol" w:cs="Arial"/>
          <w:b/>
          <w:b/>
          <w:bCs/>
        </w:rPr>
      </w:pPr>
      <w:r>
        <w:rPr>
          <w:rFonts w:eastAsia="Symbol" w:cs="Arial" w:ascii="Arial" w:hAnsi="Arial"/>
          <w:b/>
          <w:bCs/>
        </w:rPr>
      </w:r>
    </w:p>
    <w:p>
      <w:pPr>
        <w:pStyle w:val="Normal"/>
        <w:jc w:val="both"/>
        <w:rPr>
          <w:rFonts w:ascii="Arial" w:hAnsi="Arial" w:cs="Arial"/>
        </w:rPr>
      </w:pPr>
      <w:r>
        <w:rPr>
          <w:rFonts w:cs="Arial" w:ascii="Arial" w:hAnsi="Arial"/>
        </w:rPr>
        <w:t xml:space="preserve">Conformément aux dispositions de l’article D2231-4 du code du travail, le présent accord ainsi que les pièces visées aux articles D2231-6 et D2231-7 sont déposés, par le représentant légal de l’entreprise, sur la plateforme de télé procédure du ministère du travail : </w:t>
      </w:r>
      <w:r>
        <w:rPr>
          <w:rFonts w:cs="Arial" w:ascii="Arial" w:hAnsi="Arial"/>
          <w:b/>
          <w:i/>
          <w:u w:val="single"/>
        </w:rPr>
        <w:t>www.téléaccords.travail-emploi.gouv.fr</w:t>
      </w:r>
    </w:p>
    <w:p>
      <w:pPr>
        <w:pStyle w:val="Normal"/>
        <w:widowControl w:val="false"/>
        <w:tabs>
          <w:tab w:val="left" w:pos="142" w:leader="none"/>
        </w:tabs>
        <w:autoSpaceDE w:val="false"/>
        <w:ind w:right="334" w:hanging="0"/>
        <w:jc w:val="both"/>
        <w:rPr>
          <w:rFonts w:ascii="Arial" w:hAnsi="Arial" w:eastAsia="Symbol" w:cs="Arial"/>
        </w:rPr>
      </w:pPr>
      <w:r>
        <w:rPr>
          <w:rFonts w:eastAsia="Symbol" w:cs="Arial" w:ascii="Arial" w:hAnsi="Arial"/>
        </w:rPr>
        <w:t>Il sera également remis en un exemplaire au greffe du conseil de prud'hommes de CAEN.</w:t>
      </w:r>
    </w:p>
    <w:p>
      <w:pPr>
        <w:pStyle w:val="Normal"/>
        <w:widowControl w:val="false"/>
        <w:tabs>
          <w:tab w:val="left" w:pos="142" w:leader="none"/>
        </w:tabs>
        <w:autoSpaceDE w:val="false"/>
        <w:ind w:right="334" w:hanging="0"/>
        <w:jc w:val="both"/>
        <w:rPr>
          <w:rFonts w:ascii="Arial" w:hAnsi="Arial" w:eastAsia="Symbol" w:cs="Arial"/>
        </w:rPr>
      </w:pPr>
      <w:r>
        <w:rPr>
          <w:rFonts w:eastAsia="Symbol" w:cs="Arial" w:ascii="Arial" w:hAnsi="Arial"/>
        </w:rPr>
      </w:r>
    </w:p>
    <w:p>
      <w:pPr>
        <w:pStyle w:val="Normal"/>
        <w:widowControl w:val="false"/>
        <w:tabs>
          <w:tab w:val="left" w:pos="142" w:leader="none"/>
        </w:tabs>
        <w:autoSpaceDE w:val="false"/>
        <w:ind w:right="334" w:hanging="0"/>
        <w:jc w:val="both"/>
        <w:rPr>
          <w:rFonts w:ascii="Arial" w:hAnsi="Arial" w:eastAsia="Symbol" w:cs="Arial"/>
        </w:rPr>
      </w:pPr>
      <w:r>
        <w:rPr>
          <w:rFonts w:eastAsia="Symbol" w:cs="Arial" w:ascii="Arial" w:hAnsi="Arial"/>
        </w:rPr>
      </w:r>
    </w:p>
    <w:p>
      <w:pPr>
        <w:pStyle w:val="Normal"/>
        <w:widowControl w:val="false"/>
        <w:pBdr>
          <w:bottom w:val="single" w:sz="4" w:space="1" w:color="000000"/>
        </w:pBdr>
        <w:tabs>
          <w:tab w:val="left" w:pos="142" w:leader="none"/>
        </w:tabs>
        <w:autoSpaceDE w:val="false"/>
        <w:ind w:right="334" w:hanging="0"/>
        <w:jc w:val="both"/>
        <w:rPr/>
      </w:pPr>
      <w:r>
        <w:rPr>
          <w:b/>
        </w:rPr>
        <w:t xml:space="preserve">        </w:t>
      </w:r>
      <w:r>
        <w:rPr>
          <w:rFonts w:eastAsia="Symbol" w:cs="Arial" w:ascii="Arial" w:hAnsi="Arial"/>
          <w:b/>
          <w:bCs/>
        </w:rPr>
        <w:t>ARTICLE 6 - Notification</w:t>
      </w:r>
    </w:p>
    <w:p>
      <w:pPr>
        <w:pStyle w:val="Normal"/>
        <w:spacing w:before="280" w:after="280"/>
        <w:rPr>
          <w:rFonts w:ascii="Arial" w:hAnsi="Arial" w:cs="Arial"/>
        </w:rPr>
      </w:pPr>
      <w:r>
        <w:rPr>
          <w:rFonts w:cs="Arial" w:ascii="Arial" w:hAnsi="Arial"/>
        </w:rPr>
        <w:t>Conformément à l’article L. 2231-5 du code du travail, le texte du présent accord est notifié à l’ensemble des parties signataires ;</w:t>
      </w:r>
    </w:p>
    <w:p>
      <w:pPr>
        <w:pStyle w:val="Normal"/>
        <w:jc w:val="both"/>
        <w:rPr>
          <w:rFonts w:ascii="Arial" w:hAnsi="Arial" w:cs="Arial"/>
        </w:rPr>
      </w:pPr>
      <w:r>
        <w:rPr>
          <w:rFonts w:cs="Arial" w:ascii="Arial" w:hAnsi="Arial"/>
        </w:rPr>
        <w:t>Fait à CABOURG, le 14 janvier 2022</w:t>
      </w:r>
    </w:p>
    <w:p>
      <w:pPr>
        <w:pStyle w:val="Normal"/>
        <w:jc w:val="both"/>
        <w:rPr>
          <w:rFonts w:ascii="Arial" w:hAnsi="Arial" w:cs="Arial"/>
        </w:rPr>
      </w:pPr>
      <w:r>
        <w:rPr>
          <w:rFonts w:cs="Arial" w:ascii="Arial" w:hAnsi="Arial"/>
        </w:rPr>
      </w:r>
    </w:p>
    <w:p>
      <w:pPr>
        <w:pStyle w:val="Normal"/>
        <w:tabs>
          <w:tab w:val="left" w:pos="1701" w:leader="none"/>
          <w:tab w:val="left" w:pos="5670" w:leader="none"/>
        </w:tabs>
        <w:rPr>
          <w:rFonts w:ascii="Arial" w:hAnsi="Arial" w:eastAsia="Arial" w:cs="Arial"/>
          <w:b/>
          <w:b/>
        </w:rPr>
      </w:pPr>
      <w:r>
        <w:rPr>
          <w:rFonts w:eastAsia="Arial" w:cs="Arial" w:ascii="Arial" w:hAnsi="Arial"/>
          <w:b/>
        </w:rPr>
        <w:t xml:space="preserve">      </w:t>
      </w:r>
    </w:p>
    <w:p>
      <w:pPr>
        <w:pStyle w:val="Normal"/>
        <w:tabs>
          <w:tab w:val="left" w:pos="1701" w:leader="none"/>
          <w:tab w:val="left" w:pos="5670" w:leader="none"/>
        </w:tabs>
        <w:rPr>
          <w:rFonts w:ascii="Arial" w:hAnsi="Arial" w:cs="Arial"/>
        </w:rPr>
      </w:pPr>
      <w:r>
        <w:rPr>
          <w:rFonts w:eastAsia="Arial" w:cs="Arial" w:ascii="Arial" w:hAnsi="Arial"/>
        </w:rPr>
        <w:t xml:space="preserve">     </w:t>
      </w:r>
      <w:r>
        <w:rPr>
          <w:rFonts w:cs="Arial" w:ascii="Arial" w:hAnsi="Arial"/>
        </w:rPr>
        <w:t>Directeur général délégué</w:t>
        <w:tab/>
        <w:t xml:space="preserve">                Secrétaire du CSE</w:t>
      </w:r>
    </w:p>
    <w:p>
      <w:pPr>
        <w:pStyle w:val="Normal"/>
        <w:tabs>
          <w:tab w:val="left" w:pos="1701" w:leader="none"/>
          <w:tab w:val="left" w:pos="5670" w:leader="none"/>
        </w:tabs>
        <w:rPr>
          <w:rFonts w:ascii="Arial" w:hAnsi="Arial" w:cs="Arial"/>
        </w:rPr>
      </w:pPr>
      <w:r>
        <w:rPr>
          <w:rFonts w:cs="Arial" w:ascii="Arial" w:hAnsi="Arial"/>
        </w:rPr>
      </w:r>
    </w:p>
    <w:p>
      <w:pPr>
        <w:pStyle w:val="Normal"/>
        <w:tabs>
          <w:tab w:val="left" w:pos="1701" w:leader="none"/>
          <w:tab w:val="left" w:pos="5670" w:leader="none"/>
        </w:tabs>
        <w:rPr>
          <w:rFonts w:ascii="Arial" w:hAnsi="Arial" w:cs="Arial"/>
        </w:rPr>
      </w:pPr>
      <w:r>
        <w:rPr>
          <w:rFonts w:cs="Arial" w:ascii="Arial" w:hAnsi="Arial"/>
        </w:rPr>
      </w:r>
    </w:p>
    <w:p>
      <w:pPr>
        <w:pStyle w:val="Normal"/>
        <w:tabs>
          <w:tab w:val="left" w:pos="1701" w:leader="none"/>
          <w:tab w:val="left" w:pos="5670" w:leader="none"/>
        </w:tabs>
        <w:rPr>
          <w:rFonts w:ascii="Arial" w:hAnsi="Arial" w:cs="Arial"/>
        </w:rPr>
      </w:pPr>
      <w:r>
        <w:rPr>
          <w:rFonts w:cs="Arial" w:ascii="Arial" w:hAnsi="Arial"/>
        </w:rPr>
      </w:r>
    </w:p>
    <w:p>
      <w:pPr>
        <w:pStyle w:val="Normal"/>
        <w:tabs>
          <w:tab w:val="left" w:pos="1701" w:leader="none"/>
          <w:tab w:val="left" w:pos="5670" w:leader="none"/>
        </w:tabs>
        <w:rPr>
          <w:rFonts w:ascii="Arial" w:hAnsi="Arial" w:cs="Arial"/>
        </w:rPr>
      </w:pPr>
      <w:r>
        <w:rPr>
          <w:rFonts w:cs="Arial" w:ascii="Arial" w:hAnsi="Arial"/>
        </w:rPr>
      </w:r>
    </w:p>
    <w:p>
      <w:pPr>
        <w:pStyle w:val="Normal"/>
        <w:tabs>
          <w:tab w:val="left" w:pos="1701" w:leader="none"/>
          <w:tab w:val="left" w:pos="5670" w:leader="none"/>
        </w:tabs>
        <w:rPr>
          <w:rFonts w:ascii="Arial" w:hAnsi="Arial" w:cs="Arial"/>
        </w:rPr>
      </w:pPr>
      <w:r>
        <w:rPr>
          <w:rFonts w:cs="Arial" w:ascii="Arial" w:hAnsi="Arial"/>
        </w:rPr>
      </w:r>
    </w:p>
    <w:p>
      <w:pPr>
        <w:pStyle w:val="Normal"/>
        <w:tabs>
          <w:tab w:val="left" w:pos="1701" w:leader="none"/>
          <w:tab w:val="left" w:pos="5670" w:leader="none"/>
        </w:tabs>
        <w:rPr>
          <w:rFonts w:ascii="Arial" w:hAnsi="Arial" w:cs="Arial"/>
        </w:rPr>
      </w:pPr>
      <w:r>
        <w:rPr>
          <w:rFonts w:cs="Arial" w:ascii="Arial" w:hAnsi="Arial"/>
        </w:rPr>
      </w:r>
    </w:p>
    <w:p>
      <w:pPr>
        <w:pStyle w:val="Normal"/>
        <w:tabs>
          <w:tab w:val="left" w:pos="1701" w:leader="none"/>
          <w:tab w:val="left" w:pos="5670" w:leader="none"/>
        </w:tabs>
        <w:rPr>
          <w:rFonts w:ascii="Arial" w:hAnsi="Arial" w:cs="Arial"/>
        </w:rPr>
      </w:pPr>
      <w:r>
        <w:rPr>
          <w:rFonts w:cs="Arial" w:ascii="Arial" w:hAnsi="Arial"/>
        </w:rPr>
      </w:r>
    </w:p>
    <w:p>
      <w:pPr>
        <w:pStyle w:val="Normal"/>
        <w:tabs>
          <w:tab w:val="left" w:pos="1701" w:leader="none"/>
          <w:tab w:val="left" w:pos="5670" w:leader="none"/>
        </w:tabs>
        <w:rPr>
          <w:rFonts w:ascii="Arial" w:hAnsi="Arial" w:cs="Arial"/>
        </w:rPr>
      </w:pPr>
      <w:r>
        <w:rPr>
          <w:rFonts w:cs="Arial" w:ascii="Arial" w:hAnsi="Arial"/>
        </w:rPr>
      </w:r>
    </w:p>
    <w:p>
      <w:pPr>
        <w:pStyle w:val="Normal"/>
        <w:tabs>
          <w:tab w:val="left" w:pos="1701" w:leader="none"/>
          <w:tab w:val="left" w:pos="5670" w:leader="none"/>
        </w:tabs>
        <w:rPr>
          <w:rFonts w:ascii="Arial" w:hAnsi="Arial" w:cs="Arial"/>
        </w:rPr>
      </w:pPr>
      <w:r>
        <w:rPr>
          <w:rFonts w:cs="Arial" w:ascii="Arial" w:hAnsi="Arial"/>
        </w:rPr>
      </w:r>
    </w:p>
    <w:p>
      <w:pPr>
        <w:pStyle w:val="Normal"/>
        <w:tabs>
          <w:tab w:val="left" w:pos="1701" w:leader="none"/>
          <w:tab w:val="left" w:pos="5670" w:leader="none"/>
        </w:tabs>
        <w:rPr>
          <w:rFonts w:ascii="Arial" w:hAnsi="Arial" w:cs="Arial"/>
          <w:b/>
          <w:b/>
          <w:bCs/>
        </w:rPr>
      </w:pPr>
      <w:r>
        <w:rPr>
          <w:rFonts w:cs="Arial" w:ascii="Arial" w:hAnsi="Arial"/>
          <w:b/>
          <w:bCs/>
        </w:rPr>
      </w:r>
    </w:p>
    <w:p>
      <w:pPr>
        <w:pStyle w:val="Normal"/>
        <w:tabs>
          <w:tab w:val="left" w:pos="1701" w:leader="none"/>
          <w:tab w:val="left" w:pos="5103" w:leader="none"/>
        </w:tabs>
        <w:jc w:val="both"/>
        <w:rPr/>
      </w:pPr>
      <w:r>
        <w:rPr>
          <w:rFonts w:eastAsia="Arial" w:cs="Arial" w:ascii="Arial" w:hAnsi="Arial"/>
        </w:rPr>
        <w:t xml:space="preserve">  </w:t>
      </w:r>
      <w:r>
        <w:rPr>
          <w:rFonts w:cs="Arial" w:ascii="Arial" w:hAnsi="Arial"/>
        </w:rPr>
        <w:t xml:space="preserve">Membre du CSE                        Membre du CSE                          Membre du CSE                  </w:t>
      </w:r>
    </w:p>
    <w:p>
      <w:pPr>
        <w:pStyle w:val="Normal"/>
        <w:tabs>
          <w:tab w:val="left" w:pos="5760" w:leader="none"/>
        </w:tabs>
        <w:jc w:val="both"/>
        <w:rPr>
          <w:rFonts w:ascii="Arial" w:hAnsi="Arial" w:cs="Arial"/>
        </w:rPr>
      </w:pPr>
      <w:r>
        <w:rPr>
          <w:rFonts w:cs="Arial" w:ascii="Arial" w:hAnsi="Arial"/>
        </w:rPr>
      </w:r>
    </w:p>
    <w:sectPr>
      <w:footerReference w:type="default" r:id="rId5"/>
      <w:type w:val="nextPage"/>
      <w:pgSz w:w="11906" w:h="16838"/>
      <w:pgMar w:left="1417" w:right="1417" w:header="0"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Franklin Gothic Book">
    <w:charset w:val="00"/>
    <w:family w:val="swiss"/>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Helvetica">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Arial" w:hAnsi="Arial" w:cs="Arial"/>
        <w:b/>
        <w:b/>
        <w:sz w:val="16"/>
        <w:szCs w:val="16"/>
        <w:lang w:val="en-GB" w:eastAsia="en-GB"/>
      </w:rPr>
    </w:pPr>
    <w:r>
      <w:rPr>
        <w:rFonts w:cs="Arial" w:ascii="Arial" w:hAnsi="Arial"/>
        <w:b/>
        <w:sz w:val="16"/>
        <w:szCs w:val="16"/>
        <w:lang w:val="en-GB" w:eastAsia="en-GB"/>
      </w:rPr>
      <mc:AlternateContent>
        <mc:Choice Requires="wps">
          <w:drawing>
            <wp:anchor behindDoc="1" distT="0" distB="0" distL="114935" distR="114935" simplePos="0" locked="0" layoutInCell="1" allowOverlap="1" relativeHeight="5">
              <wp:simplePos x="0" y="0"/>
              <wp:positionH relativeFrom="page">
                <wp:posOffset>6670040</wp:posOffset>
              </wp:positionH>
              <wp:positionV relativeFrom="page">
                <wp:posOffset>9864725</wp:posOffset>
              </wp:positionV>
              <wp:extent cx="368935" cy="274955"/>
              <wp:effectExtent l="0" t="0" r="0" b="0"/>
              <wp:wrapNone/>
              <wp:docPr id="3" name="Forme automatique 1"/>
              <a:graphic xmlns:a="http://schemas.openxmlformats.org/drawingml/2006/main">
                <a:graphicData uri="http://schemas.microsoft.com/office/word/2010/wordprocessingShape">
                  <wps:wsp>
                    <wps:cNvSpPr/>
                    <wps:spPr>
                      <a:xfrm>
                        <a:off x="0" y="0"/>
                        <a:ext cx="368280" cy="274320"/>
                      </a:xfrm>
                      <a:prstGeom prst="foldedCorner">
                        <a:avLst>
                          <a:gd name="adj" fmla="val 34560"/>
                        </a:avLst>
                      </a:prstGeom>
                      <a:solidFill>
                        <a:srgbClr val="ffffff"/>
                      </a:solidFill>
                      <a:ln w="3240">
                        <a:solidFill>
                          <a:srgbClr val="808080"/>
                        </a:solidFill>
                        <a:miter/>
                      </a:ln>
                    </wps:spPr>
                    <wps:style>
                      <a:lnRef idx="0"/>
                      <a:fillRef idx="0"/>
                      <a:effectRef idx="0"/>
                      <a:fontRef idx="minor"/>
                    </wps:style>
                    <wps:txbx>
                      <w:txbxContent>
                        <w:p>
                          <w:pPr>
                            <w:overflowPunct w:val="false"/>
                            <w:bidi w:val="0"/>
                            <w:jc w:val="center"/>
                            <w:rPr/>
                          </w:pPr>
                          <w:r>
                            <w:rPr>
                              <w:rFonts w:eastAsia="Times New Roman" w:cs="Times New Roman" w:ascii="Times New Roman" w:hAnsi="Times New Roman"/>
                              <w:color w:val="auto"/>
                              <w:lang w:val="en-GB" w:bidi="ar-SA"/>
                            </w:rPr>
                            <w:t>4</w:t>
                          </w:r>
                        </w:p>
                      </w:txbxContent>
                    </wps:txbx>
                    <wps:bodyPr>
                      <a:noAutofit/>
                    </wps:bodyPr>
                  </wps:wsp>
                </a:graphicData>
              </a:graphic>
            </wp:anchor>
          </w:drawing>
        </mc:Choice>
        <mc:Fallback>
          <w:pict>
            <v:shapetype id="shapetype_65" coordsize="21600,21600" o:spt="65" adj="3600" path="m,l21600,l21600@4l@2,21600l,21600xnsem@2,21600l@3@5l21600@4xnsem@2,21600l@3@5l21600@4l@2,21600l,21600l,l21600,l21600@4nfe">
              <v:stroke joinstyle="miter"/>
              <v:formulas>
                <v:f eqn="val #0"/>
                <v:f eqn="prod @0 1 5"/>
                <v:f eqn="sum width 0 @0"/>
                <v:f eqn="sum @2 @1 0"/>
                <v:f eqn="sum height 0 @0"/>
                <v:f eqn="sum @4 @1 0"/>
              </v:formulas>
              <v:path gradientshapeok="t" o:connecttype="rect" textboxrect="0,0,21600,@4"/>
              <v:handles>
                <v:h position="@2,21600"/>
              </v:handles>
            </v:shapetype>
            <v:shape id="shape_0" ID="Forme automatique 1" fillcolor="white" stroked="t" style="position:absolute;margin-left:525.2pt;margin-top:776.75pt;width:28.95pt;height:21.55pt;mso-position-horizontal-relative:page;mso-position-vertical-relative:page" type="shapetype_65">
              <v:textbox>
                <w:txbxContent>
                  <w:p>
                    <w:pPr>
                      <w:overflowPunct w:val="false"/>
                      <w:bidi w:val="0"/>
                      <w:jc w:val="center"/>
                      <w:rPr/>
                    </w:pPr>
                    <w:r>
                      <w:rPr>
                        <w:rFonts w:eastAsia="Times New Roman" w:cs="Times New Roman" w:ascii="Times New Roman" w:hAnsi="Times New Roman"/>
                        <w:color w:val="auto"/>
                        <w:lang w:val="en-GB" w:bidi="ar-SA"/>
                      </w:rPr>
                      <w:t>4</w:t>
                    </w:r>
                  </w:p>
                </w:txbxContent>
              </v:textbox>
              <w10:wrap type="square"/>
              <v:fill o:detectmouseclick="t" type="solid" color2="black"/>
              <v:stroke color="gray" weight="3240" joinstyle="miter" endcap="square"/>
            </v:shape>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ind w:left="360" w:hanging="360"/>
      </w:pPr>
      <w:rPr>
        <w:u w:val="single"/>
        <w:b/>
        <w:rFonts w:ascii="Arial" w:hAnsi="Arial" w:cs="Arial"/>
      </w:rPr>
    </w:lvl>
    <w:lvl w:ilvl="1">
      <w:start w:val="1"/>
      <w:numFmt w:val="decimal"/>
      <w:lvlText w:val="%1.%2"/>
      <w:lvlJc w:val="left"/>
      <w:pPr>
        <w:ind w:left="360" w:hanging="360"/>
      </w:pPr>
      <w:rPr>
        <w:u w:val="single"/>
        <w:b/>
        <w:rFonts w:ascii="Arial" w:hAnsi="Arial" w:cs="Arial"/>
      </w:rPr>
    </w:lvl>
    <w:lvl w:ilvl="2">
      <w:start w:val="1"/>
      <w:numFmt w:val="decimal"/>
      <w:lvlText w:val="%1.%2.%3"/>
      <w:lvlJc w:val="left"/>
      <w:pPr>
        <w:ind w:left="720" w:hanging="720"/>
      </w:pPr>
      <w:rPr>
        <w:u w:val="single"/>
        <w:b/>
        <w:rFonts w:ascii="Arial" w:hAnsi="Arial" w:cs="Arial"/>
      </w:rPr>
    </w:lvl>
    <w:lvl w:ilvl="3">
      <w:start w:val="1"/>
      <w:numFmt w:val="decimal"/>
      <w:lvlText w:val="%1.%2.%3.%4"/>
      <w:lvlJc w:val="left"/>
      <w:pPr>
        <w:ind w:left="1080" w:hanging="1080"/>
      </w:pPr>
      <w:rPr>
        <w:u w:val="single"/>
        <w:b/>
        <w:rFonts w:ascii="Arial" w:hAnsi="Arial" w:cs="Arial"/>
      </w:rPr>
    </w:lvl>
    <w:lvl w:ilvl="4">
      <w:start w:val="1"/>
      <w:numFmt w:val="decimal"/>
      <w:lvlText w:val="%1.%2.%3.%4.%5"/>
      <w:lvlJc w:val="left"/>
      <w:pPr>
        <w:ind w:left="1080" w:hanging="1080"/>
      </w:pPr>
      <w:rPr>
        <w:u w:val="single"/>
        <w:b/>
        <w:rFonts w:ascii="Arial" w:hAnsi="Arial" w:cs="Arial"/>
      </w:rPr>
    </w:lvl>
    <w:lvl w:ilvl="5">
      <w:start w:val="1"/>
      <w:numFmt w:val="decimal"/>
      <w:lvlText w:val="%1.%2.%3.%4.%5.%6"/>
      <w:lvlJc w:val="left"/>
      <w:pPr>
        <w:ind w:left="1440" w:hanging="1440"/>
      </w:pPr>
      <w:rPr>
        <w:u w:val="single"/>
        <w:b/>
        <w:rFonts w:ascii="Arial" w:hAnsi="Arial" w:cs="Arial"/>
      </w:rPr>
    </w:lvl>
    <w:lvl w:ilvl="6">
      <w:start w:val="1"/>
      <w:numFmt w:val="decimal"/>
      <w:lvlText w:val="%1.%2.%3.%4.%5.%6.%7"/>
      <w:lvlJc w:val="left"/>
      <w:pPr>
        <w:ind w:left="1440" w:hanging="1440"/>
      </w:pPr>
      <w:rPr>
        <w:u w:val="single"/>
        <w:b/>
        <w:rFonts w:ascii="Arial" w:hAnsi="Arial" w:cs="Arial"/>
      </w:rPr>
    </w:lvl>
    <w:lvl w:ilvl="7">
      <w:start w:val="1"/>
      <w:numFmt w:val="decimal"/>
      <w:lvlText w:val="%1.%2.%3.%4.%5.%6.%7.%8"/>
      <w:lvlJc w:val="left"/>
      <w:pPr>
        <w:ind w:left="1800" w:hanging="1800"/>
      </w:pPr>
      <w:rPr>
        <w:u w:val="single"/>
        <w:b/>
        <w:rFonts w:ascii="Arial" w:hAnsi="Arial" w:cs="Arial"/>
      </w:rPr>
    </w:lvl>
    <w:lvl w:ilvl="8">
      <w:start w:val="1"/>
      <w:numFmt w:val="decimal"/>
      <w:lvlText w:val="%1.%2.%3.%4.%5.%6.%7.%8.%9"/>
      <w:lvlJc w:val="left"/>
      <w:pPr>
        <w:ind w:left="1800" w:hanging="1800"/>
      </w:pPr>
      <w:rPr>
        <w:u w:val="single"/>
        <w:b/>
        <w:rFonts w:ascii="Arial" w:hAnsi="Arial" w:cs="Aria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fr-FR" w:bidi="ar-SA" w:eastAsia="zh-CN"/>
    </w:rPr>
  </w:style>
  <w:style w:type="character" w:styleId="WW8Num1z0">
    <w:name w:val="WW8Num1z0"/>
    <w:qFormat/>
    <w:rPr>
      <w:rFonts w:ascii="Franklin Gothic Book" w:hAnsi="Franklin Gothic Book" w:eastAsia="Calibri"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Arial" w:hAnsi="Arial" w:eastAsia="Times New Roman" w:cs="Aria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Arial" w:hAnsi="Arial" w:cs="Arial"/>
      <w:b/>
      <w:u w:val="single"/>
    </w:rPr>
  </w:style>
  <w:style w:type="character" w:styleId="WW8Num7z0">
    <w:name w:val="WW8Num7z0"/>
    <w:qFormat/>
    <w:rPr>
      <w:rFonts w:ascii="Arial" w:hAnsi="Arial" w:eastAsia="Times New Roman" w:cs="Arial"/>
      <w:b/>
      <w:color w:val="000000"/>
      <w:sz w:val="24"/>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Arial" w:hAnsi="Arial" w:eastAsia="Times New Roman" w:cs="Aria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Wingdings" w:hAnsi="Wingdings" w:cs="Wingdings"/>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ascii="Courier New" w:hAnsi="Courier New" w:cs="Courier New"/>
    </w:rPr>
  </w:style>
  <w:style w:type="character" w:styleId="WW8Num14z1">
    <w:name w:val="WW8Num14z1"/>
    <w:qFormat/>
    <w:rPr>
      <w:rFonts w:ascii="Arial" w:hAnsi="Arial" w:eastAsia="Times New Roman" w:cs="Arial"/>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u w:val="single"/>
    </w:rPr>
  </w:style>
  <w:style w:type="character" w:styleId="Policepardfaut">
    <w:name w:val="Police par défaut"/>
    <w:qFormat/>
    <w:rPr/>
  </w:style>
  <w:style w:type="character" w:styleId="InternetLink">
    <w:name w:val="Internet Link"/>
    <w:rPr>
      <w:color w:val="0000FF"/>
      <w:u w:val="single"/>
    </w:rPr>
  </w:style>
  <w:style w:type="character" w:styleId="TextedebullesCar">
    <w:name w:val="Texte de bulles Car"/>
    <w:qFormat/>
    <w:rPr>
      <w:rFonts w:ascii="Tahoma" w:hAnsi="Tahoma" w:cs="Tahoma"/>
      <w:sz w:val="16"/>
      <w:szCs w:val="16"/>
    </w:rPr>
  </w:style>
  <w:style w:type="character" w:styleId="PieddepageCar">
    <w:name w:val="Pied de page Car"/>
    <w:qFormat/>
    <w:rPr>
      <w:sz w:val="24"/>
      <w:szCs w:val="24"/>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Textedebulles">
    <w:name w:val="Texte de bulles"/>
    <w:basedOn w:val="Normal"/>
    <w:qFormat/>
    <w:pPr/>
    <w:rPr>
      <w:rFonts w:ascii="Tahoma" w:hAnsi="Tahoma" w:cs="Tahoma"/>
      <w:sz w:val="16"/>
      <w:szCs w:val="16"/>
    </w:rPr>
  </w:style>
  <w:style w:type="paragraph" w:styleId="Paragraphedeliste">
    <w:name w:val="Paragraphe de liste"/>
    <w:basedOn w:val="Normal"/>
    <w:qFormat/>
    <w:pPr>
      <w:spacing w:lineRule="auto" w:line="276" w:before="0" w:after="200"/>
      <w:ind w:left="720" w:hanging="0"/>
      <w:contextualSpacing/>
    </w:pPr>
    <w:rPr>
      <w:rFonts w:ascii="Calibri" w:hAnsi="Calibri" w:eastAsia="Calibri" w:cs="Times New Roman"/>
      <w:sz w:val="22"/>
      <w:szCs w:val="22"/>
    </w:rPr>
  </w:style>
  <w:style w:type="paragraph" w:styleId="Alinea">
    <w:name w:val="Alinea"/>
    <w:basedOn w:val="Normal"/>
    <w:qFormat/>
    <w:pPr>
      <w:tabs>
        <w:tab w:val="right" w:pos="7088" w:leader="dot"/>
      </w:tabs>
      <w:autoSpaceDE w:val="false"/>
      <w:spacing w:before="150" w:after="0"/>
      <w:jc w:val="both"/>
    </w:pPr>
    <w:rPr>
      <w:rFonts w:ascii="Helvetica" w:hAnsi="Helvetica" w:cs="Helvetica"/>
      <w:sz w:val="20"/>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casinocabourg.com/" TargetMode="External"/><Relationship Id="rId4" Type="http://schemas.openxmlformats.org/officeDocument/2006/relationships/hyperlink" Target="http://www.casinocabourg.com/"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257</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2020-02-25T17:06:00Z</dcterms:created>
  <dc:creator/>
  <dc:description/>
  <dc:language>en-GB</dc:language>
  <cp:lastModifiedBy/>
  <cp:lastPrinted>2022-01-28T12:23:00Z</cp:lastPrinted>
  <dcterms:modified xsi:type="dcterms:W3CDTF">2022-02-03T11:32:00Z</dcterms:modified>
  <cp:revision>20</cp:revision>
  <dc:subject/>
  <dc:title>Ce compte-rendu fait suite aux demandes des syndicats représentatifs du casino de Cabourg , le syndicat FO représenté par Mr Fabrice Lecoquil , membre du comité de direction , et le syndicat CFDT représenté par Mr David Toutain , technicien machines à so</dc:title>
</cp:coreProperties>
</file>