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5C3928" w:rsidR="00035D39" w:rsidRDefault="006C09C1" w:rsidRPr="00294BA0">
      <w:pPr>
        <w:rPr>
          <w:b/>
          <w:sz w:val="24"/>
          <w:szCs w:val="24"/>
        </w:rPr>
      </w:pPr>
      <w:r w:rsidRPr="00294BA0">
        <w:rPr>
          <w:noProof/>
          <w:lang w:eastAsia="fr-FR"/>
        </w:rPr>
        <w:drawing>
          <wp:inline distB="0" distL="0" distR="0" distT="0" wp14:anchorId="29A94BCD" wp14:editId="5ECDCBEA">
            <wp:extent cx="2825750" cy="869950"/>
            <wp:effectExtent b="6350" l="0" r="0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 noChangeAspect="1"/>
                    </pic:cNvPicPr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1B2181" w:rsidR="00391959" w:rsidRDefault="00391959" w:rsidRPr="00294BA0">
      <w:pPr>
        <w:rPr>
          <w:b/>
          <w:sz w:val="24"/>
          <w:szCs w:val="24"/>
        </w:rPr>
      </w:pPr>
    </w:p>
    <w:p w:rsidP="00A2019C" w:rsidR="00893448" w:rsidRDefault="00C84FC9" w:rsidRPr="00294BA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sz w:val="24"/>
          <w:szCs w:val="24"/>
        </w:rPr>
      </w:pPr>
      <w:r w:rsidRPr="00294BA0">
        <w:rPr>
          <w:b/>
          <w:sz w:val="24"/>
          <w:szCs w:val="24"/>
        </w:rPr>
        <w:t xml:space="preserve">ACCORD PORTANT SUR LA </w:t>
      </w:r>
      <w:r w:rsidR="00492067" w:rsidRPr="00294BA0">
        <w:rPr>
          <w:b/>
          <w:sz w:val="24"/>
          <w:szCs w:val="24"/>
        </w:rPr>
        <w:t>NEGOCIATION ANNUELLE</w:t>
      </w:r>
      <w:r w:rsidR="00B91A1F" w:rsidRPr="00294BA0">
        <w:rPr>
          <w:b/>
          <w:sz w:val="24"/>
          <w:szCs w:val="24"/>
        </w:rPr>
        <w:t xml:space="preserve"> SUR LA REMUNERATION, LE TEMPS DE TRAVAIL</w:t>
      </w:r>
      <w:r w:rsidR="00101984" w:rsidRPr="00294BA0">
        <w:rPr>
          <w:b/>
          <w:sz w:val="24"/>
          <w:szCs w:val="24"/>
        </w:rPr>
        <w:t xml:space="preserve">, </w:t>
      </w:r>
      <w:r w:rsidR="00B91A1F" w:rsidRPr="00294BA0">
        <w:rPr>
          <w:b/>
          <w:sz w:val="24"/>
          <w:szCs w:val="24"/>
        </w:rPr>
        <w:t>LE PARTAGE DE LA VALEUR AJOUTEE</w:t>
      </w:r>
      <w:r w:rsidR="00101984" w:rsidRPr="00294BA0">
        <w:rPr>
          <w:b/>
          <w:sz w:val="24"/>
          <w:szCs w:val="24"/>
        </w:rPr>
        <w:t xml:space="preserve">, L’EGALITE FEMMES / HOMMES </w:t>
      </w:r>
      <w:r w:rsidR="00A2019C" w:rsidRPr="00294BA0">
        <w:rPr>
          <w:b/>
          <w:sz w:val="24"/>
          <w:szCs w:val="24"/>
        </w:rPr>
        <w:br/>
      </w:r>
      <w:r w:rsidR="00101984" w:rsidRPr="00294BA0">
        <w:rPr>
          <w:b/>
          <w:sz w:val="24"/>
          <w:szCs w:val="24"/>
        </w:rPr>
        <w:t>ET LA QUALITE DE VIE AU TRAVAIL</w:t>
      </w:r>
      <w:r w:rsidR="00492067" w:rsidRPr="00294BA0">
        <w:rPr>
          <w:b/>
          <w:sz w:val="24"/>
          <w:szCs w:val="24"/>
        </w:rPr>
        <w:t xml:space="preserve"> 202</w:t>
      </w:r>
      <w:r w:rsidR="00935CDB">
        <w:rPr>
          <w:b/>
          <w:sz w:val="24"/>
          <w:szCs w:val="24"/>
        </w:rPr>
        <w:t>3</w:t>
      </w:r>
      <w:r w:rsidR="00101984" w:rsidRPr="00294BA0">
        <w:rPr>
          <w:b/>
          <w:sz w:val="24"/>
          <w:szCs w:val="24"/>
        </w:rPr>
        <w:t xml:space="preserve"> SUR LES RESULTATS 202</w:t>
      </w:r>
      <w:r w:rsidR="00935CDB">
        <w:rPr>
          <w:b/>
          <w:sz w:val="24"/>
          <w:szCs w:val="24"/>
        </w:rPr>
        <w:t>2</w:t>
      </w:r>
    </w:p>
    <w:p w:rsidR="00713D53" w:rsidRDefault="00713D53" w:rsidRPr="00294BA0">
      <w:pPr>
        <w:rPr>
          <w:b/>
        </w:rPr>
      </w:pPr>
    </w:p>
    <w:p w:rsidR="008729BC" w:rsidRDefault="008729BC" w:rsidRPr="00294BA0">
      <w:pPr>
        <w:rPr>
          <w:rFonts w:cstheme="minorHAnsi"/>
          <w:b/>
        </w:rPr>
      </w:pPr>
      <w:r w:rsidRPr="00294BA0">
        <w:rPr>
          <w:rFonts w:cstheme="minorHAnsi"/>
          <w:b/>
        </w:rPr>
        <w:t>ENTRE</w:t>
      </w:r>
      <w:r w:rsidR="00CB402A" w:rsidRPr="00294BA0">
        <w:rPr>
          <w:rFonts w:cstheme="minorHAnsi"/>
          <w:b/>
        </w:rPr>
        <w:t xml:space="preserve"> LES SOUSSIGNES</w:t>
      </w:r>
      <w:r w:rsidRPr="00294BA0">
        <w:rPr>
          <w:rFonts w:cstheme="minorHAnsi"/>
          <w:b/>
        </w:rPr>
        <w:t> :</w:t>
      </w:r>
    </w:p>
    <w:p w:rsidP="008729BC" w:rsidR="00492067" w:rsidRDefault="00492067" w:rsidRPr="00294BA0">
      <w:pPr>
        <w:jc w:val="both"/>
        <w:rPr>
          <w:rFonts w:cstheme="minorHAnsi"/>
        </w:rPr>
      </w:pPr>
      <w:r w:rsidRPr="00294BA0">
        <w:rPr>
          <w:rFonts w:cstheme="minorHAnsi"/>
        </w:rPr>
        <w:t xml:space="preserve">La société FARMACLAIR SAS </w:t>
      </w:r>
      <w:r w:rsidR="00567F39" w:rsidRPr="00294BA0">
        <w:rPr>
          <w:rFonts w:cstheme="minorHAnsi"/>
        </w:rPr>
        <w:t xml:space="preserve">au capital de 350.000€ </w:t>
      </w:r>
      <w:r w:rsidRPr="00294BA0">
        <w:rPr>
          <w:rFonts w:cstheme="minorHAnsi"/>
        </w:rPr>
        <w:t>dont le siège</w:t>
      </w:r>
      <w:r w:rsidR="008729BC" w:rsidRPr="00294BA0">
        <w:rPr>
          <w:rFonts w:cstheme="minorHAnsi"/>
        </w:rPr>
        <w:t xml:space="preserve"> social</w:t>
      </w:r>
      <w:r w:rsidRPr="00294BA0">
        <w:rPr>
          <w:rFonts w:cstheme="minorHAnsi"/>
        </w:rPr>
        <w:t xml:space="preserve"> est sis au 440 Avenue du Général De Gaulle</w:t>
      </w:r>
      <w:r w:rsidR="008729BC" w:rsidRPr="00294BA0">
        <w:rPr>
          <w:rFonts w:cstheme="minorHAnsi"/>
        </w:rPr>
        <w:t xml:space="preserve"> 14200 HEROUVILLE ST CLAIR,</w:t>
      </w:r>
    </w:p>
    <w:p w:rsidP="008729BC" w:rsidR="008729BC" w:rsidRDefault="008729BC" w:rsidRPr="00294BA0">
      <w:pPr>
        <w:jc w:val="both"/>
        <w:rPr>
          <w:rFonts w:cstheme="minorHAnsi"/>
        </w:rPr>
      </w:pPr>
      <w:r w:rsidRPr="00294BA0">
        <w:rPr>
          <w:rFonts w:cstheme="minorHAnsi"/>
        </w:rPr>
        <w:t>Représentée</w:t>
      </w:r>
      <w:r w:rsidR="00CB402A" w:rsidRPr="00294BA0">
        <w:rPr>
          <w:rFonts w:cstheme="minorHAnsi"/>
        </w:rPr>
        <w:t xml:space="preserve"> aux présentes</w:t>
      </w:r>
      <w:r w:rsidRPr="00294BA0">
        <w:rPr>
          <w:rFonts w:cstheme="minorHAnsi"/>
        </w:rPr>
        <w:t xml:space="preserve"> par </w:t>
      </w:r>
      <w:r w:rsidR="00A42E96">
        <w:rPr>
          <w:rFonts w:cstheme="minorHAnsi"/>
        </w:rPr>
        <w:t>XXX</w:t>
      </w:r>
      <w:r w:rsidRPr="00294BA0">
        <w:rPr>
          <w:rFonts w:cstheme="minorHAnsi"/>
        </w:rPr>
        <w:t xml:space="preserve">, agissant </w:t>
      </w:r>
      <w:r w:rsidR="00CB402A" w:rsidRPr="00294BA0">
        <w:rPr>
          <w:rFonts w:cstheme="minorHAnsi"/>
        </w:rPr>
        <w:t>en qualité de Directeur Général et ayant tous pouvoirs à l’effet des présentes,</w:t>
      </w:r>
    </w:p>
    <w:p w:rsidP="008729BC" w:rsidR="008729BC" w:rsidRDefault="008729BC" w:rsidRPr="00294BA0">
      <w:pPr>
        <w:jc w:val="both"/>
        <w:rPr>
          <w:rFonts w:cstheme="minorHAnsi"/>
        </w:rPr>
      </w:pPr>
      <w:r w:rsidRPr="00294BA0">
        <w:rPr>
          <w:rFonts w:cstheme="minorHAnsi"/>
        </w:rPr>
        <w:t>D’une part,</w:t>
      </w:r>
    </w:p>
    <w:p w:rsidP="008729BC" w:rsidR="008729BC" w:rsidRDefault="008729BC" w:rsidRPr="00294BA0">
      <w:pPr>
        <w:jc w:val="both"/>
        <w:rPr>
          <w:rFonts w:cstheme="minorHAnsi"/>
          <w:b/>
        </w:rPr>
      </w:pPr>
      <w:r w:rsidRPr="00294BA0">
        <w:rPr>
          <w:rFonts w:cstheme="minorHAnsi"/>
          <w:b/>
        </w:rPr>
        <w:t>ET :</w:t>
      </w:r>
    </w:p>
    <w:p w:rsidP="008729BC" w:rsidR="008729BC" w:rsidRDefault="008729BC" w:rsidRPr="00294BA0">
      <w:pPr>
        <w:jc w:val="both"/>
        <w:rPr>
          <w:rFonts w:cstheme="minorHAnsi"/>
        </w:rPr>
      </w:pPr>
      <w:r w:rsidRPr="00294BA0">
        <w:rPr>
          <w:rFonts w:cstheme="minorHAnsi"/>
        </w:rPr>
        <w:t xml:space="preserve">La CGT, Organisation syndicale représentative au sens de l’article L. 2121-1 du Code du travail, représentée par </w:t>
      </w:r>
      <w:r w:rsidR="00A42E96">
        <w:rPr>
          <w:rFonts w:cstheme="minorHAnsi"/>
        </w:rPr>
        <w:t>XXX</w:t>
      </w:r>
      <w:r w:rsidRPr="00294BA0">
        <w:rPr>
          <w:rFonts w:cstheme="minorHAnsi"/>
        </w:rPr>
        <w:t>.</w:t>
      </w:r>
    </w:p>
    <w:p w:rsidP="008729BC" w:rsidR="008729BC" w:rsidRDefault="008729BC" w:rsidRPr="00294BA0">
      <w:pPr>
        <w:jc w:val="both"/>
        <w:rPr>
          <w:rFonts w:cstheme="minorHAnsi"/>
        </w:rPr>
      </w:pPr>
      <w:r w:rsidRPr="00294BA0">
        <w:rPr>
          <w:rFonts w:cstheme="minorHAnsi"/>
        </w:rPr>
        <w:t xml:space="preserve">L’UNSA, Organisation syndicale représentative au sens de l’article L. 2121-1 du Code du travail, représentée par </w:t>
      </w:r>
      <w:r w:rsidR="00A42E96">
        <w:rPr>
          <w:rFonts w:cstheme="minorHAnsi"/>
        </w:rPr>
        <w:t>XXX</w:t>
      </w:r>
      <w:r w:rsidR="00CA6D1A" w:rsidRPr="00294BA0">
        <w:rPr>
          <w:rFonts w:cstheme="minorHAnsi"/>
        </w:rPr>
        <w:t>.</w:t>
      </w:r>
    </w:p>
    <w:p w:rsidP="008729BC" w:rsidR="008729BC" w:rsidRDefault="008729BC" w:rsidRPr="00294BA0">
      <w:pPr>
        <w:jc w:val="both"/>
        <w:rPr>
          <w:rFonts w:cstheme="minorHAnsi"/>
        </w:rPr>
      </w:pPr>
      <w:r w:rsidRPr="00294BA0">
        <w:rPr>
          <w:rFonts w:cstheme="minorHAnsi"/>
        </w:rPr>
        <w:t>D’autre part.</w:t>
      </w:r>
    </w:p>
    <w:p w:rsidP="00A2019C" w:rsidR="008729BC" w:rsidRDefault="008729BC" w:rsidRPr="00294BA0">
      <w:pPr>
        <w:spacing w:before="480"/>
        <w:jc w:val="both"/>
        <w:rPr>
          <w:rFonts w:cstheme="minorHAnsi"/>
          <w:b/>
        </w:rPr>
      </w:pPr>
      <w:r w:rsidRPr="00294BA0">
        <w:rPr>
          <w:rFonts w:cstheme="minorHAnsi"/>
          <w:b/>
        </w:rPr>
        <w:t>Il a été convenu et arrêté ce qui suit :</w:t>
      </w:r>
    </w:p>
    <w:p w:rsidP="00A2019C" w:rsidR="00492067" w:rsidRDefault="008729BC" w:rsidRPr="00294BA0">
      <w:pPr>
        <w:spacing w:before="480"/>
        <w:jc w:val="both"/>
        <w:rPr>
          <w:rFonts w:cstheme="minorHAnsi"/>
          <w:b/>
          <w:u w:val="single"/>
        </w:rPr>
      </w:pPr>
      <w:r w:rsidRPr="00294BA0">
        <w:rPr>
          <w:rFonts w:cstheme="minorHAnsi"/>
          <w:b/>
          <w:u w:val="single"/>
        </w:rPr>
        <w:t>PREAMBULE</w:t>
      </w:r>
    </w:p>
    <w:p w:rsidP="00A2019C" w:rsidR="004C6251" w:rsidRDefault="00F85B76">
      <w:pPr>
        <w:jc w:val="both"/>
        <w:rPr>
          <w:rFonts w:cstheme="minorHAnsi"/>
        </w:rPr>
      </w:pPr>
      <w:r w:rsidRPr="00294BA0">
        <w:rPr>
          <w:rFonts w:cstheme="minorHAnsi"/>
        </w:rPr>
        <w:t>Conformément aux dispositions des articles L. 2242-1 et suivants du Code du travail, la Direction de la société Farmaclair et les Organisations syndicales représentatives se sont rencontrées au</w:t>
      </w:r>
      <w:r w:rsidR="00CB402A" w:rsidRPr="00294BA0">
        <w:rPr>
          <w:rFonts w:cstheme="minorHAnsi"/>
        </w:rPr>
        <w:t>x</w:t>
      </w:r>
      <w:r w:rsidR="00232829" w:rsidRPr="00294BA0">
        <w:rPr>
          <w:rFonts w:cstheme="minorHAnsi"/>
        </w:rPr>
        <w:t xml:space="preserve"> dates suivantes : les </w:t>
      </w:r>
      <w:r w:rsidR="00874CC8">
        <w:rPr>
          <w:rFonts w:cstheme="minorHAnsi"/>
        </w:rPr>
        <w:t>1</w:t>
      </w:r>
      <w:r w:rsidR="00874CC8" w:rsidRPr="00874CC8">
        <w:rPr>
          <w:rFonts w:cstheme="minorHAnsi"/>
          <w:vertAlign w:val="superscript"/>
        </w:rPr>
        <w:t>er</w:t>
      </w:r>
      <w:r w:rsidR="00874CC8">
        <w:rPr>
          <w:rFonts w:cstheme="minorHAnsi"/>
        </w:rPr>
        <w:t xml:space="preserve"> et 07 décembre</w:t>
      </w:r>
      <w:r w:rsidR="00CB402A" w:rsidRPr="00294BA0">
        <w:rPr>
          <w:rFonts w:cstheme="minorHAnsi"/>
        </w:rPr>
        <w:t xml:space="preserve"> 2022</w:t>
      </w:r>
      <w:r w:rsidRPr="00294BA0">
        <w:rPr>
          <w:rFonts w:cstheme="minorHAnsi"/>
        </w:rPr>
        <w:t xml:space="preserve">, le </w:t>
      </w:r>
      <w:r w:rsidR="00874CC8">
        <w:rPr>
          <w:rFonts w:cstheme="minorHAnsi"/>
        </w:rPr>
        <w:t>1</w:t>
      </w:r>
      <w:r w:rsidR="0028369F">
        <w:rPr>
          <w:rFonts w:cstheme="minorHAnsi"/>
        </w:rPr>
        <w:t>0 janvier 2023 et</w:t>
      </w:r>
      <w:r w:rsidR="00874CC8">
        <w:rPr>
          <w:rFonts w:cstheme="minorHAnsi"/>
        </w:rPr>
        <w:t xml:space="preserve"> le 12 janvier 2023</w:t>
      </w:r>
      <w:r w:rsidR="00577A94" w:rsidRPr="00294BA0">
        <w:rPr>
          <w:rFonts w:cstheme="minorHAnsi"/>
        </w:rPr>
        <w:t xml:space="preserve">. </w:t>
      </w:r>
      <w:r w:rsidR="00636943" w:rsidRPr="00294BA0">
        <w:rPr>
          <w:rFonts w:cstheme="minorHAnsi"/>
        </w:rPr>
        <w:t xml:space="preserve">Un Protocole d’accord </w:t>
      </w:r>
      <w:r w:rsidR="00577A94" w:rsidRPr="00294BA0">
        <w:rPr>
          <w:rFonts w:cstheme="minorHAnsi"/>
        </w:rPr>
        <w:t xml:space="preserve">portant sur le calendrier des réunions, les thèmes, le lieu de négociation ainsi que les documents à remettre aux Organisations Syndicales </w:t>
      </w:r>
      <w:r w:rsidR="00636943" w:rsidRPr="00294BA0">
        <w:rPr>
          <w:rFonts w:cstheme="minorHAnsi"/>
        </w:rPr>
        <w:t xml:space="preserve">a été signé le </w:t>
      </w:r>
      <w:r w:rsidR="00874CC8">
        <w:rPr>
          <w:rFonts w:cstheme="minorHAnsi"/>
        </w:rPr>
        <w:t>08 novembre</w:t>
      </w:r>
      <w:r w:rsidR="00232829" w:rsidRPr="00294BA0">
        <w:rPr>
          <w:rFonts w:cstheme="minorHAnsi"/>
        </w:rPr>
        <w:t xml:space="preserve"> 2022</w:t>
      </w:r>
      <w:r w:rsidR="00636943" w:rsidRPr="00294BA0">
        <w:rPr>
          <w:rFonts w:cstheme="minorHAnsi"/>
        </w:rPr>
        <w:t>.</w:t>
      </w:r>
    </w:p>
    <w:p w:rsidP="00952C12" w:rsidR="00952C12" w:rsidRDefault="00952C12" w:rsidRPr="00294BA0">
      <w:pPr>
        <w:spacing w:line="276" w:lineRule="auto"/>
        <w:jc w:val="both"/>
        <w:rPr>
          <w:rFonts w:cstheme="minorHAnsi"/>
        </w:rPr>
      </w:pPr>
      <w:r w:rsidRPr="00294BA0">
        <w:rPr>
          <w:rFonts w:cstheme="minorHAnsi"/>
        </w:rPr>
        <w:t>Ces réunions ont permis d’aborder l’ensemble des points prévus par la négociation annuelle obligatoire.</w:t>
      </w:r>
    </w:p>
    <w:p w:rsidP="00A2019C" w:rsidR="00D775F7" w:rsidRDefault="00D775F7">
      <w:pPr>
        <w:jc w:val="both"/>
        <w:rPr>
          <w:rFonts w:cstheme="minorHAnsi"/>
        </w:rPr>
      </w:pPr>
      <w:r w:rsidRPr="00294BA0">
        <w:rPr>
          <w:rFonts w:cstheme="minorHAnsi"/>
        </w:rPr>
        <w:t>Des éléments d’analyse, de contexte économique, de diag</w:t>
      </w:r>
      <w:r w:rsidR="00D51C60" w:rsidRPr="00294BA0">
        <w:rPr>
          <w:rFonts w:cstheme="minorHAnsi"/>
        </w:rPr>
        <w:t>nostic de situation ont été fou</w:t>
      </w:r>
      <w:r w:rsidRPr="00294BA0">
        <w:rPr>
          <w:rFonts w:cstheme="minorHAnsi"/>
        </w:rPr>
        <w:t>r</w:t>
      </w:r>
      <w:r w:rsidR="00D51C60" w:rsidRPr="00294BA0">
        <w:rPr>
          <w:rFonts w:cstheme="minorHAnsi"/>
        </w:rPr>
        <w:t>n</w:t>
      </w:r>
      <w:r w:rsidRPr="00294BA0">
        <w:rPr>
          <w:rFonts w:cstheme="minorHAnsi"/>
        </w:rPr>
        <w:t xml:space="preserve">is, par catégorie </w:t>
      </w:r>
      <w:r w:rsidR="0028369F">
        <w:rPr>
          <w:rFonts w:cstheme="minorHAnsi"/>
        </w:rPr>
        <w:t xml:space="preserve">de salarié </w:t>
      </w:r>
      <w:r w:rsidRPr="00294BA0">
        <w:rPr>
          <w:rFonts w:cstheme="minorHAnsi"/>
        </w:rPr>
        <w:t xml:space="preserve">et selon la répartition entre les hommes et les femmes, qui ont servi de socle pour la négociation. </w:t>
      </w:r>
      <w:r w:rsidR="0028369F">
        <w:rPr>
          <w:rFonts w:cstheme="minorHAnsi"/>
        </w:rPr>
        <w:t>L</w:t>
      </w:r>
      <w:r w:rsidR="00D51C60" w:rsidRPr="00294BA0">
        <w:rPr>
          <w:rFonts w:cstheme="minorHAnsi"/>
        </w:rPr>
        <w:t xml:space="preserve">’index égalité entre les femmes et les hommes ainsi que le suivi </w:t>
      </w:r>
      <w:r w:rsidR="00273E70">
        <w:rPr>
          <w:rFonts w:cstheme="minorHAnsi"/>
        </w:rPr>
        <w:t>du résultat 2021 inférieur à 75/100</w:t>
      </w:r>
      <w:r w:rsidR="00874CC8">
        <w:rPr>
          <w:rFonts w:cstheme="minorHAnsi"/>
        </w:rPr>
        <w:t xml:space="preserve"> </w:t>
      </w:r>
      <w:r w:rsidR="0028369F">
        <w:rPr>
          <w:rFonts w:cstheme="minorHAnsi"/>
        </w:rPr>
        <w:t>ont été utilisés e</w:t>
      </w:r>
      <w:r w:rsidR="0028369F" w:rsidRPr="00294BA0">
        <w:rPr>
          <w:rFonts w:cstheme="minorHAnsi"/>
        </w:rPr>
        <w:t xml:space="preserve">n appui du diagnostic de </w:t>
      </w:r>
      <w:r w:rsidR="0028369F">
        <w:rPr>
          <w:rFonts w:cstheme="minorHAnsi"/>
        </w:rPr>
        <w:t>la situation</w:t>
      </w:r>
      <w:r w:rsidR="00014AD7">
        <w:rPr>
          <w:rFonts w:cstheme="minorHAnsi"/>
        </w:rPr>
        <w:t xml:space="preserve">. Le suivi de l’indicateur a été réalisé avec les éléments de rémunération au 31/10/2022, montrant ainsi une situation de l’indicateur </w:t>
      </w:r>
      <w:r w:rsidR="00273E70">
        <w:rPr>
          <w:rFonts w:cstheme="minorHAnsi"/>
        </w:rPr>
        <w:t>au-delà de 75/100</w:t>
      </w:r>
      <w:r w:rsidR="00014AD7">
        <w:rPr>
          <w:rFonts w:cstheme="minorHAnsi"/>
        </w:rPr>
        <w:t xml:space="preserve"> pour l’année 2022.</w:t>
      </w:r>
    </w:p>
    <w:p w:rsidP="00A2019C" w:rsidR="00273E70" w:rsidRDefault="00273E70">
      <w:pPr>
        <w:jc w:val="both"/>
        <w:rPr>
          <w:rFonts w:cstheme="minorHAnsi"/>
        </w:rPr>
      </w:pPr>
      <w:r>
        <w:rPr>
          <w:rFonts w:cstheme="minorHAnsi"/>
        </w:rPr>
        <w:lastRenderedPageBreak/>
        <w:t>Enfin, le contexte économique globa</w:t>
      </w:r>
      <w:r w:rsidR="004C588C">
        <w:rPr>
          <w:rFonts w:cstheme="minorHAnsi"/>
        </w:rPr>
        <w:t>l a rendu l’année 2022 difficile</w:t>
      </w:r>
      <w:r w:rsidR="008E350E">
        <w:rPr>
          <w:rFonts w:cstheme="minorHAnsi"/>
        </w:rPr>
        <w:t xml:space="preserve"> pour le groupe FAREVA et pour Farmaclair</w:t>
      </w:r>
      <w:r>
        <w:rPr>
          <w:rFonts w:cstheme="minorHAnsi"/>
        </w:rPr>
        <w:t>. Les dépenses énergétiques vont lourdement peser en 2023 sur les comptes de l’entreprise</w:t>
      </w:r>
      <w:r w:rsidR="00952C12">
        <w:rPr>
          <w:rFonts w:cstheme="minorHAnsi"/>
        </w:rPr>
        <w:t>.</w:t>
      </w:r>
    </w:p>
    <w:p w:rsidP="00A2019C" w:rsidR="00952C12" w:rsidRDefault="00952C12" w:rsidRPr="00294BA0">
      <w:pPr>
        <w:jc w:val="both"/>
        <w:rPr>
          <w:rFonts w:cstheme="minorHAnsi"/>
        </w:rPr>
      </w:pPr>
      <w:r>
        <w:rPr>
          <w:rFonts w:cstheme="minorHAnsi"/>
        </w:rPr>
        <w:t>Malgré tout, la volonté de l’entreprise est d’accompagner au mieux le pouvoir d’achat des salariés, et de poursuivre la politique sociale. L’année 2022, marquée par l’inflation, a incité la Direction à négocier au plus t</w:t>
      </w:r>
      <w:r w:rsidR="006925F1">
        <w:rPr>
          <w:rFonts w:cstheme="minorHAnsi"/>
        </w:rPr>
        <w:t>ôt avec les partenaires sociaux afin d’appliquer les mesures salariales dès le mois de janvier.</w:t>
      </w:r>
    </w:p>
    <w:p w:rsidP="003D6E72" w:rsidR="006925F1" w:rsidRDefault="0078594F" w:rsidRPr="006925F1">
      <w:pPr>
        <w:spacing w:after="120" w:line="276" w:lineRule="auto"/>
        <w:jc w:val="both"/>
        <w:rPr>
          <w:rFonts w:cstheme="minorHAnsi"/>
        </w:rPr>
      </w:pPr>
      <w:r w:rsidRPr="00294BA0">
        <w:rPr>
          <w:rFonts w:cstheme="minorHAnsi"/>
        </w:rPr>
        <w:t>Au terme des négociations, les parties signataires sont ainsi parvenues à la construction d’une enveloppe globale de mesure</w:t>
      </w:r>
      <w:r w:rsidR="003D6E72">
        <w:rPr>
          <w:rFonts w:cstheme="minorHAnsi"/>
        </w:rPr>
        <w:t xml:space="preserve">s salariales comportant </w:t>
      </w:r>
      <w:r w:rsidR="0028369F">
        <w:rPr>
          <w:rFonts w:cstheme="minorHAnsi"/>
        </w:rPr>
        <w:t>une augmentation</w:t>
      </w:r>
      <w:r w:rsidR="0028369F" w:rsidRPr="00294BA0">
        <w:rPr>
          <w:rFonts w:cstheme="minorHAnsi"/>
        </w:rPr>
        <w:t xml:space="preserve"> générale</w:t>
      </w:r>
      <w:r w:rsidRPr="00294BA0">
        <w:rPr>
          <w:rFonts w:cstheme="minorHAnsi"/>
        </w:rPr>
        <w:t xml:space="preserve"> du salaire de base</w:t>
      </w:r>
      <w:r w:rsidR="003D6E72">
        <w:rPr>
          <w:rFonts w:cstheme="minorHAnsi"/>
        </w:rPr>
        <w:t xml:space="preserve"> et le versement d’une prime trimestrielle.</w:t>
      </w:r>
    </w:p>
    <w:p w:rsidP="00E83F41" w:rsidR="00E83F41" w:rsidRDefault="00713D53">
      <w:pPr>
        <w:jc w:val="both"/>
        <w:rPr>
          <w:rFonts w:cstheme="minorHAnsi"/>
        </w:rPr>
      </w:pPr>
      <w:r w:rsidRPr="00294BA0">
        <w:rPr>
          <w:rFonts w:cstheme="minorHAnsi"/>
        </w:rPr>
        <w:t>Un accord a donc été trouvé entre les parties signataires.</w:t>
      </w:r>
      <w:r w:rsidR="00E83F41" w:rsidRPr="00294BA0">
        <w:rPr>
          <w:rFonts w:cstheme="minorHAnsi"/>
        </w:rPr>
        <w:t xml:space="preserve"> Les principes de la politique salariale misent en œuvre au sein</w:t>
      </w:r>
      <w:r w:rsidR="0033046C">
        <w:rPr>
          <w:rFonts w:cstheme="minorHAnsi"/>
        </w:rPr>
        <w:t xml:space="preserve"> de Farmaclair sont les suivant</w:t>
      </w:r>
      <w:r w:rsidR="00E83F41" w:rsidRPr="00294BA0">
        <w:rPr>
          <w:rFonts w:cstheme="minorHAnsi"/>
        </w:rPr>
        <w:t>s :</w:t>
      </w:r>
    </w:p>
    <w:p w:rsidP="00E83F41" w:rsidR="00D63014" w:rsidRDefault="00D63014" w:rsidRPr="00294BA0">
      <w:pPr>
        <w:jc w:val="both"/>
        <w:rPr>
          <w:rFonts w:cstheme="minorHAnsi"/>
        </w:rPr>
      </w:pPr>
    </w:p>
    <w:p w:rsidP="005D4F18" w:rsidR="005D4F18" w:rsidRDefault="005D4F18" w:rsidRPr="000C624B">
      <w:pPr>
        <w:jc w:val="both"/>
        <w:rPr>
          <w:rFonts w:cstheme="minorHAnsi"/>
          <w:b/>
          <w:bCs/>
          <w:smallCaps/>
          <w:u w:val="single"/>
        </w:rPr>
      </w:pPr>
      <w:r w:rsidRPr="00294BA0">
        <w:rPr>
          <w:rFonts w:cstheme="minorHAnsi"/>
          <w:b/>
          <w:u w:val="single"/>
        </w:rPr>
        <w:t xml:space="preserve">ARTICLE 1 – </w:t>
      </w:r>
      <w:r w:rsidRPr="000C624B">
        <w:rPr>
          <w:rFonts w:cstheme="minorHAnsi"/>
          <w:b/>
          <w:bCs/>
          <w:smallCaps/>
          <w:u w:val="single"/>
        </w:rPr>
        <w:t>Durée de l’accord</w:t>
      </w:r>
    </w:p>
    <w:p w:rsidP="00D63014" w:rsidR="00D63014" w:rsidRDefault="005D4F18">
      <w:pPr>
        <w:jc w:val="both"/>
        <w:rPr>
          <w:rFonts w:cstheme="minorHAnsi"/>
        </w:rPr>
      </w:pPr>
      <w:r w:rsidRPr="00294BA0">
        <w:rPr>
          <w:rFonts w:cstheme="minorHAnsi"/>
        </w:rPr>
        <w:t xml:space="preserve">Le présent accord est établi pour </w:t>
      </w:r>
      <w:r w:rsidR="009F24FD">
        <w:rPr>
          <w:rFonts w:cstheme="minorHAnsi"/>
        </w:rPr>
        <w:t>l’année 2023</w:t>
      </w:r>
      <w:r w:rsidRPr="00294BA0">
        <w:rPr>
          <w:rFonts w:cstheme="minorHAnsi"/>
        </w:rPr>
        <w:t xml:space="preserve"> suivant la documentation relative à l’année 202</w:t>
      </w:r>
      <w:r w:rsidR="009F24FD">
        <w:rPr>
          <w:rFonts w:cstheme="minorHAnsi"/>
        </w:rPr>
        <w:t>2</w:t>
      </w:r>
      <w:r w:rsidRPr="00294BA0">
        <w:rPr>
          <w:rFonts w:cstheme="minorHAnsi"/>
        </w:rPr>
        <w:t xml:space="preserve">. Chaque mesure fera l’objet d’une date d’application </w:t>
      </w:r>
      <w:r w:rsidR="002C4027" w:rsidRPr="00294BA0">
        <w:rPr>
          <w:rFonts w:cstheme="minorHAnsi"/>
        </w:rPr>
        <w:t>définie ci-dessous.</w:t>
      </w:r>
    </w:p>
    <w:p w:rsidP="00D63014" w:rsidR="006925F1" w:rsidRDefault="006925F1">
      <w:pPr>
        <w:jc w:val="both"/>
        <w:rPr>
          <w:rFonts w:cstheme="minorHAnsi"/>
        </w:rPr>
      </w:pPr>
    </w:p>
    <w:p w:rsidP="00D63014" w:rsidR="00197FC7" w:rsidRDefault="001670A6" w:rsidRPr="00294BA0">
      <w:pPr>
        <w:jc w:val="both"/>
        <w:rPr>
          <w:rFonts w:cstheme="minorHAnsi"/>
          <w:b/>
          <w:u w:val="single"/>
        </w:rPr>
      </w:pPr>
      <w:r w:rsidRPr="00294BA0">
        <w:rPr>
          <w:rFonts w:cstheme="minorHAnsi"/>
          <w:b/>
          <w:u w:val="single"/>
        </w:rPr>
        <w:t>A</w:t>
      </w:r>
      <w:r w:rsidR="00713D53" w:rsidRPr="00294BA0">
        <w:rPr>
          <w:rFonts w:cstheme="minorHAnsi"/>
          <w:b/>
          <w:u w:val="single"/>
        </w:rPr>
        <w:t>RTICLE</w:t>
      </w:r>
      <w:r w:rsidRPr="00294BA0">
        <w:rPr>
          <w:rFonts w:cstheme="minorHAnsi"/>
          <w:b/>
          <w:u w:val="single"/>
        </w:rPr>
        <w:t xml:space="preserve"> </w:t>
      </w:r>
      <w:r w:rsidR="002C4027" w:rsidRPr="00294BA0">
        <w:rPr>
          <w:rFonts w:cstheme="minorHAnsi"/>
          <w:b/>
          <w:u w:val="single"/>
        </w:rPr>
        <w:t>2</w:t>
      </w:r>
      <w:r w:rsidR="00197FC7" w:rsidRPr="00294BA0">
        <w:rPr>
          <w:rFonts w:cstheme="minorHAnsi"/>
          <w:b/>
          <w:u w:val="single"/>
        </w:rPr>
        <w:t xml:space="preserve"> </w:t>
      </w:r>
      <w:r w:rsidR="00713D53" w:rsidRPr="00294BA0">
        <w:rPr>
          <w:rFonts w:cstheme="minorHAnsi"/>
          <w:b/>
          <w:u w:val="single"/>
        </w:rPr>
        <w:t>–</w:t>
      </w:r>
      <w:r w:rsidR="00197FC7" w:rsidRPr="00294BA0">
        <w:rPr>
          <w:rFonts w:cstheme="minorHAnsi"/>
          <w:b/>
          <w:u w:val="single"/>
        </w:rPr>
        <w:t xml:space="preserve"> </w:t>
      </w:r>
      <w:r w:rsidR="0088363C">
        <w:rPr>
          <w:rFonts w:cstheme="minorHAnsi"/>
          <w:b/>
          <w:bCs/>
          <w:smallCaps/>
          <w:u w:val="single"/>
        </w:rPr>
        <w:t>Re</w:t>
      </w:r>
      <w:r w:rsidR="000B57B5">
        <w:rPr>
          <w:rFonts w:cstheme="minorHAnsi"/>
          <w:b/>
          <w:bCs/>
          <w:smallCaps/>
          <w:u w:val="single"/>
        </w:rPr>
        <w:t>valorisation</w:t>
      </w:r>
      <w:r w:rsidR="00E67EF4">
        <w:rPr>
          <w:rFonts w:cstheme="minorHAnsi"/>
          <w:b/>
          <w:bCs/>
          <w:smallCaps/>
          <w:u w:val="single"/>
        </w:rPr>
        <w:t>s</w:t>
      </w:r>
      <w:r w:rsidR="003D1B84" w:rsidRPr="000C624B">
        <w:rPr>
          <w:rFonts w:cstheme="minorHAnsi"/>
          <w:b/>
          <w:bCs/>
          <w:smallCaps/>
          <w:u w:val="single"/>
        </w:rPr>
        <w:t xml:space="preserve"> </w:t>
      </w:r>
      <w:r w:rsidR="0078594F" w:rsidRPr="000C624B">
        <w:rPr>
          <w:rFonts w:cstheme="minorHAnsi"/>
          <w:b/>
          <w:bCs/>
          <w:smallCaps/>
          <w:u w:val="single"/>
        </w:rPr>
        <w:t>des salaires</w:t>
      </w:r>
    </w:p>
    <w:p w:rsidP="0033046C" w:rsidR="000B57B5" w:rsidRDefault="000B57B5">
      <w:pPr>
        <w:spacing w:after="240"/>
        <w:jc w:val="both"/>
        <w:rPr>
          <w:rFonts w:cstheme="minorHAnsi"/>
        </w:rPr>
      </w:pPr>
      <w:r w:rsidRPr="00FF6136">
        <w:rPr>
          <w:rFonts w:cstheme="minorHAnsi"/>
        </w:rPr>
        <w:t xml:space="preserve">Le salaire de base pris en compte pour les revalorisations </w:t>
      </w:r>
      <w:r w:rsidR="00E67EF4" w:rsidRPr="00FF6136">
        <w:rPr>
          <w:rFonts w:cstheme="minorHAnsi"/>
        </w:rPr>
        <w:t xml:space="preserve">mentionnées </w:t>
      </w:r>
      <w:r w:rsidRPr="00FF6136">
        <w:rPr>
          <w:rFonts w:cstheme="minorHAnsi"/>
        </w:rPr>
        <w:t>ci-dessous</w:t>
      </w:r>
      <w:r w:rsidR="00E67EF4" w:rsidRPr="00FF6136">
        <w:rPr>
          <w:rFonts w:cstheme="minorHAnsi"/>
          <w:b/>
        </w:rPr>
        <w:t xml:space="preserve"> </w:t>
      </w:r>
      <w:r w:rsidR="00E67EF4" w:rsidRPr="00FF6136">
        <w:rPr>
          <w:rFonts w:cstheme="minorHAnsi"/>
        </w:rPr>
        <w:t>est le salaire de base du salarié concerné au 31.12 2022.</w:t>
      </w:r>
    </w:p>
    <w:p w:rsidP="0088363C" w:rsidR="0088363C" w:rsidRDefault="0088363C">
      <w:pPr>
        <w:spacing w:after="240"/>
        <w:ind w:firstLine="708"/>
        <w:jc w:val="both"/>
        <w:rPr>
          <w:rFonts w:cstheme="minorHAnsi"/>
          <w:b/>
        </w:rPr>
      </w:pPr>
      <w:r>
        <w:rPr>
          <w:rFonts w:cstheme="minorHAnsi"/>
          <w:b/>
        </w:rPr>
        <w:t>2.1</w:t>
      </w:r>
      <w:r w:rsidRPr="000B57B5">
        <w:rPr>
          <w:rFonts w:cstheme="minorHAnsi"/>
          <w:b/>
        </w:rPr>
        <w:t xml:space="preserve"> Application de l</w:t>
      </w:r>
      <w:r>
        <w:rPr>
          <w:rFonts w:cstheme="minorHAnsi"/>
          <w:b/>
        </w:rPr>
        <w:t>’accord du 07 décembre 2022 relatif à la grille des salaires minimas professionnels pour les entreprises soumises à la Convention Collective Nationale de l’Industrie Pharmaceutique</w:t>
      </w:r>
    </w:p>
    <w:p w:rsidP="0088363C" w:rsidR="0088363C" w:rsidRDefault="0088363C">
      <w:pPr>
        <w:spacing w:after="240"/>
        <w:jc w:val="both"/>
        <w:rPr>
          <w:rFonts w:cstheme="minorHAnsi"/>
        </w:rPr>
      </w:pPr>
      <w:r w:rsidRPr="00FF6136">
        <w:rPr>
          <w:rFonts w:cstheme="minorHAnsi"/>
        </w:rPr>
        <w:t>A titre exceptionnel, l’Accord du 07 décembre 2022 « salaires minimas professionnels » de l’avenant de la Convention Collective Nationale de l’Industrie Pharmaceutique est appliqué dès le 1</w:t>
      </w:r>
      <w:r w:rsidRPr="00FF6136">
        <w:rPr>
          <w:rFonts w:cstheme="minorHAnsi"/>
          <w:vertAlign w:val="superscript"/>
        </w:rPr>
        <w:t>er</w:t>
      </w:r>
      <w:r w:rsidRPr="00FF6136">
        <w:rPr>
          <w:rFonts w:cstheme="minorHAnsi"/>
        </w:rPr>
        <w:t xml:space="preserve"> Janvier 2023 pour l’ensemble des CDI, CDD et intérimaires présents à l’effectif à cette date.</w:t>
      </w:r>
      <w:r>
        <w:rPr>
          <w:rFonts w:cstheme="minorHAnsi"/>
        </w:rPr>
        <w:t xml:space="preserve"> </w:t>
      </w:r>
    </w:p>
    <w:tbl>
      <w:tblPr>
        <w:tblW w:type="dxa" w:w="7480"/>
        <w:jc w:val="center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824"/>
        <w:gridCol w:w="820"/>
        <w:gridCol w:w="1940"/>
        <w:gridCol w:w="280"/>
        <w:gridCol w:w="824"/>
        <w:gridCol w:w="820"/>
        <w:gridCol w:w="2020"/>
      </w:tblGrid>
      <w:tr w:rsidR="0088363C" w:rsidRPr="005C5F04" w:rsidTr="00E26505">
        <w:trPr>
          <w:trHeight w:val="705"/>
          <w:jc w:val="center"/>
        </w:trPr>
        <w:tc>
          <w:tcPr>
            <w:tcW w:type="dxa" w:w="800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000000" w:fill="1F4E78" w:val="clear"/>
            <w:noWrap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t>Groupe</w:t>
            </w:r>
          </w:p>
        </w:tc>
        <w:tc>
          <w:tcPr>
            <w:tcW w:type="dxa" w:w="820"/>
            <w:tcBorders>
              <w:top w:color="auto" w:space="0" w:sz="8" w:val="single"/>
              <w:left w:val="nil"/>
              <w:bottom w:color="auto" w:space="0" w:sz="8" w:val="single"/>
              <w:right w:color="auto" w:space="0" w:sz="4" w:val="single"/>
            </w:tcBorders>
            <w:shd w:color="000000" w:fill="1F4E78" w:val="clear"/>
            <w:noWrap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t>Niveau</w:t>
            </w:r>
          </w:p>
        </w:tc>
        <w:tc>
          <w:tcPr>
            <w:tcW w:type="dxa" w:w="1940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000000" w:fill="1F4E78" w:val="clear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t>Mini conventionnel au 01.01.2023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type="dxa" w:w="800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000000" w:fill="1F4E78" w:val="clear"/>
            <w:noWrap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t>Groupe</w:t>
            </w:r>
          </w:p>
        </w:tc>
        <w:tc>
          <w:tcPr>
            <w:tcW w:type="dxa" w:w="820"/>
            <w:tcBorders>
              <w:top w:color="auto" w:space="0" w:sz="8" w:val="single"/>
              <w:left w:val="nil"/>
              <w:bottom w:color="auto" w:space="0" w:sz="8" w:val="single"/>
              <w:right w:color="auto" w:space="0" w:sz="4" w:val="single"/>
            </w:tcBorders>
            <w:shd w:color="000000" w:fill="1F4E78" w:val="clear"/>
            <w:noWrap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t>Niveau</w:t>
            </w:r>
          </w:p>
        </w:tc>
        <w:tc>
          <w:tcPr>
            <w:tcW w:type="dxa" w:w="2020"/>
            <w:tcBorders>
              <w:top w:color="auto" w:space="0" w:sz="8" w:val="single"/>
              <w:left w:val="nil"/>
              <w:bottom w:color="auto" w:space="0" w:sz="8" w:val="single"/>
              <w:right w:color="auto" w:space="0" w:sz="8" w:val="single"/>
            </w:tcBorders>
            <w:shd w:color="000000" w:fill="1F4E78" w:val="clear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FFFFFF"/>
                <w:lang w:eastAsia="fr-FR"/>
              </w:rPr>
              <w:t>Mini conventionnel au 01.01.2023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2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A</w:t>
            </w:r>
          </w:p>
        </w:tc>
        <w:tc>
          <w:tcPr>
            <w:tcW w:type="dxa" w:w="19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1 732,89 €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5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A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2 311,19 €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2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B</w:t>
            </w:r>
          </w:p>
        </w:tc>
        <w:tc>
          <w:tcPr>
            <w:tcW w:type="dxa" w:w="19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1 767,42 €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5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B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2 406,13 €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2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C</w:t>
            </w:r>
          </w:p>
        </w:tc>
        <w:tc>
          <w:tcPr>
            <w:tcW w:type="dxa" w:w="19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1 845,10 €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5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C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2 665,07 €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3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A</w:t>
            </w:r>
          </w:p>
        </w:tc>
        <w:tc>
          <w:tcPr>
            <w:tcW w:type="dxa" w:w="19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1 845,10 €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6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A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2 665,07 €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3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B</w:t>
            </w:r>
          </w:p>
        </w:tc>
        <w:tc>
          <w:tcPr>
            <w:tcW w:type="dxa" w:w="19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1 888,26 €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6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B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2 785,91 €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3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C</w:t>
            </w:r>
          </w:p>
        </w:tc>
        <w:tc>
          <w:tcPr>
            <w:tcW w:type="dxa" w:w="19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2 043,62 €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6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C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3 105,27 €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4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A</w:t>
            </w:r>
          </w:p>
        </w:tc>
        <w:tc>
          <w:tcPr>
            <w:tcW w:type="dxa" w:w="19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2 043,62 €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7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A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3 226,11 €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4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B</w:t>
            </w:r>
          </w:p>
        </w:tc>
        <w:tc>
          <w:tcPr>
            <w:tcW w:type="dxa" w:w="19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2 112,67 €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7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B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3 769,88 €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4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C</w:t>
            </w:r>
          </w:p>
        </w:tc>
        <w:tc>
          <w:tcPr>
            <w:tcW w:type="dxa" w:w="19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2 311,19 €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8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A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3 890,72 €</w:t>
            </w:r>
          </w:p>
        </w:tc>
      </w:tr>
      <w:tr w:rsidR="0088363C" w:rsidRPr="005C5F04" w:rsidTr="00E26505">
        <w:trPr>
          <w:trHeight w:val="300"/>
          <w:jc w:val="center"/>
        </w:trPr>
        <w:tc>
          <w:tcPr>
            <w:tcW w:type="dxa" w:w="8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type="dxa" w:w="82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type="dxa" w:w="194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type="dxa" w:w="8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8</w:t>
            </w:r>
          </w:p>
        </w:tc>
        <w:tc>
          <w:tcPr>
            <w:tcW w:type="dxa" w:w="8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color w:val="000000"/>
                <w:lang w:eastAsia="fr-FR"/>
              </w:rPr>
              <w:t>B</w:t>
            </w:r>
          </w:p>
        </w:tc>
        <w:tc>
          <w:tcPr>
            <w:tcW w:type="dxa" w:w="20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26505" w:rsidR="0088363C" w:rsidRDefault="0088363C" w:rsidRPr="005C5F04">
            <w:pPr>
              <w:spacing w:after="0" w:line="240" w:lineRule="auto"/>
              <w:jc w:val="center"/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</w:pPr>
            <w:r w:rsidRPr="005C5F04">
              <w:rPr>
                <w:rFonts w:ascii="Calibri" w:cs="Calibri" w:eastAsia="Times New Roman" w:hAnsi="Calibri"/>
                <w:b/>
                <w:bCs/>
                <w:color w:val="000000"/>
                <w:lang w:eastAsia="fr-FR"/>
              </w:rPr>
              <w:t>4 538,07 €</w:t>
            </w:r>
          </w:p>
        </w:tc>
      </w:tr>
    </w:tbl>
    <w:p w:rsidP="0088363C" w:rsidR="0088363C" w:rsidRDefault="0088363C">
      <w:pPr>
        <w:spacing w:after="240"/>
        <w:rPr>
          <w:rFonts w:cstheme="minorHAnsi"/>
        </w:rPr>
      </w:pPr>
    </w:p>
    <w:p w:rsidP="0033046C" w:rsidR="0088363C" w:rsidRDefault="0088363C" w:rsidRPr="00E67EF4">
      <w:pPr>
        <w:spacing w:after="240"/>
        <w:jc w:val="both"/>
        <w:rPr>
          <w:rFonts w:cstheme="minorHAnsi"/>
        </w:rPr>
      </w:pPr>
    </w:p>
    <w:p w:rsidP="0088363C" w:rsidR="000B57B5" w:rsidRDefault="0088363C" w:rsidRPr="000B57B5">
      <w:pPr>
        <w:spacing w:after="240"/>
        <w:ind w:firstLine="708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2.2</w:t>
      </w:r>
      <w:r w:rsidR="000B57B5" w:rsidRPr="000B57B5">
        <w:rPr>
          <w:rFonts w:cstheme="minorHAnsi"/>
          <w:b/>
        </w:rPr>
        <w:t xml:space="preserve"> Augmentations générales avec talon</w:t>
      </w:r>
    </w:p>
    <w:p w:rsidP="0033046C" w:rsidR="0033046C" w:rsidRDefault="0033046C">
      <w:pPr>
        <w:spacing w:after="240"/>
        <w:jc w:val="both"/>
        <w:rPr>
          <w:rFonts w:cstheme="minorHAnsi"/>
        </w:rPr>
      </w:pPr>
      <w:r>
        <w:rPr>
          <w:rFonts w:cstheme="minorHAnsi"/>
        </w:rPr>
        <w:t>A</w:t>
      </w:r>
      <w:r w:rsidRPr="00294BA0">
        <w:rPr>
          <w:rFonts w:cstheme="minorHAnsi"/>
        </w:rPr>
        <w:t>ugmentation</w:t>
      </w:r>
      <w:r>
        <w:rPr>
          <w:rFonts w:cstheme="minorHAnsi"/>
        </w:rPr>
        <w:t xml:space="preserve"> générale uniforme de </w:t>
      </w:r>
      <w:r w:rsidRPr="003D6E72">
        <w:rPr>
          <w:rFonts w:cstheme="minorHAnsi"/>
        </w:rPr>
        <w:t>75€</w:t>
      </w:r>
      <w:r>
        <w:rPr>
          <w:rFonts w:cstheme="minorHAnsi"/>
        </w:rPr>
        <w:t xml:space="preserve"> sur le salaire brut mensuel de base pour un temps plein.</w:t>
      </w:r>
      <w:r w:rsidR="0088363C">
        <w:rPr>
          <w:rFonts w:cstheme="minorHAnsi"/>
        </w:rPr>
        <w:t xml:space="preserve"> </w:t>
      </w:r>
    </w:p>
    <w:p w:rsidP="0088363C" w:rsidR="0088363C" w:rsidRDefault="0033046C">
      <w:pPr>
        <w:spacing w:after="240"/>
        <w:jc w:val="both"/>
        <w:rPr>
          <w:rFonts w:cstheme="minorHAnsi"/>
        </w:rPr>
      </w:pPr>
      <w:r>
        <w:rPr>
          <w:rFonts w:cstheme="minorHAnsi"/>
        </w:rPr>
        <w:t xml:space="preserve">Le montant de l’augmentation sera proratisé </w:t>
      </w:r>
      <w:r w:rsidRPr="00427409">
        <w:rPr>
          <w:rFonts w:cstheme="minorHAnsi"/>
        </w:rPr>
        <w:t>en fonction du temps de travail théorique de chaque salarié.</w:t>
      </w:r>
      <w:r>
        <w:rPr>
          <w:rFonts w:cstheme="minorHAnsi"/>
        </w:rPr>
        <w:t xml:space="preserve"> Cette augmentation</w:t>
      </w:r>
      <w:r w:rsidR="00E83F41" w:rsidRPr="00294BA0">
        <w:rPr>
          <w:rFonts w:cstheme="minorHAnsi"/>
        </w:rPr>
        <w:t xml:space="preserve"> </w:t>
      </w:r>
      <w:r>
        <w:rPr>
          <w:rFonts w:cstheme="minorHAnsi"/>
        </w:rPr>
        <w:t xml:space="preserve">sera </w:t>
      </w:r>
      <w:r w:rsidR="00E83F41" w:rsidRPr="00294BA0">
        <w:rPr>
          <w:rFonts w:cstheme="minorHAnsi"/>
        </w:rPr>
        <w:t>appliquée à date d’effet au 1</w:t>
      </w:r>
      <w:r w:rsidR="00E83F41" w:rsidRPr="00294BA0">
        <w:rPr>
          <w:rFonts w:cstheme="minorHAnsi"/>
          <w:vertAlign w:val="superscript"/>
        </w:rPr>
        <w:t>er</w:t>
      </w:r>
      <w:r w:rsidR="00E83F41" w:rsidRPr="00294BA0">
        <w:rPr>
          <w:rFonts w:cstheme="minorHAnsi"/>
        </w:rPr>
        <w:t xml:space="preserve"> </w:t>
      </w:r>
      <w:r w:rsidR="001931B0">
        <w:rPr>
          <w:rFonts w:cstheme="minorHAnsi"/>
        </w:rPr>
        <w:t>janvier</w:t>
      </w:r>
      <w:r w:rsidR="00E83F41" w:rsidRPr="00294BA0">
        <w:rPr>
          <w:rFonts w:cstheme="minorHAnsi"/>
        </w:rPr>
        <w:t xml:space="preserve"> 202</w:t>
      </w:r>
      <w:r w:rsidR="001931B0">
        <w:rPr>
          <w:rFonts w:cstheme="minorHAnsi"/>
        </w:rPr>
        <w:t>3</w:t>
      </w:r>
      <w:r w:rsidR="00E83F41" w:rsidRPr="00294BA0">
        <w:rPr>
          <w:rFonts w:cstheme="minorHAnsi"/>
        </w:rPr>
        <w:t xml:space="preserve"> à l’ensemble des salariés</w:t>
      </w:r>
      <w:r w:rsidR="001931B0">
        <w:rPr>
          <w:rFonts w:cstheme="minorHAnsi"/>
        </w:rPr>
        <w:t xml:space="preserve"> </w:t>
      </w:r>
      <w:r w:rsidR="006925F1" w:rsidRPr="00FF6136">
        <w:rPr>
          <w:rFonts w:cstheme="minorHAnsi"/>
        </w:rPr>
        <w:t xml:space="preserve">cadres et non-cadres, </w:t>
      </w:r>
      <w:r w:rsidR="001931B0" w:rsidRPr="00FF6136">
        <w:rPr>
          <w:rFonts w:cstheme="minorHAnsi"/>
        </w:rPr>
        <w:t>CDI et CDD</w:t>
      </w:r>
      <w:r w:rsidR="00E83F41" w:rsidRPr="00FF6136">
        <w:rPr>
          <w:rFonts w:cstheme="minorHAnsi"/>
        </w:rPr>
        <w:t xml:space="preserve"> présents à l’effectif </w:t>
      </w:r>
      <w:r w:rsidR="008E350E" w:rsidRPr="00FF6136">
        <w:rPr>
          <w:rFonts w:cstheme="minorHAnsi"/>
        </w:rPr>
        <w:t>au 1</w:t>
      </w:r>
      <w:r w:rsidR="008E350E" w:rsidRPr="00FF6136">
        <w:rPr>
          <w:rFonts w:cstheme="minorHAnsi"/>
          <w:vertAlign w:val="superscript"/>
        </w:rPr>
        <w:t>er</w:t>
      </w:r>
      <w:r w:rsidR="008E350E" w:rsidRPr="00FF6136">
        <w:rPr>
          <w:rFonts w:cstheme="minorHAnsi"/>
        </w:rPr>
        <w:t xml:space="preserve"> janvier 2023 sans condition d’ancienneté.</w:t>
      </w:r>
      <w:r w:rsidR="0088363C" w:rsidRPr="00FF6136">
        <w:rPr>
          <w:rFonts w:cstheme="minorHAnsi"/>
        </w:rPr>
        <w:t xml:space="preserve"> Cette augmentation sera appliquée après application de l’Accord du 07 décembre 2022 cité au paragraphe précédent.</w:t>
      </w:r>
    </w:p>
    <w:p w:rsidP="0088363C" w:rsidR="0088363C" w:rsidRDefault="0088363C" w:rsidRPr="0088363C">
      <w:pPr>
        <w:spacing w:after="240"/>
        <w:jc w:val="both"/>
        <w:rPr>
          <w:rFonts w:cstheme="minorHAnsi"/>
        </w:rPr>
      </w:pPr>
    </w:p>
    <w:p w:rsidP="006925F1" w:rsidR="00C03491" w:rsidRDefault="002C4027" w:rsidRPr="00294BA0">
      <w:pPr>
        <w:rPr>
          <w:rFonts w:cstheme="minorHAnsi"/>
          <w:b/>
          <w:bCs/>
          <w:smallCaps/>
        </w:rPr>
      </w:pPr>
      <w:r w:rsidRPr="00294BA0">
        <w:rPr>
          <w:rFonts w:cstheme="minorHAnsi"/>
          <w:b/>
          <w:bCs/>
          <w:smallCaps/>
          <w:u w:val="single"/>
        </w:rPr>
        <w:t>ARTICLE 3</w:t>
      </w:r>
      <w:r w:rsidR="00C03491" w:rsidRPr="00294BA0">
        <w:rPr>
          <w:rFonts w:cstheme="minorHAnsi"/>
          <w:b/>
          <w:bCs/>
          <w:smallCaps/>
          <w:u w:val="single"/>
        </w:rPr>
        <w:t xml:space="preserve"> -  </w:t>
      </w:r>
      <w:r w:rsidR="001931B0">
        <w:rPr>
          <w:rFonts w:cstheme="minorHAnsi"/>
          <w:b/>
          <w:bCs/>
          <w:smallCaps/>
          <w:u w:val="single"/>
        </w:rPr>
        <w:t>Prime trimestrielle dite « Prime de Partage de la valeur »</w:t>
      </w:r>
    </w:p>
    <w:p w:rsidP="00C03491" w:rsidR="000C624B" w:rsidRDefault="001931B0">
      <w:pPr>
        <w:spacing w:after="19"/>
        <w:jc w:val="both"/>
        <w:rPr>
          <w:rFonts w:cstheme="minorHAnsi"/>
        </w:rPr>
      </w:pPr>
      <w:r>
        <w:rPr>
          <w:rFonts w:cstheme="minorHAnsi"/>
        </w:rPr>
        <w:t xml:space="preserve">La loi n° 2022-1158 du 16 août 2022 portant « mesures d’urgence pour la protection du pouvoir d’achat » permet à l’employeur, grâce à un accord d’entreprise, le versement d’une </w:t>
      </w:r>
      <w:r w:rsidR="000C624B">
        <w:rPr>
          <w:rFonts w:cstheme="minorHAnsi"/>
        </w:rPr>
        <w:t>P</w:t>
      </w:r>
      <w:r>
        <w:rPr>
          <w:rFonts w:cstheme="minorHAnsi"/>
        </w:rPr>
        <w:t>rime Partage de la Valeur</w:t>
      </w:r>
      <w:r w:rsidR="000C624B">
        <w:rPr>
          <w:rFonts w:cstheme="minorHAnsi"/>
        </w:rPr>
        <w:t xml:space="preserve"> (PPV</w:t>
      </w:r>
      <w:r w:rsidR="008E350E">
        <w:rPr>
          <w:rFonts w:cstheme="minorHAnsi"/>
        </w:rPr>
        <w:t>).</w:t>
      </w:r>
    </w:p>
    <w:p w:rsidP="00C03491" w:rsidR="008E350E" w:rsidRDefault="008E350E">
      <w:pPr>
        <w:spacing w:after="19"/>
        <w:jc w:val="both"/>
        <w:rPr>
          <w:rFonts w:cstheme="minorHAnsi"/>
        </w:rPr>
      </w:pPr>
    </w:p>
    <w:p w:rsidP="008D414F" w:rsidR="000C624B" w:rsidRDefault="000C624B" w:rsidRPr="00500734">
      <w:pPr>
        <w:jc w:val="both"/>
        <w:rPr>
          <w:rFonts w:cstheme="minorHAnsi"/>
          <w:b/>
        </w:rPr>
      </w:pPr>
      <w:r w:rsidRPr="00500734">
        <w:rPr>
          <w:rFonts w:cstheme="minorHAnsi"/>
          <w:b/>
        </w:rPr>
        <w:tab/>
        <w:t xml:space="preserve">3.1 </w:t>
      </w:r>
      <w:r w:rsidR="00B31887" w:rsidRPr="00500734">
        <w:rPr>
          <w:rFonts w:cstheme="minorHAnsi"/>
          <w:b/>
        </w:rPr>
        <w:t xml:space="preserve">Montant de la Prime </w:t>
      </w:r>
      <w:r w:rsidR="0086412E" w:rsidRPr="00500734">
        <w:rPr>
          <w:rFonts w:cstheme="minorHAnsi"/>
          <w:b/>
        </w:rPr>
        <w:t xml:space="preserve">de </w:t>
      </w:r>
      <w:r w:rsidR="00B31887" w:rsidRPr="00500734">
        <w:rPr>
          <w:rFonts w:cstheme="minorHAnsi"/>
          <w:b/>
        </w:rPr>
        <w:t xml:space="preserve">Partage de </w:t>
      </w:r>
      <w:r w:rsidR="0086412E" w:rsidRPr="00500734">
        <w:rPr>
          <w:rFonts w:cstheme="minorHAnsi"/>
          <w:b/>
        </w:rPr>
        <w:t xml:space="preserve">la </w:t>
      </w:r>
      <w:r w:rsidR="00B31887" w:rsidRPr="00500734">
        <w:rPr>
          <w:rFonts w:cstheme="minorHAnsi"/>
          <w:b/>
        </w:rPr>
        <w:t xml:space="preserve">Valeur </w:t>
      </w:r>
    </w:p>
    <w:p w:rsidP="00C03491" w:rsidR="006925F1" w:rsidRDefault="000C624B">
      <w:pPr>
        <w:spacing w:after="19"/>
        <w:jc w:val="both"/>
        <w:rPr>
          <w:rFonts w:cstheme="minorHAnsi"/>
        </w:rPr>
      </w:pPr>
      <w:r>
        <w:rPr>
          <w:rFonts w:cstheme="minorHAnsi"/>
        </w:rPr>
        <w:tab/>
      </w:r>
      <w:r w:rsidR="00B31887">
        <w:rPr>
          <w:rFonts w:cstheme="minorHAnsi"/>
        </w:rPr>
        <w:t xml:space="preserve">Le montant de la </w:t>
      </w:r>
      <w:r>
        <w:rPr>
          <w:rFonts w:cstheme="minorHAnsi"/>
        </w:rPr>
        <w:t xml:space="preserve">PPV </w:t>
      </w:r>
      <w:r w:rsidR="006925F1">
        <w:rPr>
          <w:rFonts w:cstheme="minorHAnsi"/>
        </w:rPr>
        <w:t>sera</w:t>
      </w:r>
      <w:r>
        <w:rPr>
          <w:rFonts w:cstheme="minorHAnsi"/>
        </w:rPr>
        <w:t xml:space="preserve"> de </w:t>
      </w:r>
      <w:r w:rsidR="009A73FA">
        <w:rPr>
          <w:rFonts w:cstheme="minorHAnsi"/>
        </w:rPr>
        <w:t>600 €</w:t>
      </w:r>
      <w:r w:rsidR="00572AAC">
        <w:rPr>
          <w:rFonts w:cstheme="minorHAnsi"/>
        </w:rPr>
        <w:t xml:space="preserve"> </w:t>
      </w:r>
      <w:r w:rsidR="009A73FA">
        <w:rPr>
          <w:rFonts w:cstheme="minorHAnsi"/>
        </w:rPr>
        <w:t>pour un salarié à temps plein présent toute l’année.</w:t>
      </w:r>
    </w:p>
    <w:p w:rsidP="00C03491" w:rsidR="00FD0229" w:rsidRDefault="00FD0229">
      <w:pPr>
        <w:spacing w:after="19"/>
        <w:jc w:val="both"/>
        <w:rPr>
          <w:rFonts w:cstheme="minorHAnsi"/>
        </w:rPr>
      </w:pPr>
    </w:p>
    <w:p w:rsidP="008D414F" w:rsidR="000C624B" w:rsidRDefault="000C624B" w:rsidRPr="00500734">
      <w:pPr>
        <w:jc w:val="both"/>
        <w:rPr>
          <w:rFonts w:cstheme="minorHAnsi"/>
          <w:b/>
        </w:rPr>
      </w:pPr>
      <w:r w:rsidRPr="00500734">
        <w:rPr>
          <w:rFonts w:cstheme="minorHAnsi"/>
          <w:b/>
        </w:rPr>
        <w:tab/>
        <w:t>3.2 Modalités de versement</w:t>
      </w:r>
    </w:p>
    <w:p w:rsidP="00C03491" w:rsidR="00B31887" w:rsidRDefault="006925F1">
      <w:pPr>
        <w:spacing w:after="19"/>
        <w:jc w:val="both"/>
        <w:rPr>
          <w:rFonts w:cstheme="minorHAnsi"/>
        </w:rPr>
      </w:pPr>
      <w:r>
        <w:rPr>
          <w:rFonts w:cstheme="minorHAnsi"/>
        </w:rPr>
        <w:tab/>
        <w:t xml:space="preserve">La PPV </w:t>
      </w:r>
      <w:r w:rsidR="00B31887">
        <w:rPr>
          <w:rFonts w:cstheme="minorHAnsi"/>
        </w:rPr>
        <w:t>s</w:t>
      </w:r>
      <w:r>
        <w:rPr>
          <w:rFonts w:cstheme="minorHAnsi"/>
        </w:rPr>
        <w:t>era</w:t>
      </w:r>
      <w:r w:rsidR="00B31887">
        <w:rPr>
          <w:rFonts w:cstheme="minorHAnsi"/>
        </w:rPr>
        <w:t xml:space="preserve"> proratisée en fonction du temps de travail de chaque salarié </w:t>
      </w:r>
      <w:r w:rsidR="0086412E" w:rsidRPr="0086412E">
        <w:rPr>
          <w:rFonts w:cstheme="minorHAnsi"/>
        </w:rPr>
        <w:t>et</w:t>
      </w:r>
      <w:r w:rsidR="0086412E">
        <w:rPr>
          <w:rFonts w:cstheme="minorHAnsi"/>
        </w:rPr>
        <w:t xml:space="preserve"> en fonction de s</w:t>
      </w:r>
      <w:r w:rsidR="00B31887">
        <w:rPr>
          <w:rFonts w:cstheme="minorHAnsi"/>
        </w:rPr>
        <w:t xml:space="preserve">a présence effective (ex : les congés maternité, paternité, d’adoption comptent comme du temps de travail effectif pour le versement de la prime, </w:t>
      </w:r>
      <w:r w:rsidR="0086412E">
        <w:rPr>
          <w:rFonts w:cstheme="minorHAnsi"/>
        </w:rPr>
        <w:t>contrairement aux</w:t>
      </w:r>
      <w:r w:rsidR="00B31887">
        <w:rPr>
          <w:rFonts w:cstheme="minorHAnsi"/>
        </w:rPr>
        <w:t xml:space="preserve"> absences pour arrêt maladie).</w:t>
      </w:r>
      <w:r w:rsidR="00430250">
        <w:rPr>
          <w:rFonts w:cstheme="minorHAnsi"/>
        </w:rPr>
        <w:t xml:space="preserve"> Elle concernera tous les salariés et travailleurs temporaires de manière uniforme.</w:t>
      </w:r>
      <w:r w:rsidR="009A73FA">
        <w:rPr>
          <w:rFonts w:cstheme="minorHAnsi"/>
        </w:rPr>
        <w:t xml:space="preserve"> Pour cette prime, l’activité partielle éventuelle sera considérée comme du temps de travail effectif.</w:t>
      </w:r>
    </w:p>
    <w:p w:rsidP="00C03491" w:rsidR="006925F1" w:rsidRDefault="006925F1">
      <w:pPr>
        <w:spacing w:after="19"/>
        <w:jc w:val="both"/>
        <w:rPr>
          <w:rFonts w:cstheme="minorHAnsi"/>
        </w:rPr>
      </w:pPr>
    </w:p>
    <w:p w:rsidP="0088363C" w:rsidR="000C624B" w:rsidRDefault="000C624B" w:rsidRPr="00500734">
      <w:pPr>
        <w:spacing w:after="19"/>
        <w:jc w:val="both"/>
        <w:rPr>
          <w:rFonts w:cstheme="minorHAnsi"/>
          <w:b/>
        </w:rPr>
      </w:pPr>
      <w:r>
        <w:rPr>
          <w:rFonts w:cstheme="minorHAnsi"/>
        </w:rPr>
        <w:tab/>
      </w:r>
      <w:r w:rsidRPr="00500734">
        <w:rPr>
          <w:rFonts w:cstheme="minorHAnsi"/>
          <w:b/>
        </w:rPr>
        <w:t>3.3 Dates de versement</w:t>
      </w:r>
    </w:p>
    <w:p w:rsidP="008D414F" w:rsidR="006925F1" w:rsidRDefault="005C2C19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572AAC">
        <w:rPr>
          <w:rFonts w:cstheme="minorHAnsi"/>
        </w:rPr>
        <w:t xml:space="preserve">La prime sera versée en deux fois sur les paies de février 2023 et décembre 2023. </w:t>
      </w:r>
      <w:r w:rsidR="009A73FA">
        <w:rPr>
          <w:rFonts w:cstheme="minorHAnsi"/>
        </w:rPr>
        <w:t>Un premier versement</w:t>
      </w:r>
      <w:r w:rsidR="00430250">
        <w:rPr>
          <w:rFonts w:cstheme="minorHAnsi"/>
        </w:rPr>
        <w:t xml:space="preserve"> </w:t>
      </w:r>
      <w:r w:rsidR="00572AAC">
        <w:rPr>
          <w:rFonts w:cstheme="minorHAnsi"/>
        </w:rPr>
        <w:t>d’</w:t>
      </w:r>
      <w:r w:rsidR="00FF6136">
        <w:rPr>
          <w:rFonts w:cstheme="minorHAnsi"/>
        </w:rPr>
        <w:t>un montant de 4</w:t>
      </w:r>
      <w:r w:rsidR="00572AAC">
        <w:rPr>
          <w:rFonts w:cstheme="minorHAnsi"/>
        </w:rPr>
        <w:t xml:space="preserve">00 euros (pour un temps plein) </w:t>
      </w:r>
      <w:r w:rsidR="009A73FA">
        <w:rPr>
          <w:rFonts w:cstheme="minorHAnsi"/>
        </w:rPr>
        <w:t>sera réalisé</w:t>
      </w:r>
      <w:r w:rsidR="006925F1">
        <w:rPr>
          <w:rFonts w:cstheme="minorHAnsi"/>
        </w:rPr>
        <w:t xml:space="preserve"> par</w:t>
      </w:r>
      <w:r w:rsidR="006925F1" w:rsidRPr="005C2C19">
        <w:rPr>
          <w:rFonts w:cstheme="minorHAnsi"/>
          <w:b/>
        </w:rPr>
        <w:t xml:space="preserve"> </w:t>
      </w:r>
      <w:r w:rsidR="006925F1" w:rsidRPr="00430250">
        <w:rPr>
          <w:rFonts w:cstheme="minorHAnsi"/>
        </w:rPr>
        <w:t xml:space="preserve">anticipation </w:t>
      </w:r>
      <w:r w:rsidR="009A73FA">
        <w:rPr>
          <w:rFonts w:cstheme="minorHAnsi"/>
        </w:rPr>
        <w:t>sur la</w:t>
      </w:r>
      <w:r w:rsidR="00572AAC">
        <w:rPr>
          <w:rFonts w:cstheme="minorHAnsi"/>
        </w:rPr>
        <w:t xml:space="preserve"> pai</w:t>
      </w:r>
      <w:r w:rsidR="009A73FA">
        <w:rPr>
          <w:rFonts w:cstheme="minorHAnsi"/>
        </w:rPr>
        <w:t>e de février 2023</w:t>
      </w:r>
      <w:r w:rsidR="00572AAC">
        <w:rPr>
          <w:rFonts w:cstheme="minorHAnsi"/>
        </w:rPr>
        <w:t xml:space="preserve"> </w:t>
      </w:r>
      <w:r w:rsidR="006925F1" w:rsidRPr="00430250">
        <w:rPr>
          <w:rFonts w:cstheme="minorHAnsi"/>
        </w:rPr>
        <w:t>par le biais d’</w:t>
      </w:r>
      <w:r w:rsidR="00572AAC">
        <w:rPr>
          <w:rFonts w:cstheme="minorHAnsi"/>
        </w:rPr>
        <w:t>une avance</w:t>
      </w:r>
      <w:r w:rsidR="0041302F">
        <w:rPr>
          <w:rFonts w:cstheme="minorHAnsi"/>
        </w:rPr>
        <w:t xml:space="preserve"> sous réserve </w:t>
      </w:r>
      <w:r w:rsidR="00572AAC">
        <w:rPr>
          <w:rFonts w:cstheme="minorHAnsi"/>
        </w:rPr>
        <w:t>d’avoir</w:t>
      </w:r>
      <w:r w:rsidR="00A4550D">
        <w:rPr>
          <w:rFonts w:cstheme="minorHAnsi"/>
        </w:rPr>
        <w:t xml:space="preserve"> </w:t>
      </w:r>
      <w:r w:rsidR="00572AAC">
        <w:rPr>
          <w:rFonts w:cstheme="minorHAnsi"/>
        </w:rPr>
        <w:t xml:space="preserve">été en contrat </w:t>
      </w:r>
      <w:r w:rsidR="00A4550D">
        <w:rPr>
          <w:rFonts w:cstheme="minorHAnsi"/>
        </w:rPr>
        <w:t xml:space="preserve">avec Farmaclair (CDI, CDD ou intérim) </w:t>
      </w:r>
      <w:r w:rsidR="00572AAC">
        <w:rPr>
          <w:rFonts w:cstheme="minorHAnsi"/>
        </w:rPr>
        <w:t>et effectivement présent du 2 janvier 2023 au 31 janvier 2023</w:t>
      </w:r>
      <w:r w:rsidR="004C588C">
        <w:rPr>
          <w:rFonts w:cstheme="minorHAnsi"/>
        </w:rPr>
        <w:t xml:space="preserve">. </w:t>
      </w:r>
      <w:r w:rsidR="00430250">
        <w:rPr>
          <w:rFonts w:cstheme="minorHAnsi"/>
        </w:rPr>
        <w:t>Le</w:t>
      </w:r>
      <w:r w:rsidR="006925F1">
        <w:rPr>
          <w:rFonts w:cstheme="minorHAnsi"/>
        </w:rPr>
        <w:t xml:space="preserve"> versement définitif </w:t>
      </w:r>
      <w:r w:rsidR="00430250">
        <w:rPr>
          <w:rFonts w:cstheme="minorHAnsi"/>
        </w:rPr>
        <w:t>aura lieu</w:t>
      </w:r>
      <w:r w:rsidR="006925F1">
        <w:rPr>
          <w:rFonts w:cstheme="minorHAnsi"/>
        </w:rPr>
        <w:t xml:space="preserve"> </w:t>
      </w:r>
      <w:r w:rsidR="00430250">
        <w:rPr>
          <w:rFonts w:cstheme="minorHAnsi"/>
        </w:rPr>
        <w:t xml:space="preserve">sur </w:t>
      </w:r>
      <w:r w:rsidR="006925F1">
        <w:rPr>
          <w:rFonts w:cstheme="minorHAnsi"/>
        </w:rPr>
        <w:t>la paie de décembre 2023</w:t>
      </w:r>
      <w:r w:rsidR="00430250">
        <w:rPr>
          <w:rFonts w:cstheme="minorHAnsi"/>
        </w:rPr>
        <w:t xml:space="preserve"> ap</w:t>
      </w:r>
      <w:r w:rsidR="004C588C">
        <w:rPr>
          <w:rFonts w:cstheme="minorHAnsi"/>
        </w:rPr>
        <w:t xml:space="preserve">rès proratisation en fonction </w:t>
      </w:r>
      <w:r w:rsidR="00430250">
        <w:rPr>
          <w:rFonts w:cstheme="minorHAnsi"/>
        </w:rPr>
        <w:t xml:space="preserve">de </w:t>
      </w:r>
      <w:r w:rsidR="006925F1">
        <w:rPr>
          <w:rFonts w:cstheme="minorHAnsi"/>
        </w:rPr>
        <w:t xml:space="preserve">la </w:t>
      </w:r>
      <w:r w:rsidR="006925F1" w:rsidRPr="00430250">
        <w:rPr>
          <w:rFonts w:cstheme="minorHAnsi"/>
        </w:rPr>
        <w:t xml:space="preserve">présence effective </w:t>
      </w:r>
      <w:r w:rsidR="00572AAC">
        <w:rPr>
          <w:rFonts w:cstheme="minorHAnsi"/>
        </w:rPr>
        <w:t xml:space="preserve">du 2 janvier 2023 au 13 décembre 2023 </w:t>
      </w:r>
      <w:r w:rsidR="00430250">
        <w:rPr>
          <w:rFonts w:cstheme="minorHAnsi"/>
        </w:rPr>
        <w:t>et</w:t>
      </w:r>
      <w:r w:rsidR="00572AAC">
        <w:rPr>
          <w:rFonts w:cstheme="minorHAnsi"/>
        </w:rPr>
        <w:t xml:space="preserve"> déduction de</w:t>
      </w:r>
      <w:r w:rsidR="00430250">
        <w:rPr>
          <w:rFonts w:cstheme="minorHAnsi"/>
        </w:rPr>
        <w:t xml:space="preserve"> </w:t>
      </w:r>
      <w:r w:rsidR="00572AAC">
        <w:rPr>
          <w:rFonts w:cstheme="minorHAnsi"/>
        </w:rPr>
        <w:t>l’avance déjà versée</w:t>
      </w:r>
      <w:r w:rsidR="00430250">
        <w:rPr>
          <w:rFonts w:cstheme="minorHAnsi"/>
        </w:rPr>
        <w:t>.</w:t>
      </w:r>
    </w:p>
    <w:p w:rsidP="006E69F4" w:rsidR="008857C3" w:rsidRDefault="008857C3">
      <w:pPr>
        <w:spacing w:after="19"/>
        <w:rPr>
          <w:rFonts w:cstheme="minorHAnsi"/>
          <w:b/>
          <w:bCs/>
          <w:smallCaps/>
          <w:u w:val="single"/>
        </w:rPr>
      </w:pPr>
    </w:p>
    <w:p w:rsidP="006E69F4" w:rsidR="006E69F4" w:rsidRDefault="006E69F4" w:rsidRPr="000C624B">
      <w:pPr>
        <w:spacing w:after="19"/>
        <w:rPr>
          <w:rFonts w:cstheme="minorHAnsi"/>
          <w:b/>
          <w:bCs/>
          <w:smallCaps/>
          <w:u w:val="single"/>
        </w:rPr>
      </w:pPr>
      <w:r w:rsidRPr="00294BA0">
        <w:rPr>
          <w:rFonts w:cstheme="minorHAnsi"/>
          <w:b/>
          <w:bCs/>
          <w:smallCaps/>
          <w:u w:val="single"/>
        </w:rPr>
        <w:t>ARTIC</w:t>
      </w:r>
      <w:r w:rsidR="002C4027" w:rsidRPr="00294BA0">
        <w:rPr>
          <w:rFonts w:cstheme="minorHAnsi"/>
          <w:b/>
          <w:bCs/>
          <w:smallCaps/>
          <w:u w:val="single"/>
        </w:rPr>
        <w:t>LE 4</w:t>
      </w:r>
      <w:r w:rsidRPr="00294BA0">
        <w:rPr>
          <w:rFonts w:cstheme="minorHAnsi"/>
          <w:b/>
          <w:bCs/>
          <w:smallCaps/>
          <w:u w:val="single"/>
        </w:rPr>
        <w:t xml:space="preserve"> -  </w:t>
      </w:r>
      <w:r w:rsidRPr="000C624B">
        <w:rPr>
          <w:rFonts w:cstheme="minorHAnsi"/>
          <w:b/>
          <w:bCs/>
          <w:smallCaps/>
          <w:u w:val="single"/>
        </w:rPr>
        <w:t>Mesures sociales complémentaires</w:t>
      </w:r>
    </w:p>
    <w:p w:rsidP="00500734" w:rsidR="006E69F4" w:rsidRDefault="006E69F4" w:rsidRPr="00500734">
      <w:pPr>
        <w:spacing w:before="120"/>
        <w:jc w:val="both"/>
        <w:rPr>
          <w:rFonts w:cstheme="minorHAnsi"/>
          <w:b/>
        </w:rPr>
      </w:pPr>
      <w:r w:rsidRPr="00500734">
        <w:rPr>
          <w:rFonts w:cstheme="minorHAnsi"/>
          <w:b/>
        </w:rPr>
        <w:tab/>
      </w:r>
      <w:r w:rsidR="002C4027" w:rsidRPr="00500734">
        <w:rPr>
          <w:rFonts w:cstheme="minorHAnsi"/>
          <w:b/>
        </w:rPr>
        <w:t>4</w:t>
      </w:r>
      <w:r w:rsidRPr="00500734">
        <w:rPr>
          <w:rFonts w:cstheme="minorHAnsi"/>
          <w:b/>
        </w:rPr>
        <w:t xml:space="preserve">.1 </w:t>
      </w:r>
      <w:r w:rsidR="00FB5FA4" w:rsidRPr="00500734">
        <w:rPr>
          <w:rFonts w:cstheme="minorHAnsi"/>
          <w:b/>
        </w:rPr>
        <w:t>Journée de congé en cas d’hospitalisation du conjoint marié ou pacsé</w:t>
      </w:r>
    </w:p>
    <w:p w:rsidP="00427409" w:rsidR="0030738D" w:rsidRDefault="00AC464D">
      <w:pPr>
        <w:ind w:firstLine="708"/>
        <w:rPr>
          <w:rFonts w:cstheme="minorHAnsi"/>
        </w:rPr>
      </w:pPr>
      <w:r>
        <w:rPr>
          <w:rFonts w:cstheme="minorHAnsi"/>
        </w:rPr>
        <w:t xml:space="preserve">Parmi les </w:t>
      </w:r>
      <w:r w:rsidR="00FA03E2">
        <w:rPr>
          <w:rFonts w:cstheme="minorHAnsi"/>
        </w:rPr>
        <w:t>congés</w:t>
      </w:r>
      <w:r>
        <w:rPr>
          <w:rFonts w:cstheme="minorHAnsi"/>
        </w:rPr>
        <w:t xml:space="preserve"> spéciaux dont </w:t>
      </w:r>
      <w:r w:rsidR="00FA03E2">
        <w:rPr>
          <w:rFonts w:cstheme="minorHAnsi"/>
        </w:rPr>
        <w:t>bénéficient</w:t>
      </w:r>
      <w:r>
        <w:rPr>
          <w:rFonts w:cstheme="minorHAnsi"/>
        </w:rPr>
        <w:t xml:space="preserve"> les salariés figurent </w:t>
      </w:r>
      <w:r w:rsidR="00FA03E2">
        <w:rPr>
          <w:rFonts w:cstheme="minorHAnsi"/>
        </w:rPr>
        <w:t>une journée de congé par an à la disposition des salariés pour l’accompagnement du père, de la mère ou d’un enfant (jusqu’à 25 ans) hospitalisé (au moins une nuit passée à l’hôpital). La possibilité d’utiliser cette journée annuelle sera désormais étendue à l’hospitalisation du conjoint avec</w:t>
      </w:r>
      <w:r w:rsidR="00500734">
        <w:rPr>
          <w:rFonts w:cstheme="minorHAnsi"/>
        </w:rPr>
        <w:t xml:space="preserve"> lequel le salarié est marié, </w:t>
      </w:r>
      <w:r w:rsidR="001B7F03">
        <w:rPr>
          <w:rFonts w:cstheme="minorHAnsi"/>
        </w:rPr>
        <w:t>pacsé ou vit</w:t>
      </w:r>
      <w:r w:rsidR="00500734">
        <w:rPr>
          <w:rFonts w:cstheme="minorHAnsi"/>
        </w:rPr>
        <w:t xml:space="preserve"> maritalement (sur présentation d’une attestation de la ma</w:t>
      </w:r>
      <w:r w:rsidR="001B7F03">
        <w:rPr>
          <w:rFonts w:cstheme="minorHAnsi"/>
        </w:rPr>
        <w:t>i</w:t>
      </w:r>
      <w:r w:rsidR="00500734">
        <w:rPr>
          <w:rFonts w:cstheme="minorHAnsi"/>
        </w:rPr>
        <w:t>rie du lieu d’habitation).</w:t>
      </w:r>
    </w:p>
    <w:p w:rsidR="0088363C" w:rsidRDefault="0088363C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P="00FB5FA4" w:rsidR="0030738D" w:rsidRDefault="0030738D" w:rsidRPr="0030738D">
      <w:pPr>
        <w:ind w:firstLine="708"/>
        <w:rPr>
          <w:rFonts w:cstheme="minorHAnsi"/>
          <w:b/>
        </w:rPr>
      </w:pPr>
      <w:r w:rsidRPr="0030738D">
        <w:rPr>
          <w:rFonts w:cstheme="minorHAnsi"/>
          <w:b/>
        </w:rPr>
        <w:lastRenderedPageBreak/>
        <w:t>4.2 Ouverture de négociations sur 2023</w:t>
      </w:r>
    </w:p>
    <w:p w:rsidP="0086412E" w:rsidR="001B7F03" w:rsidRDefault="0030738D">
      <w:pPr>
        <w:ind w:firstLine="708"/>
        <w:jc w:val="both"/>
        <w:rPr>
          <w:rFonts w:cstheme="minorHAnsi"/>
        </w:rPr>
      </w:pPr>
      <w:r>
        <w:rPr>
          <w:rFonts w:cstheme="minorHAnsi"/>
        </w:rPr>
        <w:t>Les organisations syndicales et la Direction ont convenu de l’ouverture de négociations courant 2023 concernant</w:t>
      </w:r>
      <w:r w:rsidR="001B7F03">
        <w:rPr>
          <w:rFonts w:cstheme="minorHAnsi"/>
        </w:rPr>
        <w:t> :</w:t>
      </w:r>
    </w:p>
    <w:p w:rsidP="001B7F03" w:rsidR="001B7F03" w:rsidRDefault="001B7F03" w:rsidRPr="001B7F03">
      <w:pPr>
        <w:pStyle w:val="Paragraphedeliste"/>
        <w:numPr>
          <w:ilvl w:val="0"/>
          <w:numId w:val="25"/>
        </w:numPr>
        <w:jc w:val="both"/>
        <w:rPr>
          <w:rFonts w:cstheme="minorHAnsi"/>
        </w:rPr>
      </w:pPr>
      <w:r w:rsidRPr="001B7F03">
        <w:rPr>
          <w:rFonts w:cstheme="minorHAnsi"/>
        </w:rPr>
        <w:t>L</w:t>
      </w:r>
      <w:r w:rsidR="0030738D" w:rsidRPr="001B7F03">
        <w:rPr>
          <w:rFonts w:cstheme="minorHAnsi"/>
        </w:rPr>
        <w:t>es horaires de travail</w:t>
      </w:r>
      <w:r w:rsidRPr="001B7F03">
        <w:rPr>
          <w:rFonts w:cstheme="minorHAnsi"/>
        </w:rPr>
        <w:t xml:space="preserve"> et de pause</w:t>
      </w:r>
    </w:p>
    <w:p w:rsidP="001B7F03" w:rsidR="0030738D" w:rsidRDefault="001B7F03" w:rsidRPr="001B7F03">
      <w:pPr>
        <w:pStyle w:val="Paragraphedeliste"/>
        <w:numPr>
          <w:ilvl w:val="0"/>
          <w:numId w:val="25"/>
        </w:numPr>
        <w:jc w:val="both"/>
        <w:rPr>
          <w:rFonts w:cstheme="minorHAnsi"/>
        </w:rPr>
      </w:pPr>
      <w:r w:rsidRPr="001B7F03">
        <w:rPr>
          <w:rFonts w:cstheme="minorHAnsi"/>
        </w:rPr>
        <w:t>Un accord</w:t>
      </w:r>
      <w:r w:rsidR="006B1F44" w:rsidRPr="001B7F03">
        <w:rPr>
          <w:rFonts w:cstheme="minorHAnsi"/>
        </w:rPr>
        <w:t xml:space="preserve"> d’</w:t>
      </w:r>
      <w:r w:rsidRPr="001B7F03">
        <w:rPr>
          <w:rFonts w:cstheme="minorHAnsi"/>
        </w:rPr>
        <w:t>intéressement et de participation</w:t>
      </w:r>
    </w:p>
    <w:p w:rsidP="001B7F03" w:rsidR="001B7F03" w:rsidRDefault="001B7F03" w:rsidRPr="001B7F03">
      <w:pPr>
        <w:pStyle w:val="Paragraphedeliste"/>
        <w:numPr>
          <w:ilvl w:val="0"/>
          <w:numId w:val="25"/>
        </w:numPr>
        <w:jc w:val="both"/>
        <w:rPr>
          <w:rFonts w:cstheme="minorHAnsi"/>
          <w:b/>
        </w:rPr>
      </w:pPr>
      <w:r w:rsidRPr="001B7F03">
        <w:rPr>
          <w:rFonts w:cstheme="minorHAnsi"/>
        </w:rPr>
        <w:t>La Gestion Prévisionnelle de l’Emploi et des Compétences (GPEC).</w:t>
      </w:r>
    </w:p>
    <w:p w:rsidP="008857C3" w:rsidR="008857C3" w:rsidRDefault="008857C3">
      <w:pPr>
        <w:rPr>
          <w:rFonts w:cstheme="minorHAnsi"/>
          <w:b/>
          <w:u w:val="single"/>
        </w:rPr>
      </w:pPr>
    </w:p>
    <w:p w:rsidP="008857C3" w:rsidR="00196EAF" w:rsidRDefault="00AF6D88" w:rsidRPr="00D63014">
      <w:pPr>
        <w:rPr>
          <w:rFonts w:cstheme="minorHAnsi"/>
        </w:rPr>
      </w:pPr>
      <w:r w:rsidRPr="00294BA0">
        <w:rPr>
          <w:rFonts w:cstheme="minorHAnsi"/>
          <w:b/>
          <w:u w:val="single"/>
        </w:rPr>
        <w:t xml:space="preserve">ARTICLE </w:t>
      </w:r>
      <w:r w:rsidR="0030738D">
        <w:rPr>
          <w:rFonts w:cstheme="minorHAnsi"/>
          <w:b/>
          <w:u w:val="single"/>
        </w:rPr>
        <w:t>5</w:t>
      </w:r>
      <w:r w:rsidR="00196EAF" w:rsidRPr="00294BA0">
        <w:rPr>
          <w:rFonts w:cstheme="minorHAnsi"/>
          <w:b/>
          <w:u w:val="single"/>
        </w:rPr>
        <w:t xml:space="preserve"> – </w:t>
      </w:r>
      <w:r w:rsidR="002C0714" w:rsidRPr="00294BA0">
        <w:rPr>
          <w:rFonts w:cstheme="minorHAnsi"/>
          <w:b/>
          <w:u w:val="single"/>
        </w:rPr>
        <w:t xml:space="preserve">Dépôt et publicité </w:t>
      </w:r>
    </w:p>
    <w:p w:rsidP="00543B81" w:rsidR="00196EAF" w:rsidRDefault="00196EAF" w:rsidRPr="00294BA0">
      <w:pPr>
        <w:jc w:val="both"/>
        <w:rPr>
          <w:rFonts w:cstheme="minorHAnsi"/>
        </w:rPr>
      </w:pPr>
      <w:r w:rsidRPr="00294BA0">
        <w:rPr>
          <w:rFonts w:cstheme="minorHAnsi"/>
        </w:rPr>
        <w:t>Le présent accord donnera lieu à notification, publicité et dép</w:t>
      </w:r>
      <w:r w:rsidR="0030738D">
        <w:rPr>
          <w:rFonts w:cstheme="minorHAnsi"/>
        </w:rPr>
        <w:t xml:space="preserve">ôt dans les conditions prévues aux </w:t>
      </w:r>
      <w:r w:rsidRPr="00294BA0">
        <w:rPr>
          <w:rFonts w:cstheme="minorHAnsi"/>
        </w:rPr>
        <w:t>article</w:t>
      </w:r>
      <w:r w:rsidR="0030738D">
        <w:rPr>
          <w:rFonts w:cstheme="minorHAnsi"/>
        </w:rPr>
        <w:t>s</w:t>
      </w:r>
      <w:r w:rsidRPr="00294BA0">
        <w:rPr>
          <w:rFonts w:cstheme="minorHAnsi"/>
        </w:rPr>
        <w:t xml:space="preserve"> L2231-6 et D2231-7 du Code du travail</w:t>
      </w:r>
      <w:r w:rsidR="004D293D" w:rsidRPr="00294BA0">
        <w:rPr>
          <w:rFonts w:cstheme="minorHAnsi"/>
        </w:rPr>
        <w:t>.</w:t>
      </w:r>
    </w:p>
    <w:p w:rsidP="00543B81" w:rsidR="00A53709" w:rsidRDefault="00A53709" w:rsidRPr="00294BA0">
      <w:pPr>
        <w:jc w:val="both"/>
        <w:rPr>
          <w:rFonts w:cstheme="minorHAnsi"/>
        </w:rPr>
      </w:pPr>
    </w:p>
    <w:p w:rsidP="00543B81" w:rsidR="004D293D" w:rsidRDefault="004D293D">
      <w:pPr>
        <w:jc w:val="both"/>
        <w:rPr>
          <w:rFonts w:cstheme="minorHAnsi"/>
        </w:rPr>
      </w:pPr>
      <w:r w:rsidRPr="00294BA0">
        <w:rPr>
          <w:rFonts w:cstheme="minorHAnsi"/>
        </w:rPr>
        <w:t>Fait à H</w:t>
      </w:r>
      <w:r w:rsidR="0030738D">
        <w:rPr>
          <w:rFonts w:cstheme="minorHAnsi"/>
        </w:rPr>
        <w:t>é</w:t>
      </w:r>
      <w:r w:rsidRPr="00294BA0">
        <w:rPr>
          <w:rFonts w:cstheme="minorHAnsi"/>
        </w:rPr>
        <w:t xml:space="preserve">rouville Saint Clair le </w:t>
      </w:r>
      <w:r w:rsidR="006D1788">
        <w:rPr>
          <w:rFonts w:cstheme="minorHAnsi"/>
        </w:rPr>
        <w:t>25</w:t>
      </w:r>
      <w:r w:rsidR="0030738D">
        <w:rPr>
          <w:rFonts w:cstheme="minorHAnsi"/>
        </w:rPr>
        <w:t xml:space="preserve"> janvier 2023</w:t>
      </w:r>
    </w:p>
    <w:p w:rsidP="00543B81" w:rsidR="00A42E96" w:rsidRDefault="00A42E96">
      <w:pPr>
        <w:jc w:val="both"/>
        <w:rPr>
          <w:rFonts w:cstheme="minorHAnsi"/>
        </w:rPr>
      </w:pPr>
    </w:p>
    <w:p w:rsidP="00543B81" w:rsidR="00A42E96" w:rsidRDefault="00A42E96">
      <w:pPr>
        <w:jc w:val="both"/>
        <w:rPr>
          <w:rFonts w:cstheme="minorHAnsi"/>
        </w:rPr>
      </w:pPr>
    </w:p>
    <w:p w:rsidP="00543B81" w:rsidR="00A42E96" w:rsidRDefault="00A42E96">
      <w:pPr>
        <w:jc w:val="both"/>
        <w:rPr>
          <w:rFonts w:cstheme="minorHAnsi"/>
        </w:rPr>
      </w:pPr>
      <w:r>
        <w:rPr>
          <w:rFonts w:cstheme="minorHAnsi"/>
        </w:rPr>
        <w:t>Directeur Général de Farmaclair</w:t>
      </w:r>
    </w:p>
    <w:p w:rsidP="00543B81" w:rsidR="00A42E96" w:rsidRDefault="00A42E96">
      <w:pPr>
        <w:jc w:val="both"/>
        <w:rPr>
          <w:rFonts w:cstheme="minorHAnsi"/>
        </w:rPr>
      </w:pPr>
      <w:r>
        <w:rPr>
          <w:rFonts w:cstheme="minorHAnsi"/>
        </w:rPr>
        <w:t>XXX</w:t>
      </w:r>
    </w:p>
    <w:p w:rsidP="00543B81" w:rsidR="00A42E96" w:rsidRDefault="00A42E96">
      <w:pPr>
        <w:jc w:val="both"/>
        <w:rPr>
          <w:rFonts w:cstheme="minorHAnsi"/>
        </w:rPr>
      </w:pPr>
    </w:p>
    <w:p w:rsidP="00543B81" w:rsidR="00A42E96" w:rsidRDefault="00A42E96">
      <w:pPr>
        <w:jc w:val="both"/>
        <w:rPr>
          <w:rFonts w:cstheme="minorHAnsi"/>
        </w:rPr>
      </w:pPr>
    </w:p>
    <w:p w:rsidP="00543B81" w:rsidR="00A42E96" w:rsidRDefault="00A42E96">
      <w:pPr>
        <w:jc w:val="both"/>
        <w:rPr>
          <w:rFonts w:cstheme="minorHAnsi"/>
        </w:rPr>
      </w:pPr>
      <w:r>
        <w:rPr>
          <w:rFonts w:cstheme="minorHAnsi"/>
        </w:rPr>
        <w:t>Délégué syndical CGT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Délégué syndical UNSA</w:t>
      </w:r>
    </w:p>
    <w:p w:rsidP="00543B81" w:rsidR="00A42E96" w:rsidRDefault="00A42E96" w:rsidRPr="00294BA0">
      <w:pPr>
        <w:jc w:val="both"/>
        <w:rPr>
          <w:rFonts w:cstheme="minorHAnsi"/>
        </w:rPr>
      </w:pPr>
      <w:r>
        <w:rPr>
          <w:rFonts w:cstheme="minorHAnsi"/>
        </w:rPr>
        <w:t>XXX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XXX</w:t>
      </w:r>
      <w:bookmarkStart w:id="0" w:name="_GoBack"/>
      <w:bookmarkEnd w:id="0"/>
    </w:p>
    <w:p w:rsidP="00243F64" w:rsidR="00044EEC" w:rsidRDefault="00243F64" w:rsidRPr="009A4B51">
      <w:pPr>
        <w:jc w:val="both"/>
        <w:rPr>
          <w:rFonts w:cstheme="minorHAnsi"/>
        </w:rPr>
      </w:pPr>
      <w:r w:rsidRPr="009A4B51">
        <w:rPr>
          <w:rFonts w:cstheme="minorHAnsi"/>
        </w:rPr>
        <w:tab/>
      </w:r>
      <w:r w:rsidRPr="009A4B51">
        <w:rPr>
          <w:rFonts w:cstheme="minorHAnsi"/>
        </w:rPr>
        <w:tab/>
      </w:r>
      <w:r w:rsidR="00044EEC" w:rsidRPr="009A4B51">
        <w:rPr>
          <w:rFonts w:cstheme="minorHAnsi"/>
        </w:rPr>
        <w:tab/>
      </w:r>
    </w:p>
    <w:p w:rsidP="00543B81" w:rsidR="00044EEC" w:rsidRDefault="00044EEC">
      <w:pPr>
        <w:jc w:val="both"/>
      </w:pPr>
      <w:r>
        <w:tab/>
      </w:r>
      <w:r>
        <w:tab/>
      </w:r>
    </w:p>
    <w:sectPr w:rsidR="00044EEC" w:rsidSect="00A53709">
      <w:footerReference r:id="rId9" w:type="default"/>
      <w:pgSz w:h="16838" w:w="11906"/>
      <w:pgMar w:bottom="1417" w:footer="708" w:gutter="0" w:header="708" w:left="1417" w:right="1417" w:top="11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5C3" w:rsidRDefault="005255C3" w:rsidP="003E0460">
      <w:pPr>
        <w:spacing w:after="0" w:line="240" w:lineRule="auto"/>
      </w:pPr>
      <w:r>
        <w:separator/>
      </w:r>
    </w:p>
  </w:endnote>
  <w:endnote w:type="continuationSeparator" w:id="0">
    <w:p w:rsidR="005255C3" w:rsidRDefault="005255C3" w:rsidP="003E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2028754783"/>
      <w:docPartObj>
        <w:docPartGallery w:val="Page Numbers (Bottom of Page)"/>
        <w:docPartUnique/>
      </w:docPartObj>
    </w:sdtPr>
    <w:sdtEndPr/>
    <w:sdtContent>
      <w:p w:rsidR="003E0460" w:rsidRDefault="003E046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B="0" distL="0" distR="0" distT="0">
                  <wp:extent cx="5467350" cy="45085"/>
                  <wp:effectExtent b="2540" l="0" r="0" t="9525"/>
                  <wp:docPr descr="Light horizontal" id="3" name="Organigramme : Dé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coordsize="21600,21600" id="_x0000_t110" o:spt="110" path="m10800,l,10800,10800,21600,21600,10800xe" w14:anchorId="6963FA52">
                  <v:stroke joinstyle="miter"/>
                  <v:path gradientshapeok="t" o:connecttype="rect" textboxrect="5400,5400,16200,16200"/>
                </v:shapetype>
                <v:shape alt="Light horizontal" fillcolor="black" id="Organigramme : Décision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07JtxgIAAIUFAAAOAAAAZHJzL2Uyb0RvYy54bWysVN1u0zAUvkfiHSzfd0m6pGuipdNYKSAV NmnAves4iYVjG9ttuiHehVteA16MYyfrNn4khMiF459zjr/znc/n9GzfCbRjxnIlS5wcxRgxSVXF ZVPid29XkzlG1hFZEaEkK/ENs/hs8fTJaa8LNlWtEhUzCIJIW/S6xK1zuogiS1vWEXukNJNwWCvT EQdL00SVIT1E70Q0jeNZ1CtTaaMosxZ2l8MhXoT4dc2ou6xryxwSJQZsLowmjBs/RotTUjSG6JbT EQb5BxQd4RIuPYRaEkfQ1vBfQnWcGmVV7Y6o6iJV15yykANkk8Q/ZXPdEs1CLkCO1Qea7P8LS9/s rgziVYmPMZKkgxJdmoZIDpx0Hfv2pUDL718p9/VFYFIxS4G+NW9ah1pl+K2SjgjPY69tAeGu9ZXx TFi9VvSDRVJdtEQ27NwY1beMVIA+8fbRIwe/sOCKNv1rVQEMsnUqULqvTYdqwfV77+hDA21oH2p4 c6gh2ztEYTNLZyfHGZSawlmaxfMs3EUKH8Y7a2PdC6Y65CclroXqAaBxSzZkGW4gu7V1HuO9ffAl zq24EKOvcC+VuQ0OdXMhTEjbNBuYoh3xigvfCOBgsvmt7Sp8o+1o4q8fr/SxhfSjVB7CAG7YgdwB rj/zLATZfcqTaRo/m+aT1Wx+MklXaTbJT+L5JE7yZ/ksTvN0ufrsoSdp0fKqYnLNJbt7Akn6dxIb H+Mg3vAIUF/iPJtmgRWrBK88Wo/N/pGZR2Ydd9ARBO9KPD/QRwqvnOeygrRJ4QgXwzx6DD8UDDi4 +wdWgs68tAaJblR1AzIzCooPMoHeBRNQ8i1GPfSBEtuPW2IYRuKVBKnmSZr6xhEWaXYyhYV5eLJ5 eEIkhVAldhgN0ws3NJutNv7J3ClYqnOQd82Dxrz0B1Tjo4C3HjIY+5JvJg/Xweq+ey5+AAAA//8D AFBLAwQUAAYACAAAACEATEGWRNkAAAADAQAADwAAAGRycy9kb3ducmV2LnhtbEyPwW7CMBBE75X6 D9Yi9VIVJxwgSuMgqMQHBDhwNPGSpI3XUWyIy9d320u5jDSa1czbYh1tL244+s6RgnSegECqnemo UXA87N4yED5oMrp3hAq+0cO6fH4qdG7cRBXe9qERXEI+1wraEIZcSl+3aLWfuwGJs4sbrQ5sx0aa UU9cbnu5SJKltLojXmj1gB8t1l/7q1Wwq8zWv073+Hk5ZUd3WMR7tdoq9TKLm3cQAWP4P4ZffEaH kpnO7krGi14BPxL+lLNsmbI9K1ilIMtCPrKXPwAAAP//AwBQSwECLQAUAAYACAAAACEAtoM4kv4A AADhAQAAEwAAAAAAAAAAAAAAAAAAAAAAW0NvbnRlbnRfVHlwZXNdLnhtbFBLAQItABQABgAIAAAA IQA4/SH/1gAAAJQBAAALAAAAAAAAAAAAAAAAAC8BAABfcmVscy8ucmVsc1BLAQItABQABgAIAAAA IQB/07JtxgIAAIUFAAAOAAAAAAAAAAAAAAAAAC4CAABkcnMvZTJvRG9jLnhtbFBLAQItABQABgAI AAAAIQBMQZZE2QAAAAMBAAAPAAAAAAAAAAAAAAAAACAFAABkcnMvZG93bnJldi54bWxQSwUGAAAA AAQABADzAAAAJgYAAAAA " o:spid="_x0000_s1026" stroked="f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110">
                  <v:fill o:title="" r:id="rId1" type="pattern"/>
                  <w10:anchorlock/>
                </v:shape>
              </w:pict>
            </mc:Fallback>
          </mc:AlternateContent>
        </w:r>
      </w:p>
      <w:p w:rsidR="003E0460" w:rsidRDefault="003E046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42E96">
          <w:rPr>
            <w:noProof/>
          </w:rPr>
          <w:t>1</w:t>
        </w:r>
        <w:r>
          <w:fldChar w:fldCharType="end"/>
        </w:r>
        <w:r w:rsidR="00651AB7">
          <w:t>/3</w:t>
        </w:r>
      </w:p>
    </w:sdtContent>
  </w:sdt>
  <w:p w:rsidR="003E0460" w:rsidRDefault="003E0460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3E0460" w:rsidR="005255C3" w:rsidRDefault="005255C3">
      <w:pPr>
        <w:spacing w:after="0" w:line="240" w:lineRule="auto"/>
      </w:pPr>
      <w:r>
        <w:separator/>
      </w:r>
    </w:p>
  </w:footnote>
  <w:footnote w:id="0" w:type="continuationSeparator">
    <w:p w:rsidP="003E0460" w:rsidR="005255C3" w:rsidRDefault="00525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A8551D"/>
    <w:multiLevelType w:val="hybridMultilevel"/>
    <w:tmpl w:val="12048FF0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59A0BE8"/>
    <w:multiLevelType w:val="hybridMultilevel"/>
    <w:tmpl w:val="91FAA588"/>
    <w:lvl w:ilvl="0" w:tplc="26A4C240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8850E3F"/>
    <w:multiLevelType w:val="hybridMultilevel"/>
    <w:tmpl w:val="845EAA02"/>
    <w:lvl w:ilvl="0" w:tplc="FCE8F2B0">
      <w:start w:val="3"/>
      <w:numFmt w:val="decimal"/>
      <w:lvlText w:val="%1)"/>
      <w:lvlJc w:val="left"/>
      <w:pPr>
        <w:ind w:hanging="360" w:left="234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5D53A19"/>
    <w:multiLevelType w:val="hybridMultilevel"/>
    <w:tmpl w:val="AE440E08"/>
    <w:lvl w:ilvl="0" w:tplc="78A2816C">
      <w:start w:val="21"/>
      <w:numFmt w:val="decimal"/>
      <w:lvlText w:val="%1)"/>
      <w:lvlJc w:val="left"/>
      <w:pPr>
        <w:ind w:hanging="360" w:left="720"/>
      </w:pPr>
      <w:rPr>
        <w:rFonts w:hint="default"/>
      </w:rPr>
    </w:lvl>
    <w:lvl w:ilvl="1" w:tplc="6CA6AE9E">
      <w:start w:val="1"/>
      <w:numFmt w:val="upperRoman"/>
      <w:lvlText w:val="%2."/>
      <w:lvlJc w:val="left"/>
      <w:pPr>
        <w:ind w:hanging="360" w:left="1440"/>
      </w:pPr>
      <w:rPr>
        <w:rFonts w:asciiTheme="minorHAnsi" w:cstheme="minorBidi" w:eastAsiaTheme="minorHAnsi" w:hAnsiTheme="minorHAnsi"/>
      </w:rPr>
    </w:lvl>
    <w:lvl w:ilvl="2" w:tplc="78A2816C">
      <w:start w:val="21"/>
      <w:numFmt w:val="decimal"/>
      <w:lvlText w:val="%3)"/>
      <w:lvlJc w:val="left"/>
      <w:pPr>
        <w:ind w:hanging="360" w:left="2160"/>
      </w:pPr>
      <w:rPr>
        <w:rFonts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D4643D8"/>
    <w:multiLevelType w:val="hybridMultilevel"/>
    <w:tmpl w:val="8E1E7EBA"/>
    <w:lvl w:ilvl="0" w:tplc="9E26C104">
      <w:start w:val="1"/>
      <w:numFmt w:val="decimal"/>
      <w:lvlText w:val="%1)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0DE0F5C"/>
    <w:multiLevelType w:val="hybridMultilevel"/>
    <w:tmpl w:val="A8E85838"/>
    <w:lvl w:ilvl="0" w:tplc="CC6A8E8A">
      <w:start w:val="1"/>
      <w:numFmt w:val="decimal"/>
      <w:lvlText w:val="%1)"/>
      <w:lvlJc w:val="left"/>
      <w:pPr>
        <w:ind w:hanging="360" w:left="106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68"/>
      </w:pPr>
    </w:lvl>
    <w:lvl w:ilvl="2" w:tentative="1" w:tplc="040C001B">
      <w:start w:val="1"/>
      <w:numFmt w:val="lowerRoman"/>
      <w:lvlText w:val="%3."/>
      <w:lvlJc w:val="right"/>
      <w:pPr>
        <w:ind w:hanging="180" w:left="888"/>
      </w:pPr>
    </w:lvl>
    <w:lvl w:ilvl="3" w:tentative="1" w:tplc="040C000F">
      <w:start w:val="1"/>
      <w:numFmt w:val="decimal"/>
      <w:lvlText w:val="%4."/>
      <w:lvlJc w:val="left"/>
      <w:pPr>
        <w:ind w:hanging="360" w:left="1608"/>
      </w:pPr>
    </w:lvl>
    <w:lvl w:ilvl="4" w:tentative="1" w:tplc="040C0019">
      <w:start w:val="1"/>
      <w:numFmt w:val="lowerLetter"/>
      <w:lvlText w:val="%5."/>
      <w:lvlJc w:val="left"/>
      <w:pPr>
        <w:ind w:hanging="360" w:left="2328"/>
      </w:pPr>
    </w:lvl>
    <w:lvl w:ilvl="5" w:tentative="1" w:tplc="040C001B">
      <w:start w:val="1"/>
      <w:numFmt w:val="lowerRoman"/>
      <w:lvlText w:val="%6."/>
      <w:lvlJc w:val="right"/>
      <w:pPr>
        <w:ind w:hanging="180" w:left="3048"/>
      </w:pPr>
    </w:lvl>
    <w:lvl w:ilvl="6" w:tentative="1" w:tplc="040C000F">
      <w:start w:val="1"/>
      <w:numFmt w:val="decimal"/>
      <w:lvlText w:val="%7."/>
      <w:lvlJc w:val="left"/>
      <w:pPr>
        <w:ind w:hanging="360" w:left="3768"/>
      </w:pPr>
    </w:lvl>
    <w:lvl w:ilvl="7" w:tentative="1" w:tplc="040C0019">
      <w:start w:val="1"/>
      <w:numFmt w:val="lowerLetter"/>
      <w:lvlText w:val="%8."/>
      <w:lvlJc w:val="left"/>
      <w:pPr>
        <w:ind w:hanging="360" w:left="4488"/>
      </w:pPr>
    </w:lvl>
    <w:lvl w:ilvl="8" w:tentative="1" w:tplc="040C001B">
      <w:start w:val="1"/>
      <w:numFmt w:val="lowerRoman"/>
      <w:lvlText w:val="%9."/>
      <w:lvlJc w:val="right"/>
      <w:pPr>
        <w:ind w:hanging="180" w:left="5208"/>
      </w:pPr>
    </w:lvl>
  </w:abstractNum>
  <w:abstractNum w15:restartNumberingAfterBreak="0" w:abstractNumId="6">
    <w:nsid w:val="20FB7542"/>
    <w:multiLevelType w:val="hybridMultilevel"/>
    <w:tmpl w:val="71D8C4EE"/>
    <w:lvl w:ilvl="0" w:tplc="1306490A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60B3481"/>
    <w:multiLevelType w:val="hybridMultilevel"/>
    <w:tmpl w:val="E9A614C8"/>
    <w:lvl w:ilvl="0" w:tplc="9E26C104">
      <w:start w:val="1"/>
      <w:numFmt w:val="decimal"/>
      <w:lvlText w:val="%1)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A86016B"/>
    <w:multiLevelType w:val="hybridMultilevel"/>
    <w:tmpl w:val="19701C38"/>
    <w:lvl w:ilvl="0" w:tplc="CC6A8E8A">
      <w:start w:val="1"/>
      <w:numFmt w:val="decimal"/>
      <w:lvlText w:val="%1)"/>
      <w:lvlJc w:val="left"/>
      <w:pPr>
        <w:ind w:hanging="360" w:left="234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333D58CF"/>
    <w:multiLevelType w:val="hybridMultilevel"/>
    <w:tmpl w:val="E320C702"/>
    <w:lvl w:ilvl="0" w:tplc="9960614C">
      <w:start w:val="3"/>
      <w:numFmt w:val="decimal"/>
      <w:lvlText w:val="%1)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5677DC0"/>
    <w:multiLevelType w:val="hybridMultilevel"/>
    <w:tmpl w:val="0C0809E2"/>
    <w:lvl w:ilvl="0" w:tplc="A7BC42CA">
      <w:start w:val="3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3608224A"/>
    <w:multiLevelType w:val="hybridMultilevel"/>
    <w:tmpl w:val="B0B0E940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1DB03B88">
      <w:start w:val="1"/>
      <w:numFmt w:val="upperRoman"/>
      <w:lvlText w:val="%2."/>
      <w:lvlJc w:val="left"/>
      <w:pPr>
        <w:ind w:hanging="360" w:left="1440"/>
      </w:pPr>
      <w:rPr>
        <w:rFonts w:asciiTheme="minorHAnsi" w:cstheme="minorBidi" w:eastAsiaTheme="minorHAnsi" w:hAnsiTheme="minorHAnsi"/>
      </w:rPr>
    </w:lvl>
    <w:lvl w:ilvl="2" w:tplc="CC6A8E8A">
      <w:start w:val="1"/>
      <w:numFmt w:val="decimal"/>
      <w:lvlText w:val="%3)"/>
      <w:lvlJc w:val="left"/>
      <w:pPr>
        <w:ind w:hanging="360" w:left="2340"/>
      </w:pPr>
      <w:rPr>
        <w:rFonts w:hint="default"/>
      </w:r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8426E2D"/>
    <w:multiLevelType w:val="hybridMultilevel"/>
    <w:tmpl w:val="0C1C1354"/>
    <w:lvl w:ilvl="0" w:tplc="B218C4E8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0011D64"/>
    <w:multiLevelType w:val="hybridMultilevel"/>
    <w:tmpl w:val="AE440E08"/>
    <w:lvl w:ilvl="0" w:tplc="78A2816C">
      <w:start w:val="21"/>
      <w:numFmt w:val="decimal"/>
      <w:lvlText w:val="%1)"/>
      <w:lvlJc w:val="left"/>
      <w:pPr>
        <w:ind w:hanging="360" w:left="720"/>
      </w:pPr>
      <w:rPr>
        <w:rFonts w:hint="default"/>
      </w:rPr>
    </w:lvl>
    <w:lvl w:ilvl="1" w:tplc="6CA6AE9E">
      <w:start w:val="1"/>
      <w:numFmt w:val="upperRoman"/>
      <w:lvlText w:val="%2."/>
      <w:lvlJc w:val="left"/>
      <w:pPr>
        <w:ind w:hanging="360" w:left="1440"/>
      </w:pPr>
      <w:rPr>
        <w:rFonts w:asciiTheme="minorHAnsi" w:cstheme="minorBidi" w:eastAsiaTheme="minorHAnsi" w:hAnsiTheme="minorHAnsi"/>
      </w:rPr>
    </w:lvl>
    <w:lvl w:ilvl="2" w:tplc="78A2816C">
      <w:start w:val="21"/>
      <w:numFmt w:val="decimal"/>
      <w:lvlText w:val="%3)"/>
      <w:lvlJc w:val="left"/>
      <w:pPr>
        <w:ind w:hanging="360" w:left="2160"/>
      </w:pPr>
      <w:rPr>
        <w:rFonts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C7E5130"/>
    <w:multiLevelType w:val="hybridMultilevel"/>
    <w:tmpl w:val="5492BE46"/>
    <w:lvl w:ilvl="0" w:tplc="040C0011">
      <w:start w:val="1"/>
      <w:numFmt w:val="decimal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D591EA3"/>
    <w:multiLevelType w:val="hybridMultilevel"/>
    <w:tmpl w:val="F21482F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D8C2E02"/>
    <w:multiLevelType w:val="hybridMultilevel"/>
    <w:tmpl w:val="795644AE"/>
    <w:lvl w:ilvl="0" w:tplc="B218C4E8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74F2BF8"/>
    <w:multiLevelType w:val="hybridMultilevel"/>
    <w:tmpl w:val="E624824C"/>
    <w:lvl w:ilvl="0" w:tplc="040C000F">
      <w:start w:val="1"/>
      <w:numFmt w:val="decimal"/>
      <w:lvlText w:val="%1."/>
      <w:lvlJc w:val="left"/>
      <w:pPr>
        <w:ind w:hanging="360" w:left="1080"/>
      </w:p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8">
    <w:nsid w:val="5B55198B"/>
    <w:multiLevelType w:val="hybridMultilevel"/>
    <w:tmpl w:val="E320C702"/>
    <w:lvl w:ilvl="0" w:tplc="9960614C">
      <w:start w:val="3"/>
      <w:numFmt w:val="decimal"/>
      <w:lvlText w:val="%1)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5C365EB7"/>
    <w:multiLevelType w:val="hybridMultilevel"/>
    <w:tmpl w:val="C7AA5134"/>
    <w:lvl w:ilvl="0" w:tplc="040C0005">
      <w:start w:val="1"/>
      <w:numFmt w:val="bullet"/>
      <w:lvlText w:val=""/>
      <w:lvlJc w:val="left"/>
      <w:pPr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20">
    <w:nsid w:val="5CB6715D"/>
    <w:multiLevelType w:val="hybridMultilevel"/>
    <w:tmpl w:val="7DAEDB62"/>
    <w:lvl w:ilvl="0" w:tplc="26A4C240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BD16E60"/>
    <w:multiLevelType w:val="hybridMultilevel"/>
    <w:tmpl w:val="496C1E5C"/>
    <w:lvl w:ilvl="0" w:tplc="040C000F">
      <w:start w:val="1"/>
      <w:numFmt w:val="decimal"/>
      <w:lvlText w:val="%1."/>
      <w:lvlJc w:val="left"/>
      <w:pPr>
        <w:ind w:hanging="360" w:left="1146"/>
      </w:pPr>
    </w:lvl>
    <w:lvl w:ilvl="1" w:tentative="1" w:tplc="040C0019">
      <w:start w:val="1"/>
      <w:numFmt w:val="lowerLetter"/>
      <w:lvlText w:val="%2."/>
      <w:lvlJc w:val="left"/>
      <w:pPr>
        <w:ind w:hanging="360" w:left="1866"/>
      </w:pPr>
    </w:lvl>
    <w:lvl w:ilvl="2" w:tentative="1" w:tplc="040C001B">
      <w:start w:val="1"/>
      <w:numFmt w:val="lowerRoman"/>
      <w:lvlText w:val="%3."/>
      <w:lvlJc w:val="right"/>
      <w:pPr>
        <w:ind w:hanging="180" w:left="2586"/>
      </w:pPr>
    </w:lvl>
    <w:lvl w:ilvl="3" w:tentative="1" w:tplc="040C000F">
      <w:start w:val="1"/>
      <w:numFmt w:val="decimal"/>
      <w:lvlText w:val="%4."/>
      <w:lvlJc w:val="left"/>
      <w:pPr>
        <w:ind w:hanging="360" w:left="3306"/>
      </w:pPr>
    </w:lvl>
    <w:lvl w:ilvl="4" w:tentative="1" w:tplc="040C0019">
      <w:start w:val="1"/>
      <w:numFmt w:val="lowerLetter"/>
      <w:lvlText w:val="%5."/>
      <w:lvlJc w:val="left"/>
      <w:pPr>
        <w:ind w:hanging="360" w:left="4026"/>
      </w:pPr>
    </w:lvl>
    <w:lvl w:ilvl="5" w:tentative="1" w:tplc="040C001B">
      <w:start w:val="1"/>
      <w:numFmt w:val="lowerRoman"/>
      <w:lvlText w:val="%6."/>
      <w:lvlJc w:val="right"/>
      <w:pPr>
        <w:ind w:hanging="180" w:left="4746"/>
      </w:pPr>
    </w:lvl>
    <w:lvl w:ilvl="6" w:tentative="1" w:tplc="040C000F">
      <w:start w:val="1"/>
      <w:numFmt w:val="decimal"/>
      <w:lvlText w:val="%7."/>
      <w:lvlJc w:val="left"/>
      <w:pPr>
        <w:ind w:hanging="360" w:left="5466"/>
      </w:pPr>
    </w:lvl>
    <w:lvl w:ilvl="7" w:tentative="1" w:tplc="040C0019">
      <w:start w:val="1"/>
      <w:numFmt w:val="lowerLetter"/>
      <w:lvlText w:val="%8."/>
      <w:lvlJc w:val="left"/>
      <w:pPr>
        <w:ind w:hanging="360" w:left="6186"/>
      </w:pPr>
    </w:lvl>
    <w:lvl w:ilvl="8" w:tentative="1" w:tplc="040C001B">
      <w:start w:val="1"/>
      <w:numFmt w:val="lowerRoman"/>
      <w:lvlText w:val="%9."/>
      <w:lvlJc w:val="right"/>
      <w:pPr>
        <w:ind w:hanging="180" w:left="6906"/>
      </w:pPr>
    </w:lvl>
  </w:abstractNum>
  <w:abstractNum w15:restartNumberingAfterBreak="0" w:abstractNumId="22">
    <w:nsid w:val="6F3F0D27"/>
    <w:multiLevelType w:val="hybridMultilevel"/>
    <w:tmpl w:val="788AE6E4"/>
    <w:lvl w:ilvl="0" w:tplc="B218C4E8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790B7A75"/>
    <w:multiLevelType w:val="hybridMultilevel"/>
    <w:tmpl w:val="5F444194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24">
    <w:nsid w:val="7A7A5D6A"/>
    <w:multiLevelType w:val="hybridMultilevel"/>
    <w:tmpl w:val="013A7024"/>
    <w:lvl w:ilvl="0" w:tplc="B218C4E8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6"/>
  </w:num>
  <w:num w:numId="5">
    <w:abstractNumId w:val="0"/>
  </w:num>
  <w:num w:numId="6">
    <w:abstractNumId w:val="17"/>
  </w:num>
  <w:num w:numId="7">
    <w:abstractNumId w:val="14"/>
  </w:num>
  <w:num w:numId="8">
    <w:abstractNumId w:val="18"/>
  </w:num>
  <w:num w:numId="9">
    <w:abstractNumId w:val="10"/>
  </w:num>
  <w:num w:numId="10">
    <w:abstractNumId w:val="15"/>
  </w:num>
  <w:num w:numId="11">
    <w:abstractNumId w:val="21"/>
  </w:num>
  <w:num w:numId="12">
    <w:abstractNumId w:val="8"/>
  </w:num>
  <w:num w:numId="13">
    <w:abstractNumId w:val="2"/>
  </w:num>
  <w:num w:numId="14">
    <w:abstractNumId w:val="12"/>
  </w:num>
  <w:num w:numId="15">
    <w:abstractNumId w:val="22"/>
  </w:num>
  <w:num w:numId="16">
    <w:abstractNumId w:val="24"/>
  </w:num>
  <w:num w:numId="17">
    <w:abstractNumId w:val="9"/>
  </w:num>
  <w:num w:numId="18">
    <w:abstractNumId w:val="5"/>
  </w:num>
  <w:num w:numId="19">
    <w:abstractNumId w:val="7"/>
  </w:num>
  <w:num w:numId="20">
    <w:abstractNumId w:val="13"/>
  </w:num>
  <w:num w:numId="21">
    <w:abstractNumId w:val="6"/>
  </w:num>
  <w:num w:numId="22">
    <w:abstractNumId w:val="1"/>
  </w:num>
  <w:num w:numId="23">
    <w:abstractNumId w:val="20"/>
  </w:num>
  <w:num w:numId="24">
    <w:abstractNumId w:val="23"/>
  </w:num>
  <w:num w:numId="25">
    <w:abstractNumId w:val="1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67"/>
    <w:rsid w:val="00014946"/>
    <w:rsid w:val="00014AD7"/>
    <w:rsid w:val="00022EE8"/>
    <w:rsid w:val="00026962"/>
    <w:rsid w:val="00030315"/>
    <w:rsid w:val="00030405"/>
    <w:rsid w:val="000320D4"/>
    <w:rsid w:val="00035D39"/>
    <w:rsid w:val="00044EEC"/>
    <w:rsid w:val="000539DA"/>
    <w:rsid w:val="000603EC"/>
    <w:rsid w:val="000A0FA1"/>
    <w:rsid w:val="000B57B5"/>
    <w:rsid w:val="000C624B"/>
    <w:rsid w:val="000E035A"/>
    <w:rsid w:val="000E563C"/>
    <w:rsid w:val="00101984"/>
    <w:rsid w:val="001038F1"/>
    <w:rsid w:val="00112211"/>
    <w:rsid w:val="0011232F"/>
    <w:rsid w:val="00125FCC"/>
    <w:rsid w:val="00137F19"/>
    <w:rsid w:val="00147B23"/>
    <w:rsid w:val="001670A6"/>
    <w:rsid w:val="0019002C"/>
    <w:rsid w:val="001931B0"/>
    <w:rsid w:val="00196EAF"/>
    <w:rsid w:val="00197FC7"/>
    <w:rsid w:val="001A566C"/>
    <w:rsid w:val="001B2181"/>
    <w:rsid w:val="001B7F03"/>
    <w:rsid w:val="001F1132"/>
    <w:rsid w:val="00202280"/>
    <w:rsid w:val="00213331"/>
    <w:rsid w:val="00215685"/>
    <w:rsid w:val="0022013D"/>
    <w:rsid w:val="00224288"/>
    <w:rsid w:val="00232829"/>
    <w:rsid w:val="00237DF1"/>
    <w:rsid w:val="00243F64"/>
    <w:rsid w:val="0025672D"/>
    <w:rsid w:val="00263A09"/>
    <w:rsid w:val="00273E70"/>
    <w:rsid w:val="0028369F"/>
    <w:rsid w:val="00294BA0"/>
    <w:rsid w:val="00295C10"/>
    <w:rsid w:val="002A1C39"/>
    <w:rsid w:val="002A4357"/>
    <w:rsid w:val="002B0049"/>
    <w:rsid w:val="002C0714"/>
    <w:rsid w:val="002C2587"/>
    <w:rsid w:val="002C4027"/>
    <w:rsid w:val="00300CDA"/>
    <w:rsid w:val="0030738D"/>
    <w:rsid w:val="003168DD"/>
    <w:rsid w:val="0033046C"/>
    <w:rsid w:val="00343B5E"/>
    <w:rsid w:val="00346558"/>
    <w:rsid w:val="00347B0E"/>
    <w:rsid w:val="00357D99"/>
    <w:rsid w:val="003665DF"/>
    <w:rsid w:val="00370DB7"/>
    <w:rsid w:val="0037458E"/>
    <w:rsid w:val="003908FE"/>
    <w:rsid w:val="00391959"/>
    <w:rsid w:val="00393E1B"/>
    <w:rsid w:val="003A0455"/>
    <w:rsid w:val="003A0541"/>
    <w:rsid w:val="003B548F"/>
    <w:rsid w:val="003C532D"/>
    <w:rsid w:val="003D1B84"/>
    <w:rsid w:val="003D6E72"/>
    <w:rsid w:val="003E0460"/>
    <w:rsid w:val="00400DD4"/>
    <w:rsid w:val="00402932"/>
    <w:rsid w:val="0041302F"/>
    <w:rsid w:val="00421716"/>
    <w:rsid w:val="00427409"/>
    <w:rsid w:val="00430250"/>
    <w:rsid w:val="0043355C"/>
    <w:rsid w:val="004347C9"/>
    <w:rsid w:val="00435A0B"/>
    <w:rsid w:val="004416BD"/>
    <w:rsid w:val="004450D1"/>
    <w:rsid w:val="00462ABF"/>
    <w:rsid w:val="00476287"/>
    <w:rsid w:val="00481C92"/>
    <w:rsid w:val="00484185"/>
    <w:rsid w:val="00486EC2"/>
    <w:rsid w:val="00491364"/>
    <w:rsid w:val="00492067"/>
    <w:rsid w:val="004B55ED"/>
    <w:rsid w:val="004C191A"/>
    <w:rsid w:val="004C234F"/>
    <w:rsid w:val="004C57C8"/>
    <w:rsid w:val="004C588C"/>
    <w:rsid w:val="004C6251"/>
    <w:rsid w:val="004D293D"/>
    <w:rsid w:val="004E69B9"/>
    <w:rsid w:val="004F6932"/>
    <w:rsid w:val="00500734"/>
    <w:rsid w:val="00504C55"/>
    <w:rsid w:val="00507C10"/>
    <w:rsid w:val="00520DFC"/>
    <w:rsid w:val="00522356"/>
    <w:rsid w:val="005255C3"/>
    <w:rsid w:val="00543B81"/>
    <w:rsid w:val="00554E23"/>
    <w:rsid w:val="00566C28"/>
    <w:rsid w:val="00567F39"/>
    <w:rsid w:val="00572AAC"/>
    <w:rsid w:val="00577A94"/>
    <w:rsid w:val="00591C12"/>
    <w:rsid w:val="005927BE"/>
    <w:rsid w:val="005A60EA"/>
    <w:rsid w:val="005B5543"/>
    <w:rsid w:val="005C2C19"/>
    <w:rsid w:val="005C3928"/>
    <w:rsid w:val="005C560E"/>
    <w:rsid w:val="005C5F04"/>
    <w:rsid w:val="005D4F18"/>
    <w:rsid w:val="005F0C76"/>
    <w:rsid w:val="00601753"/>
    <w:rsid w:val="00636943"/>
    <w:rsid w:val="00640020"/>
    <w:rsid w:val="00640227"/>
    <w:rsid w:val="00644489"/>
    <w:rsid w:val="00651AB7"/>
    <w:rsid w:val="00670B09"/>
    <w:rsid w:val="006925F1"/>
    <w:rsid w:val="00695B62"/>
    <w:rsid w:val="006A604C"/>
    <w:rsid w:val="006B1F44"/>
    <w:rsid w:val="006B3A1C"/>
    <w:rsid w:val="006B4CBD"/>
    <w:rsid w:val="006C09C1"/>
    <w:rsid w:val="006D1788"/>
    <w:rsid w:val="006E2091"/>
    <w:rsid w:val="006E69F4"/>
    <w:rsid w:val="006F2053"/>
    <w:rsid w:val="00713D53"/>
    <w:rsid w:val="007434E2"/>
    <w:rsid w:val="00750FAD"/>
    <w:rsid w:val="00761DBA"/>
    <w:rsid w:val="00765C1D"/>
    <w:rsid w:val="00771EAC"/>
    <w:rsid w:val="00783FD2"/>
    <w:rsid w:val="0078594F"/>
    <w:rsid w:val="0079676F"/>
    <w:rsid w:val="007A10CD"/>
    <w:rsid w:val="007B60E7"/>
    <w:rsid w:val="007C468F"/>
    <w:rsid w:val="007C64AD"/>
    <w:rsid w:val="007C7594"/>
    <w:rsid w:val="007D001C"/>
    <w:rsid w:val="007D28BD"/>
    <w:rsid w:val="007E481E"/>
    <w:rsid w:val="00832981"/>
    <w:rsid w:val="00834831"/>
    <w:rsid w:val="00861BEA"/>
    <w:rsid w:val="00862A01"/>
    <w:rsid w:val="0086389D"/>
    <w:rsid w:val="0086412E"/>
    <w:rsid w:val="008729BC"/>
    <w:rsid w:val="00874CC8"/>
    <w:rsid w:val="0088363C"/>
    <w:rsid w:val="008857C3"/>
    <w:rsid w:val="00893448"/>
    <w:rsid w:val="008A54B9"/>
    <w:rsid w:val="008D414F"/>
    <w:rsid w:val="008E350E"/>
    <w:rsid w:val="008E3A8C"/>
    <w:rsid w:val="008F2A06"/>
    <w:rsid w:val="008F67C1"/>
    <w:rsid w:val="00900747"/>
    <w:rsid w:val="00913E03"/>
    <w:rsid w:val="00923D80"/>
    <w:rsid w:val="009248F5"/>
    <w:rsid w:val="00935CDB"/>
    <w:rsid w:val="009406D6"/>
    <w:rsid w:val="00941FCB"/>
    <w:rsid w:val="00952C12"/>
    <w:rsid w:val="00954512"/>
    <w:rsid w:val="00967C1E"/>
    <w:rsid w:val="0099107B"/>
    <w:rsid w:val="009A043B"/>
    <w:rsid w:val="009A4B51"/>
    <w:rsid w:val="009A73FA"/>
    <w:rsid w:val="009E0EBC"/>
    <w:rsid w:val="009E7020"/>
    <w:rsid w:val="009F24FD"/>
    <w:rsid w:val="009F57EE"/>
    <w:rsid w:val="00A032F8"/>
    <w:rsid w:val="00A12D44"/>
    <w:rsid w:val="00A2019C"/>
    <w:rsid w:val="00A23422"/>
    <w:rsid w:val="00A42E96"/>
    <w:rsid w:val="00A4550D"/>
    <w:rsid w:val="00A50E35"/>
    <w:rsid w:val="00A50F26"/>
    <w:rsid w:val="00A53709"/>
    <w:rsid w:val="00A636EF"/>
    <w:rsid w:val="00A70BBD"/>
    <w:rsid w:val="00A7778E"/>
    <w:rsid w:val="00A95681"/>
    <w:rsid w:val="00AA0579"/>
    <w:rsid w:val="00AA3A9A"/>
    <w:rsid w:val="00AA7352"/>
    <w:rsid w:val="00AC38EB"/>
    <w:rsid w:val="00AC464D"/>
    <w:rsid w:val="00AF18CD"/>
    <w:rsid w:val="00AF2835"/>
    <w:rsid w:val="00AF6D88"/>
    <w:rsid w:val="00B12ADD"/>
    <w:rsid w:val="00B2335E"/>
    <w:rsid w:val="00B31887"/>
    <w:rsid w:val="00B32A3D"/>
    <w:rsid w:val="00B36053"/>
    <w:rsid w:val="00B37989"/>
    <w:rsid w:val="00B46150"/>
    <w:rsid w:val="00B52086"/>
    <w:rsid w:val="00B53A8F"/>
    <w:rsid w:val="00B600F9"/>
    <w:rsid w:val="00B62C9C"/>
    <w:rsid w:val="00B67C4F"/>
    <w:rsid w:val="00B740F9"/>
    <w:rsid w:val="00B91A1F"/>
    <w:rsid w:val="00BA7272"/>
    <w:rsid w:val="00BC0048"/>
    <w:rsid w:val="00BE3385"/>
    <w:rsid w:val="00C017EC"/>
    <w:rsid w:val="00C03491"/>
    <w:rsid w:val="00C04C65"/>
    <w:rsid w:val="00C20791"/>
    <w:rsid w:val="00C3193B"/>
    <w:rsid w:val="00C624F7"/>
    <w:rsid w:val="00C62FD1"/>
    <w:rsid w:val="00C75746"/>
    <w:rsid w:val="00C84FC9"/>
    <w:rsid w:val="00CA3518"/>
    <w:rsid w:val="00CA6D1A"/>
    <w:rsid w:val="00CB2E8D"/>
    <w:rsid w:val="00CB402A"/>
    <w:rsid w:val="00CD1067"/>
    <w:rsid w:val="00D11FF1"/>
    <w:rsid w:val="00D51C60"/>
    <w:rsid w:val="00D63014"/>
    <w:rsid w:val="00D74DF1"/>
    <w:rsid w:val="00D7646C"/>
    <w:rsid w:val="00D775F7"/>
    <w:rsid w:val="00D92F03"/>
    <w:rsid w:val="00DB22BF"/>
    <w:rsid w:val="00DC1899"/>
    <w:rsid w:val="00DC4A95"/>
    <w:rsid w:val="00DD5246"/>
    <w:rsid w:val="00DD5BB3"/>
    <w:rsid w:val="00DE12DC"/>
    <w:rsid w:val="00DE2CB9"/>
    <w:rsid w:val="00E10950"/>
    <w:rsid w:val="00E63D00"/>
    <w:rsid w:val="00E67EF4"/>
    <w:rsid w:val="00E83F41"/>
    <w:rsid w:val="00EA7084"/>
    <w:rsid w:val="00EB0D9D"/>
    <w:rsid w:val="00EB4BCC"/>
    <w:rsid w:val="00EE6AC3"/>
    <w:rsid w:val="00F031F8"/>
    <w:rsid w:val="00F201A7"/>
    <w:rsid w:val="00F3377B"/>
    <w:rsid w:val="00F3798B"/>
    <w:rsid w:val="00F5120C"/>
    <w:rsid w:val="00F85B76"/>
    <w:rsid w:val="00F93817"/>
    <w:rsid w:val="00F96762"/>
    <w:rsid w:val="00FA03E2"/>
    <w:rsid w:val="00FB4911"/>
    <w:rsid w:val="00FB5FA4"/>
    <w:rsid w:val="00FD0229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7FD865A6"/>
  <w15:chartTrackingRefBased/>
  <w15:docId w15:val="{42065DA8-B725-4B57-A3FA-3C25EB88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A10CD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3E046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E0460"/>
  </w:style>
  <w:style w:styleId="Pieddepage" w:type="paragraph">
    <w:name w:val="footer"/>
    <w:basedOn w:val="Normal"/>
    <w:link w:val="PieddepageCar"/>
    <w:uiPriority w:val="99"/>
    <w:unhideWhenUsed/>
    <w:rsid w:val="003E046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E0460"/>
  </w:style>
  <w:style w:styleId="Grilledutableau" w:type="table">
    <w:name w:val="Table Grid"/>
    <w:basedOn w:val="TableauNormal"/>
    <w:uiPriority w:val="39"/>
    <w:rsid w:val="00243F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uiPriority w:val="99"/>
    <w:semiHidden/>
    <w:unhideWhenUsed/>
    <w:rsid w:val="00300CDA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00CD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62F7-3E75-401E-85E9-7DC2EA39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1145</Words>
  <Characters>6298</Characters>
  <Application>Microsoft Office Word</Application>
  <DocSecurity>0</DocSecurity>
  <Lines>52</Lines>
  <Paragraphs>14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FAREVA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2023-02-24T07:42:00Z</dcterms:created>
  <cp:lastPrinted>2023-01-25T12:49:00Z</cp:lastPrinted>
  <dcterms:modified xsi:type="dcterms:W3CDTF">2023-02-24T07:42:00Z</dcterms:modified>
  <cp:revision>2</cp:revision>
</cp:coreProperties>
</file>