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PROTOCOLE D’ACCORD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NEGOCIATION ANNUELLE OBLIGATOIRE 2022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ind w:left="142" w:hanging="0"/>
        <w:jc w:val="both"/>
        <w:rPr>
          <w:szCs w:val="24"/>
        </w:rPr>
      </w:pPr>
      <w:r>
        <w:rPr>
          <w:szCs w:val="24"/>
        </w:rPr>
        <w:t>Le présent protocole d’accord fait suite aux réunions de la négociation salariale 2022 tenues les 31 mars, 4 avril, 15 avril et 5 mai 2022.</w:t>
      </w:r>
    </w:p>
    <w:p>
      <w:pPr>
        <w:pStyle w:val="Normal"/>
        <w:ind w:left="142"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left="142" w:hanging="0"/>
        <w:jc w:val="both"/>
        <w:rPr>
          <w:szCs w:val="24"/>
        </w:rPr>
      </w:pPr>
      <w:r>
        <w:rPr>
          <w:szCs w:val="24"/>
        </w:rPr>
        <w:t>Ce protocole exprime l’accord des parties signataires qui s’engagent à le promouvoir auprès de l’ensemble du personnel de l’entreprise.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3"/>
        <w:numPr>
          <w:ilvl w:val="2"/>
          <w:numId w:val="1"/>
        </w:numPr>
        <w:ind w:left="142" w:hanging="0"/>
        <w:jc w:val="both"/>
        <w:rPr>
          <w:i w:val="false"/>
          <w:i w:val="false"/>
          <w:szCs w:val="24"/>
        </w:rPr>
      </w:pPr>
      <w:r>
        <w:rPr>
          <w:i w:val="false"/>
          <w:szCs w:val="24"/>
        </w:rPr>
        <w:t>Article 1 : La revalorisation du point</w:t>
      </w:r>
    </w:p>
    <w:p>
      <w:pPr>
        <w:pStyle w:val="Normal"/>
        <w:ind w:left="142" w:hanging="0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ind w:left="142" w:hanging="0"/>
        <w:jc w:val="both"/>
        <w:rPr/>
      </w:pPr>
      <w:r>
        <w:rPr>
          <w:szCs w:val="24"/>
        </w:rPr>
        <w:t>Pour 2022, le point de référence STGA est porté à 9,874 € au 1</w:t>
      </w:r>
      <w:r>
        <w:rPr>
          <w:szCs w:val="24"/>
          <w:vertAlign w:val="superscript"/>
        </w:rPr>
        <w:t>er</w:t>
      </w:r>
      <w:r>
        <w:rPr>
          <w:szCs w:val="24"/>
        </w:rPr>
        <w:t xml:space="preserve"> mai 2022 soit une augmentation de 1,5% pour tenir compte de l’évolution constatée des prix sur l’année 2021.</w:t>
      </w:r>
    </w:p>
    <w:p>
      <w:pPr>
        <w:pStyle w:val="Normal"/>
        <w:ind w:left="142"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left="142" w:hanging="0"/>
        <w:jc w:val="both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Article 2 : Le gain de pouvoir d’achat</w:t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ind w:left="142" w:hanging="0"/>
        <w:rPr/>
      </w:pPr>
      <w:r>
        <w:rPr>
          <w:szCs w:val="24"/>
        </w:rPr>
        <w:t>En plus des effets favorables de progression dans la grille d’ancienneté, le présent protocole retient un gain de pouvoir d’achat de 0,5% applicable dès le 1</w:t>
      </w:r>
      <w:r>
        <w:rPr>
          <w:szCs w:val="24"/>
          <w:vertAlign w:val="superscript"/>
        </w:rPr>
        <w:t>er</w:t>
      </w:r>
      <w:r>
        <w:rPr>
          <w:szCs w:val="24"/>
        </w:rPr>
        <w:t xml:space="preserve"> mai 2022.</w:t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  <w:t>Cet effort important, applicable à tous, est un élément de reconnaissance de l’entreprise auprès du personnel.</w:t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/>
      </w:pPr>
      <w:r>
        <w:rPr>
          <w:szCs w:val="24"/>
        </w:rPr>
        <w:t>En conséquence, le point atteint la valeur de 9,923 € au 1</w:t>
      </w:r>
      <w:r>
        <w:rPr>
          <w:szCs w:val="24"/>
          <w:vertAlign w:val="superscript"/>
        </w:rPr>
        <w:t>er</w:t>
      </w:r>
      <w:r>
        <w:rPr>
          <w:szCs w:val="24"/>
        </w:rPr>
        <w:t xml:space="preserve"> mai 2022.</w:t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Article 3 : Augmentation de la PRD (Prime Repas Décalé)</w:t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TextBody"/>
        <w:ind w:left="142" w:hanging="0"/>
        <w:rPr/>
      </w:pPr>
      <w:r>
        <w:rPr>
          <w:szCs w:val="24"/>
        </w:rPr>
        <w:t>La Prime de Repas Décalé est portée à 6,80€ à compter du 1</w:t>
      </w:r>
      <w:r>
        <w:rPr>
          <w:szCs w:val="24"/>
          <w:vertAlign w:val="superscript"/>
        </w:rPr>
        <w:t>er</w:t>
      </w:r>
      <w:r>
        <w:rPr>
          <w:szCs w:val="24"/>
        </w:rPr>
        <w:t xml:space="preserve"> mai 2022. Ceci représente une augmentation de +2,7%.</w:t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Article 4 : Augmentation de la PRT (Prime Repos Travail)</w:t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szCs w:val="24"/>
        </w:rPr>
        <w:t>La Prime de Repos Travail est portée à 20€ à compter du 1</w:t>
      </w:r>
      <w:r>
        <w:rPr>
          <w:szCs w:val="24"/>
          <w:vertAlign w:val="superscript"/>
        </w:rPr>
        <w:t>er</w:t>
      </w:r>
      <w:r>
        <w:rPr>
          <w:szCs w:val="24"/>
        </w:rPr>
        <w:t xml:space="preserve"> mai 2022. Ceci représente une augmentation de +33,3%.</w:t>
      </w:r>
    </w:p>
    <w:p>
      <w:pPr>
        <w:pStyle w:val="TextBody"/>
        <w:ind w:left="142" w:hanging="0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Article 5 : Médiation à bord des Bus</w:t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ind w:left="142" w:hanging="0"/>
        <w:rPr/>
      </w:pPr>
      <w:r>
        <w:rPr>
          <w:szCs w:val="24"/>
        </w:rPr>
        <w:t>Les incivilités à bord des bus sont nombreuses, le personnel de conduite a exprimé un souhait de voir un accompagnement plus important sur les lignes. Dans ce contexte, la Direction entame des discussions avec GrandAngoulême et la structure de médiation Omega afin d’engager, à titre expérimental, des missions dans cet axe.</w:t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</w:r>
    </w:p>
    <w:p>
      <w:pPr>
        <w:pStyle w:val="TextBody"/>
        <w:ind w:left="142" w:hanging="0"/>
        <w:rPr>
          <w:szCs w:val="24"/>
        </w:rPr>
      </w:pPr>
      <w:r>
        <w:rPr>
          <w:szCs w:val="24"/>
        </w:rPr>
        <w:t xml:space="preserve">Les médiateurs d’Omega seront ainsi sensibilisés à nos problématiques et commenceront ce partenariat en empruntant régulièrement nos bus sur les secteurs où ils sont le plus présents sur GrandAngoulême. </w:t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Article 6 : Planification des dimanches</w:t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ind w:left="142" w:hanging="0"/>
        <w:rPr/>
      </w:pPr>
      <w:r>
        <w:rPr>
          <w:szCs w:val="24"/>
        </w:rPr>
        <w:t>L’affichage des services du dimanche devra se faire au minimum deux mois au préalable en corrélation avec l’élaboration du planning des congés.</w:t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tabs>
          <w:tab w:val="left" w:pos="709" w:leader="none"/>
        </w:tabs>
        <w:ind w:left="142" w:hanging="0"/>
        <w:rPr/>
      </w:pPr>
      <w:r>
        <w:rPr>
          <w:b/>
          <w:szCs w:val="24"/>
          <w:u w:val="single"/>
        </w:rPr>
        <w:t>Article 7 : Publication</w:t>
      </w:r>
    </w:p>
    <w:p>
      <w:pPr>
        <w:pStyle w:val="TextBody"/>
        <w:tabs>
          <w:tab w:val="left" w:pos="709" w:leader="none"/>
        </w:tabs>
        <w:ind w:left="142" w:hanging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TextBody"/>
        <w:tabs>
          <w:tab w:val="left" w:pos="709" w:leader="none"/>
        </w:tabs>
        <w:ind w:left="142" w:hanging="0"/>
        <w:rPr>
          <w:szCs w:val="24"/>
        </w:rPr>
      </w:pPr>
      <w:r>
        <w:rPr>
          <w:szCs w:val="24"/>
        </w:rPr>
        <w:t>Le protocole d’accord donnera lieu à dépôt dans les conditions prévues à l’article L2231.6 du Code du Travail, à savoir un dépôt :</w:t>
      </w:r>
    </w:p>
    <w:p>
      <w:pPr>
        <w:pStyle w:val="TextBody"/>
        <w:tabs>
          <w:tab w:val="left" w:pos="709" w:leader="none"/>
        </w:tabs>
        <w:ind w:left="142" w:hanging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2"/>
        </w:numPr>
        <w:rPr>
          <w:szCs w:val="24"/>
        </w:rPr>
      </w:pPr>
      <w:r>
        <w:rPr>
          <w:szCs w:val="24"/>
        </w:rPr>
        <w:t>à la Direccte d’Angoulême sur la base de données nationale,</w:t>
      </w:r>
    </w:p>
    <w:p>
      <w:pPr>
        <w:pStyle w:val="Normal"/>
        <w:numPr>
          <w:ilvl w:val="0"/>
          <w:numId w:val="2"/>
        </w:numPr>
        <w:rPr>
          <w:szCs w:val="24"/>
        </w:rPr>
      </w:pPr>
      <w:r>
        <w:rPr>
          <w:rFonts w:cs="Times;Times Roman"/>
          <w:szCs w:val="24"/>
        </w:rPr>
        <w:t xml:space="preserve"> </w:t>
      </w:r>
      <w:r>
        <w:rPr>
          <w:szCs w:val="24"/>
        </w:rPr>
        <w:t>au Greffe du Conseil des Prud’hommes d’Angoulême.</w:t>
      </w:r>
    </w:p>
    <w:p>
      <w:pPr>
        <w:pStyle w:val="Normal"/>
        <w:numPr>
          <w:ilvl w:val="0"/>
          <w:numId w:val="2"/>
        </w:numPr>
        <w:rPr>
          <w:szCs w:val="24"/>
        </w:rPr>
      </w:pPr>
      <w:r>
        <w:rPr>
          <w:szCs w:val="24"/>
        </w:rPr>
        <w:t>A l’inspection du Travail,</w:t>
      </w:r>
    </w:p>
    <w:p>
      <w:pPr>
        <w:pStyle w:val="Normal"/>
        <w:ind w:left="360" w:hanging="0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Conformément à l’article L2231-5 du code du travail, le texte du présent accord est notifié à l’ensemble des organisations syndicales représentatives dans l’entreprise.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Le procès-verbal donnera lieu à affichage. </w:t>
      </w:r>
    </w:p>
    <w:p>
      <w:pPr>
        <w:pStyle w:val="Normal"/>
        <w:ind w:left="709" w:hanging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Cs w:val="24"/>
        </w:rPr>
      </w:pPr>
      <w:r>
        <w:rPr>
          <w:sz w:val="28"/>
        </w:rPr>
        <w:tab/>
        <w:tab/>
        <w:tab/>
        <w:tab/>
        <w:tab/>
        <w:tab/>
        <w:tab/>
      </w:r>
      <w:r>
        <w:rPr>
          <w:szCs w:val="24"/>
        </w:rPr>
        <w:t>Fait à Angoulême, le 5 mai 2022</w:t>
      </w:r>
    </w:p>
    <w:p>
      <w:pPr>
        <w:pStyle w:val="Normal"/>
        <w:spacing w:lineRule="auto" w:line="360"/>
        <w:jc w:val="both"/>
        <w:rPr>
          <w:szCs w:val="24"/>
        </w:rPr>
      </w:pPr>
      <w:r>
        <w:rPr>
          <w:szCs w:val="24"/>
        </w:rPr>
      </w:r>
    </w:p>
    <w:sectPr>
      <w:footerReference w:type="default" r:id="rId2"/>
      <w:type w:val="nextPage"/>
      <w:pgSz w:w="11906" w:h="16838"/>
      <w:pgMar w:left="1134" w:right="1134" w:header="0" w:top="851" w:footer="794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4d"/>
    <w:family w:val="roman"/>
    <w:pitch w:val="variable"/>
  </w:font>
  <w:font w:name="Helvetica">
    <w:altName w:val="Arial"/>
    <w:charset w:val="00"/>
    <w:family w:val="swiss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argin-top:0.05pt;mso-position-vertical-relative:text;margin-left:237.95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;Times Roman" w:hAnsi="Times;Times Roman" w:eastAsia="Times;Times Roman" w:cs="Times New Roman"/>
      <w:color w:val="auto"/>
      <w:sz w:val="24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Helvetica" w:hAnsi="Helvetica" w:cs="Helvetica"/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;Times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Times;Times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;Times Roman" w:hAnsi="Times;Times Roman" w:eastAsia="Times;Times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;Times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eastAsia="Times;Times Roman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;Times Roman" w:hAnsi="Times;Times Roman" w:eastAsia="Times;Times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eastAsia="Times;Times Roman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;Times Roman" w:hAnsi="Times;Times Roman" w:eastAsia="Times;Times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eastAsia="Times;Times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Times;Times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CorpsdetexteCar">
    <w:name w:val="Corps de texte Car"/>
    <w:qFormat/>
    <w:rPr>
      <w:sz w:val="24"/>
    </w:rPr>
  </w:style>
  <w:style w:type="character" w:styleId="InternetLink">
    <w:name w:val="Internet Link"/>
    <w:rPr>
      <w:color w:val="0000FF"/>
      <w:u w:val="single"/>
    </w:rPr>
  </w:style>
  <w:style w:type="character" w:styleId="EntteCar">
    <w:name w:val="En-tête Car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uroSwapT1">
    <w:name w:val="EuroSwap_T1"/>
    <w:basedOn w:val="Heading1"/>
    <w:qFormat/>
    <w:pPr>
      <w:numPr>
        <w:ilvl w:val="0"/>
        <w:numId w:val="0"/>
      </w:numPr>
    </w:pPr>
    <w:rPr>
      <w:color w:val="FF0000"/>
      <w:sz w:val="2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2022-05-05T14:57:00Z</dcterms:created>
  <dc:creator/>
  <dc:description/>
  <dc:language>en-GB</dc:language>
  <cp:lastModifiedBy/>
  <cp:lastPrinted>2022-05-05T10:13:00Z</cp:lastPrinted>
  <dcterms:modified xsi:type="dcterms:W3CDTF">2022-05-05T14:57:00Z</dcterms:modified>
  <cp:revision>3</cp:revision>
  <dc:subject/>
  <dc:title>PROTOCOLE D’ACCORD POUR 2007 ET 2008</dc:title>
</cp:coreProperties>
</file>