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Nova Light;Arial Nova Light" w:hAnsi="Arial Nova Light;Arial Nova Light" w:cs="Arial Nova Light;Arial Nova Light"/>
        </w:rPr>
      </w:pPr>
      <w:r>
        <w:rPr>
          <w:rFonts w:cs="Arial Nova Light;Arial Nova Light" w:ascii="Arial Nova Light;Arial Nova Light" w:hAnsi="Arial Nova Light;Arial Nova Light"/>
        </w:rPr>
      </w:r>
    </w:p>
    <w:p>
      <w:pPr>
        <w:pStyle w:val="Normal"/>
        <w:rPr>
          <w:rFonts w:ascii="Arial Nova Light;Arial Nova Light" w:hAnsi="Arial Nova Light;Arial Nova Light" w:cs="Arial Nova Light;Arial Nova Light"/>
        </w:rPr>
      </w:pPr>
      <w:r>
        <w:rPr>
          <w:rFonts w:cs="Arial Nova Light;Arial Nova Light" w:ascii="Arial Nova Light;Arial Nova Light" w:hAnsi="Arial Nova Light;Arial Nova Light"/>
        </w:rPr>
      </w:r>
    </w:p>
    <w:p>
      <w:pPr>
        <w:pStyle w:val="Normal"/>
        <w:jc w:val="center"/>
        <w:rPr>
          <w:rFonts w:ascii="Arial Nova Light;Arial Nova Light" w:hAnsi="Arial Nova Light;Arial Nova Light" w:cs="Arial"/>
          <w:b/>
          <w:b/>
          <w:sz w:val="28"/>
          <w:szCs w:val="28"/>
        </w:rPr>
      </w:pPr>
      <w:r>
        <w:rPr>
          <w:rFonts w:cs="Arial" w:ascii="Arial Nova Light;Arial Nova Light" w:hAnsi="Arial Nova Light;Arial Nova Light"/>
          <w:b/>
          <w:sz w:val="28"/>
          <w:szCs w:val="28"/>
        </w:rPr>
        <w:t>PROCES VERBAL</w:t>
      </w:r>
    </w:p>
    <w:p>
      <w:pPr>
        <w:pStyle w:val="Normal"/>
        <w:jc w:val="center"/>
        <w:rPr>
          <w:rFonts w:ascii="Arial Nova Light;Arial Nova Light" w:hAnsi="Arial Nova Light;Arial Nova Light" w:cs="Arial"/>
          <w:b/>
          <w:b/>
          <w:sz w:val="28"/>
          <w:szCs w:val="28"/>
        </w:rPr>
      </w:pPr>
      <w:r>
        <w:rPr>
          <w:rFonts w:cs="Arial" w:ascii="Arial Nova Light;Arial Nova Light" w:hAnsi="Arial Nova Light;Arial Nova Light"/>
          <w:b/>
          <w:sz w:val="28"/>
          <w:szCs w:val="28"/>
        </w:rPr>
      </w:r>
    </w:p>
    <w:p>
      <w:pPr>
        <w:pStyle w:val="Normal"/>
        <w:jc w:val="center"/>
        <w:rPr>
          <w:rFonts w:ascii="Arial Nova Light;Arial Nova Light" w:hAnsi="Arial Nova Light;Arial Nova Light" w:cs="Arial"/>
          <w:b/>
          <w:b/>
          <w:sz w:val="28"/>
          <w:szCs w:val="28"/>
        </w:rPr>
      </w:pPr>
      <w:r>
        <w:rPr>
          <w:rFonts w:cs="Arial" w:ascii="Arial Nova Light;Arial Nova Light" w:hAnsi="Arial Nova Light;Arial Nova Light"/>
          <w:b/>
          <w:sz w:val="28"/>
          <w:szCs w:val="28"/>
        </w:rPr>
        <w:t>NEGOCIATION ANNUELLE OBLIGATOIRE</w:t>
      </w:r>
    </w:p>
    <w:p>
      <w:pPr>
        <w:pStyle w:val="Normal"/>
        <w:jc w:val="center"/>
        <w:rPr>
          <w:rFonts w:ascii="Arial Nova Light;Arial Nova Light" w:hAnsi="Arial Nova Light;Arial Nova Light" w:cs="Arial"/>
          <w:b/>
          <w:b/>
          <w:sz w:val="28"/>
          <w:szCs w:val="28"/>
        </w:rPr>
      </w:pPr>
      <w:r>
        <w:rPr>
          <w:rFonts w:cs="Arial" w:ascii="Arial Nova Light;Arial Nova Light" w:hAnsi="Arial Nova Light;Arial Nova Light"/>
          <w:b/>
          <w:sz w:val="28"/>
          <w:szCs w:val="28"/>
        </w:rPr>
      </w:r>
    </w:p>
    <w:p>
      <w:pPr>
        <w:pStyle w:val="Normal"/>
        <w:jc w:val="center"/>
        <w:rPr>
          <w:rFonts w:ascii="Arial Nova Light;Arial Nova Light" w:hAnsi="Arial Nova Light;Arial Nova Light" w:cs="Arial"/>
          <w:b/>
          <w:b/>
          <w:sz w:val="28"/>
          <w:szCs w:val="28"/>
        </w:rPr>
      </w:pPr>
      <w:r>
        <w:rPr>
          <w:rFonts w:cs="Arial" w:ascii="Arial Nova Light;Arial Nova Light" w:hAnsi="Arial Nova Light;Arial Nova Light"/>
          <w:b/>
          <w:sz w:val="28"/>
          <w:szCs w:val="28"/>
        </w:rPr>
        <w:t>ANNEE 2022</w:t>
      </w:r>
    </w:p>
    <w:p>
      <w:pPr>
        <w:pStyle w:val="Normal"/>
        <w:jc w:val="both"/>
        <w:rPr>
          <w:rFonts w:ascii="Arial Nova Light;Arial Nova Light" w:hAnsi="Arial Nova Light;Arial Nova Light" w:cs="Arial Nova Light;Arial Nova Light"/>
          <w:b/>
          <w:b/>
          <w:sz w:val="28"/>
          <w:szCs w:val="28"/>
        </w:rPr>
      </w:pPr>
      <w:r>
        <w:rPr>
          <w:rFonts w:cs="Arial Nova Light;Arial Nova Light" w:ascii="Arial Nova Light;Arial Nova Light" w:hAnsi="Arial Nova Light;Arial Nova Light"/>
          <w:b/>
          <w:sz w:val="28"/>
          <w:szCs w:val="28"/>
        </w:rPr>
      </w:r>
    </w:p>
    <w:p>
      <w:pPr>
        <w:pStyle w:val="Normal"/>
        <w:jc w:val="both"/>
        <w:rPr>
          <w:rFonts w:ascii="Arial Nova Light;Arial Nova Light" w:hAnsi="Arial Nova Light;Arial Nova Light" w:cs="Arial Nova Light;Arial Nova Light"/>
        </w:rPr>
      </w:pPr>
      <w:r>
        <w:rPr>
          <w:rFonts w:cs="Arial Nova Light;Arial Nova Light" w:ascii="Arial Nova Light;Arial Nova Light" w:hAnsi="Arial Nova Light;Arial Nova Light"/>
        </w:rPr>
      </w:r>
    </w:p>
    <w:p>
      <w:pPr>
        <w:pStyle w:val="NormalWeb"/>
        <w:jc w:val="both"/>
        <w:rPr>
          <w:rFonts w:ascii="Arial Nova Light;Arial Nova Light" w:hAnsi="Arial Nova Light;Arial Nova Light" w:cs="Calibri"/>
          <w:color w:val="000000"/>
          <w:sz w:val="22"/>
          <w:szCs w:val="22"/>
        </w:rPr>
      </w:pPr>
      <w:r>
        <w:rPr>
          <w:rFonts w:cs="Calibri" w:ascii="Arial Nova Light;Arial Nova Light" w:hAnsi="Arial Nova Light;Arial Nova Light"/>
          <w:color w:val="000000"/>
          <w:sz w:val="22"/>
          <w:szCs w:val="22"/>
        </w:rPr>
        <w:t>Conformément à l'article L. 2242-1 du Code du travail, les négociations annuelles obligatoires pour l’exercice 2022 ont été engagées au sein de la société CFTA Centre Ouest entre la Direction et les Délégués Syndicaux.</w:t>
      </w:r>
    </w:p>
    <w:p>
      <w:pPr>
        <w:pStyle w:val="NormalWeb"/>
        <w:jc w:val="both"/>
        <w:rPr>
          <w:rFonts w:ascii="Arial Nova Light;Arial Nova Light" w:hAnsi="Arial Nova Light;Arial Nova Light" w:cs="Calibri"/>
          <w:color w:val="000000"/>
          <w:sz w:val="22"/>
          <w:szCs w:val="22"/>
        </w:rPr>
      </w:pPr>
      <w:r>
        <w:rPr>
          <w:rFonts w:cs="Calibri" w:ascii="Arial Nova Light;Arial Nova Light" w:hAnsi="Arial Nova Light;Arial Nova Light"/>
          <w:color w:val="000000"/>
          <w:sz w:val="22"/>
          <w:szCs w:val="22"/>
        </w:rPr>
        <w:t>Les thèmes suivants ont fait l’objet de négociation : la rémunération, le temps de travail et le partage de la valeur ajoutée dans l'entreprise ainsi que sur l'égalité professionnelle femmes/hommes.</w:t>
      </w:r>
    </w:p>
    <w:p>
      <w:pPr>
        <w:pStyle w:val="NormalWeb"/>
        <w:jc w:val="both"/>
        <w:rPr>
          <w:rFonts w:ascii="Arial Nova Light;Arial Nova Light" w:hAnsi="Arial Nova Light;Arial Nova Light" w:cs="Calibri"/>
          <w:color w:val="000000"/>
          <w:sz w:val="22"/>
          <w:szCs w:val="22"/>
        </w:rPr>
      </w:pPr>
      <w:r>
        <w:rPr>
          <w:rFonts w:eastAsia="Arial Nova Light;Arial Nova Light" w:cs="Arial Nova Light;Arial Nova Light" w:ascii="Arial Nova Light;Arial Nova Light" w:hAnsi="Arial Nova Light;Arial Nova Light"/>
          <w:color w:val="000000"/>
          <w:sz w:val="22"/>
          <w:szCs w:val="22"/>
        </w:rPr>
        <w:t xml:space="preserve"> </w:t>
      </w:r>
      <w:r>
        <w:rPr>
          <w:rFonts w:cs="Calibri" w:ascii="Arial Nova Light;Arial Nova Light" w:hAnsi="Arial Nova Light;Arial Nova Light"/>
          <w:color w:val="000000"/>
          <w:sz w:val="22"/>
          <w:szCs w:val="22"/>
        </w:rPr>
        <w:t>Les parties sont parvenues à la signature du présent accord.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Article 1 – Champ d’application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L’ensemble de ces dispositions est applicable dans tous les établissements de CFTA Centre Ouest.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Article 2 -augmentation du taux horaire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Le taux horaire hors cadre est augmenté :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de 3% au 1er janvier 2022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de 0,5% au 1</w:t>
      </w:r>
      <w:r>
        <w:rPr>
          <w:rFonts w:cs="Calibri" w:ascii="Arial Nova Light;Arial Nova Light" w:hAnsi="Arial Nova Light;Arial Nova Light"/>
          <w:sz w:val="22"/>
          <w:szCs w:val="22"/>
          <w:vertAlign w:val="superscript"/>
        </w:rPr>
        <w:t>er</w:t>
      </w:r>
      <w:r>
        <w:rPr>
          <w:rFonts w:cs="Calibri" w:ascii="Arial Nova Light;Arial Nova Light" w:hAnsi="Arial Nova Light;Arial Nova Light"/>
          <w:sz w:val="22"/>
          <w:szCs w:val="22"/>
        </w:rPr>
        <w:t xml:space="preserve"> juin 2022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 xml:space="preserve">Les parties conviennent de se revoir dans le courant du mois de juin 2022 pour une éventuelle revalorisation au regard de l’évolution de l’inflation moyenne. </w:t>
      </w:r>
    </w:p>
    <w:p>
      <w:pPr>
        <w:pStyle w:val="Normal"/>
        <w:spacing w:before="120" w:after="120"/>
        <w:ind w:left="567" w:hanging="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Article 3 - Mutuelle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 xml:space="preserve">La cotisation mutuelle baissera de 3% </w:t>
      </w:r>
      <w:bookmarkStart w:id="0" w:name="_Hlk89089976"/>
      <w:r>
        <w:rPr>
          <w:rFonts w:cs="Calibri" w:ascii="Arial Nova Light;Arial Nova Light" w:hAnsi="Arial Nova Light;Arial Nova Light"/>
          <w:sz w:val="22"/>
          <w:szCs w:val="22"/>
        </w:rPr>
        <w:t>à compter du 1</w:t>
      </w:r>
      <w:r>
        <w:rPr>
          <w:rFonts w:cs="Calibri" w:ascii="Arial Nova Light;Arial Nova Light" w:hAnsi="Arial Nova Light;Arial Nova Light"/>
          <w:sz w:val="22"/>
          <w:szCs w:val="22"/>
          <w:vertAlign w:val="superscript"/>
        </w:rPr>
        <w:t>er</w:t>
      </w:r>
      <w:r>
        <w:rPr>
          <w:rFonts w:cs="Calibri" w:ascii="Arial Nova Light;Arial Nova Light" w:hAnsi="Arial Nova Light;Arial Nova Light"/>
          <w:sz w:val="22"/>
          <w:szCs w:val="22"/>
        </w:rPr>
        <w:t xml:space="preserve"> janvier 2022</w:t>
      </w:r>
      <w:bookmarkEnd w:id="0"/>
      <w:r>
        <w:rPr>
          <w:rFonts w:cs="Calibri" w:ascii="Arial Nova Light;Arial Nova Light" w:hAnsi="Arial Nova Light;Arial Nova Light"/>
          <w:sz w:val="22"/>
          <w:szCs w:val="22"/>
        </w:rPr>
        <w:t xml:space="preserve">. 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bookmarkStart w:id="1" w:name="_Hlk89088822"/>
      <w:bookmarkStart w:id="2" w:name="_Hlk89088822"/>
      <w:bookmarkEnd w:id="2"/>
      <w:r>
        <w:rPr>
          <w:rFonts w:cs="Calibri" w:ascii="Arial Nova Light;Arial Nova Light" w:hAnsi="Arial Nova Light;Arial Nova Light"/>
          <w:b/>
          <w:bCs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Article 4 - Carence maladie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bookmarkStart w:id="3" w:name="_Hlk89088822"/>
      <w:bookmarkEnd w:id="3"/>
      <w:r>
        <w:rPr>
          <w:rFonts w:cs="Calibri" w:ascii="Arial Nova Light;Arial Nova Light" w:hAnsi="Arial Nova Light;Arial Nova Light"/>
          <w:sz w:val="22"/>
          <w:szCs w:val="22"/>
        </w:rPr>
        <w:t>La carence maladie passe à 3 jours au 2ème arrêt à compter du 1</w:t>
      </w:r>
      <w:r>
        <w:rPr>
          <w:rFonts w:cs="Calibri" w:ascii="Arial Nova Light;Arial Nova Light" w:hAnsi="Arial Nova Light;Arial Nova Light"/>
          <w:sz w:val="22"/>
          <w:szCs w:val="22"/>
          <w:vertAlign w:val="superscript"/>
        </w:rPr>
        <w:t>er</w:t>
      </w:r>
      <w:r>
        <w:rPr>
          <w:rFonts w:cs="Calibri" w:ascii="Arial Nova Light;Arial Nova Light" w:hAnsi="Arial Nova Light;Arial Nova Light"/>
          <w:sz w:val="22"/>
          <w:szCs w:val="22"/>
        </w:rPr>
        <w:t xml:space="preserve"> janvier 2022</w:t>
      </w:r>
    </w:p>
    <w:p>
      <w:pPr>
        <w:pStyle w:val="Normal"/>
        <w:spacing w:before="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Article 5 – Prime de vacances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La prime de vacances est revalorisée à 450 euros bruts à compter de l’année 2022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Article 6 – Passage du Coefficient 137V au coefficient 140V pour les CPS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A compter du 1</w:t>
      </w:r>
      <w:r>
        <w:rPr>
          <w:rFonts w:cs="Calibri" w:ascii="Arial Nova Light;Arial Nova Light" w:hAnsi="Arial Nova Light;Arial Nova Light"/>
          <w:sz w:val="22"/>
          <w:szCs w:val="22"/>
          <w:vertAlign w:val="superscript"/>
        </w:rPr>
        <w:t>er</w:t>
      </w:r>
      <w:r>
        <w:rPr>
          <w:rFonts w:cs="Calibri" w:ascii="Arial Nova Light;Arial Nova Light" w:hAnsi="Arial Nova Light;Arial Nova Light"/>
          <w:sz w:val="22"/>
          <w:szCs w:val="22"/>
        </w:rPr>
        <w:t xml:space="preserve"> février 2022, le coefficient des conducteurs périodes scolaires 137V présents à l’effectif à cette date sera revalorisé à 140V.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Article 7</w:t>
      </w:r>
      <w:bookmarkStart w:id="4" w:name="_Hlk90631069"/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 xml:space="preserve">- </w:t>
      </w:r>
      <w:bookmarkEnd w:id="4"/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Conditions de Travail</w:t>
        <w:tab/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Les points suivant seront actés à compter d’aujourd’hui, le détail sera abordé au prochain CSE :</w:t>
      </w:r>
    </w:p>
    <w:p>
      <w:pPr>
        <w:pStyle w:val="Normal"/>
        <w:numPr>
          <w:ilvl w:val="0"/>
          <w:numId w:val="2"/>
        </w:numPr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Vêtements de travail : Pour toutes les catégories de conducteur se fait à la demande du salarié qui s’engage à respecter le règlement intérieur (port de la tenue de travail lorsqu’elle est souhaitée).</w:t>
      </w:r>
    </w:p>
    <w:p>
      <w:pPr>
        <w:pStyle w:val="Normal"/>
        <w:numPr>
          <w:ilvl w:val="0"/>
          <w:numId w:val="2"/>
        </w:numPr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Dotation Produit : la direction s’engage à mettre à disposition des gants et produits nettoyants et un produit dégivrant</w:t>
      </w:r>
    </w:p>
    <w:p>
      <w:pPr>
        <w:pStyle w:val="Normal"/>
        <w:spacing w:before="120" w:after="120"/>
        <w:ind w:left="720" w:hanging="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Article 8 - Organisation et conditions de travail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b/>
          <w:b/>
          <w:bCs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Les parties conviennent de se revoir dans le 1</w:t>
      </w:r>
      <w:r>
        <w:rPr>
          <w:rFonts w:cs="Calibri" w:ascii="Arial Nova Light;Arial Nova Light" w:hAnsi="Arial Nova Light;Arial Nova Light"/>
          <w:sz w:val="22"/>
          <w:szCs w:val="22"/>
          <w:vertAlign w:val="superscript"/>
        </w:rPr>
        <w:t>er</w:t>
      </w:r>
      <w:r>
        <w:rPr>
          <w:rFonts w:cs="Calibri" w:ascii="Arial Nova Light;Arial Nova Light" w:hAnsi="Arial Nova Light;Arial Nova Light"/>
          <w:sz w:val="22"/>
          <w:szCs w:val="22"/>
        </w:rPr>
        <w:t xml:space="preserve"> semestre 2022, concernant l’organisation et conditions de travail dans le cadre des négociations annuelles obligatoires.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Arial Nova Light;Arial Nova Light"/>
          <w:color w:val="000000"/>
          <w:sz w:val="22"/>
          <w:szCs w:val="22"/>
        </w:rPr>
      </w:pPr>
      <w:r>
        <w:rPr>
          <w:rFonts w:cs="Calibri" w:ascii="Arial Nova Light;Arial Nova Light" w:hAnsi="Arial Nova Light;Arial Nova Light"/>
          <w:b/>
          <w:bCs/>
          <w:sz w:val="22"/>
          <w:szCs w:val="22"/>
        </w:rPr>
        <w:t>Article 9 - Publicité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Le présent accord est établi en un nombre suffisant d’exemplaires pour remise à chacune des parties signataires et dépôt dans les conditions prévues à l’article D. 2231-2 du Code du Travail, par la partie la plus diligente (deux à la DIRECCTE, dont une version sur papier et une version sur support électronique, et un au secrétariat-greffe du Conseil des Prud’hommes).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Il est notifié à l’ensemble des organisations syndicales représentatives dans l’entreprise. Les formalités de dépôt seront effectuées au plus tôt 8 jours après cette notification.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Fait à Brive, le 17 décembre 2021.</w:t>
      </w:r>
    </w:p>
    <w:p>
      <w:pPr>
        <w:pStyle w:val="Normal"/>
        <w:spacing w:before="120" w:after="120"/>
        <w:jc w:val="both"/>
        <w:rPr>
          <w:rFonts w:ascii="Arial Nova Light;Arial Nova Light" w:hAnsi="Arial Nova Light;Arial Nova Light" w:cs="Calibri"/>
          <w:sz w:val="22"/>
          <w:szCs w:val="22"/>
        </w:rPr>
      </w:pPr>
      <w:r>
        <w:rPr>
          <w:rFonts w:cs="Calibri" w:ascii="Arial Nova Light;Arial Nova Light" w:hAnsi="Arial Nova Light;Arial Nova Light"/>
          <w:sz w:val="22"/>
          <w:szCs w:val="22"/>
        </w:rPr>
        <w:t>La Direction</w:t>
        <w:tab/>
        <w:tab/>
        <w:tab/>
        <w:t xml:space="preserve">         Syndicat CFDT</w:t>
        <w:tab/>
        <w:tab/>
        <w:tab/>
        <w:t xml:space="preserve">               Syndicat CGT</w:t>
      </w:r>
    </w:p>
    <w:p>
      <w:pPr>
        <w:pStyle w:val="Normal"/>
        <w:spacing w:before="120" w:after="120"/>
        <w:jc w:val="both"/>
        <w:rPr/>
      </w:pPr>
      <w:r>
        <w:rPr>
          <w:rFonts w:cs="Calibri" w:ascii="Arial Nova Light;Arial Nova Light" w:hAnsi="Arial Nova Light;Arial Nova Light"/>
          <w:sz w:val="22"/>
          <w:szCs w:val="22"/>
        </w:rPr>
        <w:t>XX</w:t>
        <w:tab/>
        <w:tab/>
        <w:tab/>
        <w:tab/>
        <w:tab/>
        <w:t>XX</w:t>
        <w:tab/>
        <w:tab/>
        <w:tab/>
        <w:tab/>
        <w:tab/>
        <w:tab/>
        <w:t>XX</w:t>
      </w:r>
    </w:p>
    <w:sectPr>
      <w:type w:val="nextPage"/>
      <w:pgSz w:w="11906" w:h="16838"/>
      <w:pgMar w:left="1701" w:right="1134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Arial Nova Light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2"/>
      <w:szCs w:val="2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Policepardfaut">
    <w:name w:val="Police par défau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2021-12-31T09:27:00Z</dcterms:created>
  <dc:creator/>
  <dc:description/>
  <dc:language>en-GB</dc:language>
  <cp:lastModifiedBy/>
  <cp:lastPrinted>2021-12-17T11:00:00Z</cp:lastPrinted>
  <dcterms:modified xsi:type="dcterms:W3CDTF">2021-12-31T09:28:00Z</dcterms:modified>
  <cp:revision>3</cp:revision>
  <dc:subject/>
  <dc:title>Négociation Annuelle Obligatoire 2007</dc:title>
</cp:coreProperties>
</file>