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rFonts w:ascii="Vinci Sans Light" w:hAnsi="Vinci Sans Light" w:cs="Vinci Sans Light"/>
                <w:b/>
                <w:b/>
                <w:bCs/>
                <w:szCs w:val="22"/>
                <w:u w:val="single"/>
              </w:rPr>
            </w:pPr>
            <w:r>
              <w:rPr>
                <w:rFonts w:cs="Vinci Sans Light" w:ascii="Vinci Sans Light" w:hAnsi="Vinci Sans Light"/>
                <w:b/>
                <w:bCs/>
                <w:szCs w:val="22"/>
                <w:u w:val="single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Vinci Sans Light" w:hAnsi="Vinci Sans Light" w:cs="Vinci Sans Light"/>
                <w:b/>
                <w:b/>
                <w:bCs/>
                <w:sz w:val="28"/>
                <w:szCs w:val="28"/>
              </w:rPr>
            </w:pPr>
            <w:r>
              <w:rPr>
                <w:rFonts w:cs="Vinci Sans Light" w:ascii="Vinci Sans Light" w:hAnsi="Vinci Sans Light"/>
                <w:b/>
                <w:bCs/>
                <w:sz w:val="28"/>
                <w:szCs w:val="28"/>
              </w:rPr>
              <w:t>ACCORD DE LA SOCIETE L’EST ELECTRIQUE</w:t>
            </w:r>
          </w:p>
          <w:p>
            <w:pPr>
              <w:pStyle w:val="Normal"/>
              <w:spacing w:lineRule="auto" w:line="276"/>
              <w:jc w:val="center"/>
              <w:rPr>
                <w:rFonts w:ascii="Vinci Sans Light" w:hAnsi="Vinci Sans Light" w:cs="Vinci Sans Light"/>
                <w:b/>
                <w:b/>
                <w:bCs/>
                <w:sz w:val="28"/>
                <w:szCs w:val="28"/>
              </w:rPr>
            </w:pPr>
            <w:r>
              <w:rPr>
                <w:rFonts w:cs="Vinci Sans Light" w:ascii="Vinci Sans Light" w:hAnsi="Vinci Sans Light"/>
                <w:b/>
                <w:bCs/>
                <w:sz w:val="28"/>
                <w:szCs w:val="28"/>
              </w:rPr>
              <w:t>Année 2022</w:t>
            </w:r>
          </w:p>
          <w:p>
            <w:pPr>
              <w:pStyle w:val="Normal"/>
              <w:spacing w:lineRule="auto" w:line="276"/>
              <w:jc w:val="center"/>
              <w:rPr>
                <w:rFonts w:ascii="Vinci Sans Light" w:hAnsi="Vinci Sans Light" w:cs="Vinci Sans Light"/>
                <w:b/>
                <w:b/>
                <w:bCs/>
                <w:sz w:val="28"/>
                <w:szCs w:val="22"/>
                <w:u w:val="single"/>
              </w:rPr>
            </w:pPr>
            <w:r>
              <w:rPr>
                <w:rFonts w:cs="Vinci Sans Light" w:ascii="Vinci Sans Light" w:hAnsi="Vinci Sans Light"/>
                <w:b/>
                <w:bCs/>
                <w:sz w:val="28"/>
                <w:szCs w:val="22"/>
                <w:u w:val="single"/>
              </w:rPr>
            </w:r>
          </w:p>
        </w:tc>
      </w:tr>
    </w:tbl>
    <w:p>
      <w:pPr>
        <w:pStyle w:val="Paragraphedeliste"/>
        <w:spacing w:lineRule="auto" w:line="276"/>
        <w:ind w:left="0" w:hanging="0"/>
        <w:rPr>
          <w:rFonts w:ascii="Vinci Sans Light" w:hAnsi="Vinci Sans Light" w:cs="Vinci Sans Light"/>
          <w:b/>
          <w:b/>
        </w:rPr>
      </w:pPr>
      <w:r>
        <w:rPr>
          <w:rFonts w:cs="Vinci Sans Light" w:ascii="Vinci Sans Light" w:hAnsi="Vinci Sans Light"/>
          <w:b/>
        </w:rPr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Conformément aux articles L 2242-1 et suivants du Code du Travail, la Direction de l’Est ELECTRIQUE et la CFDT se sont réunies le 03/11/2021 et le 01/12/2021.</w:t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Conformément aux dispositions du procès-verbal d’ouverture des négociations remis le 03/11/2021 au délégué syndical, les parties ont négocié sur l’ensemble des thèmes visés aux articles L. 2242-5 et suivants du Code du Travail en faisant leurs propositions respectives. Pour rappel, la négociation a porté sur les thèmes suivants :</w:t>
      </w:r>
    </w:p>
    <w:p>
      <w:pPr>
        <w:pStyle w:val="Paragraphedeliste"/>
        <w:spacing w:lineRule="auto" w:line="276"/>
        <w:ind w:left="0" w:hanging="0"/>
        <w:rPr>
          <w:rFonts w:ascii="Vinci Sans Light" w:hAnsi="Vinci Sans Light" w:eastAsia="Times New Roman" w:cs="Arial"/>
          <w:b/>
          <w:b/>
          <w:szCs w:val="22"/>
          <w:u w:val="single"/>
        </w:rPr>
      </w:pPr>
      <w:r>
        <w:rPr>
          <w:rFonts w:eastAsia="Times New Roman" w:cs="Arial" w:ascii="Vinci Sans Light" w:hAnsi="Vinci Sans Light"/>
          <w:b/>
          <w:szCs w:val="22"/>
          <w:u w:val="single"/>
        </w:rPr>
      </w:r>
    </w:p>
    <w:p>
      <w:pPr>
        <w:pStyle w:val="Paragraphedeliste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Vinci Sans Light" w:hAnsi="Vinci Sans Light" w:eastAsia="Times New Roman" w:cs="Arial"/>
          <w:b/>
          <w:b/>
          <w:u w:val="single"/>
        </w:rPr>
      </w:pPr>
      <w:r>
        <w:rPr>
          <w:rFonts w:eastAsia="Times New Roman" w:cs="Arial" w:ascii="Vinci Sans Light" w:hAnsi="Vinci Sans Light"/>
          <w:b/>
          <w:u w:val="single"/>
        </w:rPr>
        <w:t>La rémunération, le temps de travail et le partage de la valeur ajoutée dans l’entreprise, qui comprend :</w:t>
      </w:r>
    </w:p>
    <w:p>
      <w:pPr>
        <w:pStyle w:val="Paragraphedeliste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Les salaires effectifs,</w:t>
      </w:r>
    </w:p>
    <w:p>
      <w:pPr>
        <w:pStyle w:val="Paragraphedeliste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 xml:space="preserve">La durée effective et organisation du temps de travail, </w:t>
      </w:r>
    </w:p>
    <w:p>
      <w:pPr>
        <w:pStyle w:val="Paragraphedeliste"/>
        <w:numPr>
          <w:ilvl w:val="0"/>
          <w:numId w:val="4"/>
        </w:numPr>
        <w:spacing w:lineRule="auto" w:line="276" w:before="0" w:after="0"/>
        <w:contextualSpacing/>
        <w:jc w:val="both"/>
        <w:rPr/>
      </w:pPr>
      <w:r>
        <w:rPr>
          <w:rFonts w:cs="Vinci Sans Light" w:ascii="Vinci Sans Light" w:hAnsi="Vinci Sans Light"/>
        </w:rPr>
        <w:t>Intéressement, participation et l’épargne salariale,</w:t>
      </w:r>
    </w:p>
    <w:p>
      <w:pPr>
        <w:pStyle w:val="Paragraphedeliste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Négociation sur les mesures visant à supprimer les écarts de rémunération et les différences de déroulement de carrière entre femmes et hommes.</w:t>
      </w:r>
    </w:p>
    <w:p>
      <w:pPr>
        <w:pStyle w:val="Paragraphedeliste"/>
        <w:spacing w:lineRule="auto" w:line="276"/>
        <w:ind w:left="2160" w:hanging="0"/>
        <w:rPr>
          <w:rFonts w:ascii="Vinci Sans Light" w:hAnsi="Vinci Sans Light" w:eastAsia="Times New Roman" w:cs="Arial"/>
          <w:b/>
          <w:b/>
          <w:u w:val="single"/>
        </w:rPr>
      </w:pPr>
      <w:r>
        <w:rPr>
          <w:rFonts w:eastAsia="Times New Roman" w:cs="Arial" w:ascii="Vinci Sans Light" w:hAnsi="Vinci Sans Light"/>
          <w:b/>
          <w:u w:val="single"/>
        </w:rPr>
      </w:r>
    </w:p>
    <w:p>
      <w:pPr>
        <w:pStyle w:val="Paragraphedeliste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Vinci Sans Light" w:hAnsi="Vinci Sans Light" w:eastAsia="Times New Roman" w:cs="Arial"/>
          <w:b/>
          <w:b/>
          <w:u w:val="single"/>
        </w:rPr>
      </w:pPr>
      <w:r>
        <w:rPr>
          <w:rFonts w:eastAsia="Times New Roman" w:cs="Arial" w:ascii="Vinci Sans Light" w:hAnsi="Vinci Sans Light"/>
          <w:b/>
          <w:u w:val="single"/>
        </w:rPr>
        <w:t>L’égalité professionnelle entre les femmes et les hommes et la qualité de vie au travail, qui comprend :</w:t>
      </w:r>
    </w:p>
    <w:p>
      <w:pPr>
        <w:pStyle w:val="Paragraphedeliste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Articulation vie professionnelle/vie privée des salariés,</w:t>
      </w:r>
    </w:p>
    <w:p>
      <w:pPr>
        <w:pStyle w:val="Paragraphedeliste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Objectifs et mesures permettant d’atteindre l’égalité professionnelle entre les femmes et les hommes,</w:t>
      </w:r>
    </w:p>
    <w:p>
      <w:pPr>
        <w:pStyle w:val="Paragraphedeliste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Les mesures permettant de lutter contre toute discrimination en matière de recrutement, d’emploi et d’accès à la formation professionnelle,</w:t>
      </w:r>
    </w:p>
    <w:p>
      <w:pPr>
        <w:pStyle w:val="Paragraphedeliste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Mesures relatives à l’insertion professionnelle et au maintien dans l’emploi des travailleurs handicapés,</w:t>
      </w:r>
    </w:p>
    <w:p>
      <w:pPr>
        <w:pStyle w:val="Paragraphedeliste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 xml:space="preserve">Les modalités de définition d’un régime de prévoyance et d’un régime de remboursement complémentaire, </w:t>
      </w:r>
    </w:p>
    <w:p>
      <w:pPr>
        <w:pStyle w:val="Paragraphedeliste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Exercice du droit d’expression direct et collective des salariés,</w:t>
      </w:r>
    </w:p>
    <w:p>
      <w:pPr>
        <w:pStyle w:val="Paragraphedeliste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Modalités de mise en œuvre du droit à la déconnexion,</w:t>
      </w:r>
    </w:p>
    <w:p>
      <w:pPr>
        <w:pStyle w:val="Paragraphedeliste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Les mesures visant à améliorer la mobilité des salariés entre la résidence habituelle et lieu de travail.</w:t>
      </w:r>
    </w:p>
    <w:p>
      <w:pPr>
        <w:pStyle w:val="Paragraphedeliste"/>
        <w:spacing w:lineRule="auto" w:line="276"/>
        <w:ind w:left="0" w:hanging="0"/>
        <w:rPr>
          <w:rFonts w:ascii="Vinci Sans Light" w:hAnsi="Vinci Sans Light" w:cs="Vinci Sans Light"/>
          <w:bCs/>
        </w:rPr>
      </w:pPr>
      <w:r>
        <w:rPr>
          <w:rFonts w:cs="Vinci Sans Light" w:ascii="Vinci Sans Light" w:hAnsi="Vinci Sans Light"/>
          <w:bCs/>
        </w:rPr>
      </w:r>
    </w:p>
    <w:p>
      <w:pPr>
        <w:pStyle w:val="Paragraphedeliste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  <w:b/>
          <w:b/>
          <w:bCs/>
          <w:u w:val="single"/>
        </w:rPr>
      </w:pPr>
      <w:r>
        <w:rPr>
          <w:rFonts w:cs="Vinci Sans Light" w:ascii="Vinci Sans Light" w:hAnsi="Vinci Sans Light"/>
          <w:b/>
          <w:bCs/>
          <w:u w:val="single"/>
        </w:rPr>
        <w:t>La gestion des emplois et des parcours professionnels, qui comprend :</w:t>
      </w:r>
    </w:p>
    <w:p>
      <w:pPr>
        <w:pStyle w:val="Paragraphedeliste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La gestion prévisionnelle des emplois et des compétences,</w:t>
      </w:r>
    </w:p>
    <w:p>
      <w:pPr>
        <w:pStyle w:val="Paragraphedeliste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Les conditions de mobilité professionnelle ou géographique internes à l’entreprise,</w:t>
      </w:r>
    </w:p>
    <w:p>
      <w:pPr>
        <w:pStyle w:val="Paragraphedeliste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Vinci Sans Light" w:hAnsi="Vinci Sans Light" w:cs="Vinci Sans Light"/>
        </w:rPr>
      </w:pPr>
      <w:r>
        <w:rPr>
          <w:rFonts w:cs="Vinci Sans Light" w:ascii="Vinci Sans Light" w:hAnsi="Vinci Sans Light"/>
        </w:rPr>
        <w:t>Les grandes orientations de la formation et les objectifs du plan de formation.</w:t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 xml:space="preserve">Le CSE a été régulièrement tenu informé de l’avancée des négociations. </w:t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Le document ci-après reprend :</w:t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Les propositions du syndicat CFDT.</w:t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Les propositions de la Direction de L’EST ELECTRIQUE.</w:t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shd w:fill="D9D9D9" w:val="clear"/>
        <w:autoSpaceDE w:val="false"/>
        <w:spacing w:lineRule="auto" w:line="276"/>
        <w:ind w:left="23" w:hanging="0"/>
        <w:jc w:val="center"/>
        <w:rPr>
          <w:rFonts w:ascii="Vinci Sans Light" w:hAnsi="Vinci Sans Light" w:cs="Arial"/>
          <w:b/>
          <w:b/>
          <w:color w:val="000000"/>
          <w:szCs w:val="22"/>
        </w:rPr>
      </w:pPr>
      <w:r>
        <w:rPr>
          <w:rFonts w:cs="Arial" w:ascii="Vinci Sans Light" w:hAnsi="Vinci Sans Light"/>
          <w:b/>
          <w:szCs w:val="22"/>
        </w:rPr>
        <w:t xml:space="preserve">PROPOSITIONS </w:t>
      </w:r>
      <w:r>
        <w:rPr>
          <w:rFonts w:cs="Arial" w:ascii="Vinci Sans Light" w:hAnsi="Vinci Sans Light"/>
          <w:b/>
          <w:color w:val="000000"/>
          <w:szCs w:val="22"/>
        </w:rPr>
        <w:t xml:space="preserve">syndicat CFDT </w:t>
      </w:r>
    </w:p>
    <w:p>
      <w:pPr>
        <w:pStyle w:val="Normal"/>
        <w:autoSpaceDE w:val="false"/>
        <w:spacing w:lineRule="auto" w:line="276"/>
        <w:rPr>
          <w:rFonts w:ascii="Vinci Sans Light" w:hAnsi="Vinci Sans Light" w:cs="Arial"/>
          <w:b/>
          <w:b/>
          <w:iCs/>
          <w:color w:val="000000"/>
          <w:szCs w:val="22"/>
        </w:rPr>
      </w:pPr>
      <w:r>
        <w:rPr>
          <w:rFonts w:cs="Arial" w:ascii="Vinci Sans Light" w:hAnsi="Vinci Sans Light"/>
          <w:b/>
          <w:iCs/>
          <w:color w:val="000000"/>
          <w:szCs w:val="22"/>
        </w:rPr>
      </w:r>
    </w:p>
    <w:p>
      <w:pPr>
        <w:pStyle w:val="Paragraphedeliste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Vinci Sans Light" w:hAnsi="Vinci Sans Light" w:cs="Arial"/>
        </w:rPr>
      </w:pPr>
      <w:r>
        <w:rPr>
          <w:rFonts w:eastAsia="Times New Roman" w:cs="Arial" w:ascii="Vinci Sans Light" w:hAnsi="Vinci Sans Light"/>
          <w:b/>
          <w:u w:val="single"/>
        </w:rPr>
        <w:t>La rémunération, le temps de travail et le partage de la valeur ajoutée dans l’entreprise :</w:t>
      </w:r>
    </w:p>
    <w:p>
      <w:pPr>
        <w:pStyle w:val="Paragraphedeliste"/>
        <w:spacing w:lineRule="auto" w:line="276" w:before="0" w:after="0"/>
        <w:ind w:left="360" w:hanging="0"/>
        <w:contextualSpacing/>
        <w:jc w:val="both"/>
        <w:rPr>
          <w:rFonts w:ascii="Vinci Sans Light" w:hAnsi="Vinci Sans Light" w:cs="Arial"/>
        </w:rPr>
      </w:pPr>
      <w:r>
        <w:rPr>
          <w:rFonts w:cs="Arial" w:ascii="Vinci Sans Light" w:hAnsi="Vinci Sans Light"/>
        </w:rPr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La CFDT propose :</w:t>
      </w:r>
    </w:p>
    <w:p>
      <w:pPr>
        <w:pStyle w:val="Normal"/>
        <w:autoSpaceDE w:val="false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« Compte tenu de l’inflation générale, une augmentation individuelle annuelle des salaires de 3% de la masse salariale de la Société L’EST ELECTRIQUE ».</w:t>
      </w:r>
    </w:p>
    <w:p>
      <w:pPr>
        <w:pStyle w:val="Normal"/>
        <w:autoSpaceDE w:val="false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Vinci Sans Light" w:hAnsi="Vinci Sans Light"/>
          <w:b/>
          <w:u w:val="single"/>
        </w:rPr>
        <w:t>L’égalité professionnelle entre les femmes et les hommes et la qualité de vie au travail :</w:t>
      </w:r>
    </w:p>
    <w:p>
      <w:pPr>
        <w:pStyle w:val="Normal"/>
        <w:rPr>
          <w:rFonts w:ascii="Vinci Sans Light" w:hAnsi="Vinci Sans Light" w:cs="Arial"/>
          <w:b/>
          <w:b/>
          <w:u w:val="single"/>
        </w:rPr>
      </w:pPr>
      <w:r>
        <w:rPr>
          <w:rFonts w:cs="Arial" w:ascii="Vinci Sans Light" w:hAnsi="Vinci Sans Light"/>
          <w:b/>
          <w:u w:val="single"/>
        </w:rPr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Néant</w:t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cs="Vinci Sans Light" w:ascii="Vinci Sans Light" w:hAnsi="Vinci Sans Light"/>
          <w:b/>
          <w:bCs/>
          <w:u w:val="single"/>
        </w:rPr>
        <w:t>La gestion des emplois et des parcours professionnels</w:t>
      </w:r>
    </w:p>
    <w:p>
      <w:pPr>
        <w:pStyle w:val="Normal"/>
        <w:autoSpaceDE w:val="false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Néant</w:t>
      </w:r>
    </w:p>
    <w:p>
      <w:pPr>
        <w:pStyle w:val="Normal"/>
        <w:autoSpaceDE w:val="false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center" w:pos="4820" w:leader="none"/>
        </w:tabs>
        <w:spacing w:lineRule="auto" w:line="276"/>
        <w:jc w:val="center"/>
        <w:rPr>
          <w:rFonts w:ascii="Vinci Sans Light" w:hAnsi="Vinci Sans Light" w:cs="Arial"/>
          <w:b/>
          <w:b/>
          <w:color w:val="000000"/>
          <w:szCs w:val="22"/>
        </w:rPr>
      </w:pPr>
      <w:r>
        <w:rPr>
          <w:rFonts w:cs="Arial" w:ascii="Vinci Sans Light" w:hAnsi="Vinci Sans Light"/>
          <w:b/>
          <w:color w:val="000000"/>
          <w:szCs w:val="22"/>
        </w:rPr>
        <w:t xml:space="preserve">PROPOSITIONS de la Direction </w:t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color w:val="000000"/>
          <w:szCs w:val="22"/>
        </w:rPr>
      </w:pPr>
      <w:r>
        <w:rPr>
          <w:rFonts w:cs="Vinci Sans Light" w:ascii="Vinci Sans Light" w:hAnsi="Vinci Sans Light"/>
          <w:b/>
          <w:color w:val="000000"/>
          <w:szCs w:val="22"/>
        </w:rPr>
      </w:r>
    </w:p>
    <w:p>
      <w:pPr>
        <w:pStyle w:val="Paragraphedeliste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Vinci Sans Light" w:hAnsi="Vinci Sans Light" w:cs="Arial"/>
        </w:rPr>
      </w:pPr>
      <w:r>
        <w:rPr>
          <w:rFonts w:eastAsia="Times New Roman" w:cs="Arial" w:ascii="Vinci Sans Light" w:hAnsi="Vinci Sans Light"/>
          <w:b/>
          <w:u w:val="single"/>
        </w:rPr>
        <w:t>La rémunération, le temps de travail et le partage de la valeur ajoutée dans l’entreprise :</w:t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 xml:space="preserve">Concernant les augmentations individuelles, et au vu de l’effort financier que représentera le versement de l’interessement qui devrait être intervenir sur la même période, la Direction propose une enveloppe de 2%. </w:t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Vinci Sans Light" w:hAnsi="Vinci Sans Light"/>
          <w:b/>
          <w:u w:val="single"/>
        </w:rPr>
        <w:t>L’égalité professionnelle entre les femmes et les hommes et la qualité de vie au travail :</w:t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Néant</w:t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cs="Vinci Sans Light" w:ascii="Vinci Sans Light" w:hAnsi="Vinci Sans Light"/>
          <w:b/>
          <w:bCs/>
          <w:u w:val="single"/>
        </w:rPr>
        <w:t>La gestion des emplois et des parcours professionnels</w:t>
      </w:r>
    </w:p>
    <w:p>
      <w:pPr>
        <w:pStyle w:val="Normal"/>
        <w:autoSpaceDE w:val="false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Néant</w:t>
      </w:r>
    </w:p>
    <w:p>
      <w:pPr>
        <w:pStyle w:val="Normal"/>
        <w:spacing w:lineRule="auto" w:line="276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center" w:pos="4820" w:leader="none"/>
        </w:tabs>
        <w:spacing w:lineRule="auto" w:line="276"/>
        <w:jc w:val="center"/>
        <w:rPr>
          <w:rFonts w:ascii="Vinci Sans Light" w:hAnsi="Vinci Sans Light" w:cs="Arial"/>
          <w:b/>
          <w:b/>
          <w:color w:val="000000"/>
          <w:szCs w:val="22"/>
        </w:rPr>
      </w:pPr>
      <w:r>
        <w:rPr>
          <w:rFonts w:cs="Arial" w:ascii="Vinci Sans Light" w:hAnsi="Vinci Sans Light"/>
          <w:b/>
          <w:color w:val="000000"/>
          <w:szCs w:val="22"/>
        </w:rPr>
        <w:t>MESURES AYANT FAIT L’OBJET D’UN ACCORD DES PARTIES</w:t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color w:val="000000"/>
          <w:szCs w:val="22"/>
        </w:rPr>
      </w:pPr>
      <w:r>
        <w:rPr>
          <w:rFonts w:cs="Vinci Sans Light" w:ascii="Vinci Sans Light" w:hAnsi="Vinci Sans Light"/>
          <w:b/>
          <w:color w:val="000000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szCs w:val="22"/>
        </w:rPr>
      </w:pPr>
      <w:r>
        <w:rPr>
          <w:rFonts w:cs="Vinci Sans Light" w:ascii="Vinci Sans Light" w:hAnsi="Vinci Sans Light"/>
          <w:b/>
          <w:szCs w:val="22"/>
          <w:u w:val="single"/>
        </w:rPr>
        <w:t>Article 1</w:t>
      </w:r>
      <w:r>
        <w:rPr>
          <w:rFonts w:cs="Vinci Sans Light" w:ascii="Vinci Sans Light" w:hAnsi="Vinci Sans Light"/>
          <w:b/>
          <w:szCs w:val="22"/>
        </w:rPr>
        <w:t> : Champ d’application</w:t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szCs w:val="22"/>
          <w:u w:val="single"/>
        </w:rPr>
      </w:pPr>
      <w:r>
        <w:rPr>
          <w:rFonts w:cs="Vinci Sans Light" w:ascii="Vinci Sans Light" w:hAnsi="Vinci Sans Light"/>
          <w:b/>
          <w:szCs w:val="22"/>
          <w:u w:val="single"/>
        </w:rPr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La société l’Est Electrique au 01/01/2022.</w:t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szCs w:val="22"/>
        </w:rPr>
      </w:pPr>
      <w:r>
        <w:rPr>
          <w:rFonts w:cs="Vinci Sans Light" w:ascii="Vinci Sans Light" w:hAnsi="Vinci Sans Light"/>
          <w:b/>
          <w:szCs w:val="22"/>
          <w:u w:val="single"/>
        </w:rPr>
        <w:t>Article 2</w:t>
      </w:r>
      <w:r>
        <w:rPr>
          <w:rFonts w:cs="Vinci Sans Light" w:ascii="Vinci Sans Light" w:hAnsi="Vinci Sans Light"/>
          <w:b/>
          <w:szCs w:val="22"/>
        </w:rPr>
        <w:t> : Base de l’accord</w:t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szCs w:val="22"/>
        </w:rPr>
      </w:pPr>
      <w:r>
        <w:rPr>
          <w:rFonts w:cs="Vinci Sans Light" w:ascii="Vinci Sans Light" w:hAnsi="Vinci Sans Light"/>
          <w:b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  <w:t>Concernant les augmentations individuelles, la Direction consent l’attribution d’une enveloppe de 2% de la masse salariale, malgré le contexte économique difficile en raison de la crise sanitaire et économique ; l’effort est intégralement porté sur les salaires.</w:t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szCs w:val="22"/>
          <w:u w:val="single"/>
        </w:rPr>
      </w:pPr>
      <w:r>
        <w:rPr>
          <w:rFonts w:cs="Vinci Sans Light" w:ascii="Vinci Sans Light" w:hAnsi="Vinci Sans Light"/>
          <w:b/>
          <w:szCs w:val="22"/>
          <w:u w:val="single"/>
        </w:rPr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szCs w:val="22"/>
        </w:rPr>
      </w:pPr>
      <w:r>
        <w:rPr>
          <w:rFonts w:cs="Vinci Sans Light" w:ascii="Vinci Sans Light" w:hAnsi="Vinci Sans Light"/>
          <w:b/>
          <w:szCs w:val="22"/>
          <w:u w:val="single"/>
        </w:rPr>
        <w:t>Article 3</w:t>
      </w:r>
      <w:r>
        <w:rPr>
          <w:rFonts w:cs="Vinci Sans Light" w:ascii="Vinci Sans Light" w:hAnsi="Vinci Sans Light"/>
          <w:b/>
          <w:szCs w:val="22"/>
        </w:rPr>
        <w:t xml:space="preserve"> : Durée de l’accord </w:t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szCs w:val="22"/>
        </w:rPr>
      </w:pPr>
      <w:r>
        <w:rPr>
          <w:rFonts w:cs="Vinci Sans Light" w:ascii="Vinci Sans Light" w:hAnsi="Vinci Sans Light"/>
          <w:b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  <w:t>Les mesures visées sont prises pour une durée d'un an et concerne l’année 2022. Au terme de l'année 2022, le présent accord ne s'appliquera plus et ne continuera pas à produire ses effets comme un accord à durée indéterminée. Néanmoins, au terme de l’année 2022,  les dispositions de l'accord seront le cas échéant rediscutées au cours des prochaines NAO.</w:t>
      </w:r>
    </w:p>
    <w:p>
      <w:pPr>
        <w:pStyle w:val="Normal"/>
        <w:spacing w:lineRule="auto" w:line="276"/>
        <w:rPr>
          <w:rFonts w:ascii="Vinci Sans Light" w:hAnsi="Vinci Sans Light" w:cs="Vinci Sans Light"/>
          <w:b/>
          <w:b/>
          <w:szCs w:val="22"/>
        </w:rPr>
      </w:pPr>
      <w:r>
        <w:rPr>
          <w:rFonts w:cs="Vinci Sans Light" w:ascii="Vinci Sans Light" w:hAnsi="Vinci Sans Light"/>
          <w:b/>
          <w:szCs w:val="22"/>
        </w:rPr>
      </w:r>
    </w:p>
    <w:p>
      <w:pPr>
        <w:pStyle w:val="Normal"/>
        <w:tabs>
          <w:tab w:val="center" w:pos="4820" w:leader="none"/>
        </w:tabs>
        <w:spacing w:lineRule="auto" w:line="276"/>
        <w:rPr>
          <w:rFonts w:ascii="Vinci Sans Light" w:hAnsi="Vinci Sans Light" w:cs="Vinci Sans Light"/>
          <w:b/>
          <w:b/>
          <w:szCs w:val="22"/>
        </w:rPr>
      </w:pPr>
      <w:r>
        <w:rPr>
          <w:rFonts w:cs="Vinci Sans Light" w:ascii="Vinci Sans Light" w:hAnsi="Vinci Sans Light"/>
          <w:b/>
          <w:szCs w:val="22"/>
          <w:u w:val="single"/>
        </w:rPr>
        <w:t>Article 4</w:t>
      </w:r>
      <w:r>
        <w:rPr>
          <w:rFonts w:cs="Vinci Sans Light" w:ascii="Vinci Sans Light" w:hAnsi="Vinci Sans Light"/>
          <w:b/>
          <w:szCs w:val="22"/>
        </w:rPr>
        <w:t> : Formalités de dépôt</w:t>
      </w:r>
    </w:p>
    <w:p>
      <w:pPr>
        <w:pStyle w:val="Normal"/>
        <w:tabs>
          <w:tab w:val="center" w:pos="4820" w:leader="none"/>
        </w:tabs>
        <w:spacing w:lineRule="auto" w:line="276"/>
        <w:ind w:left="567" w:hanging="567"/>
        <w:rPr>
          <w:rFonts w:ascii="Vinci Sans Light" w:hAnsi="Vinci Sans Light" w:cs="Vinci Sans Light"/>
          <w:b/>
          <w:b/>
          <w:szCs w:val="22"/>
        </w:rPr>
      </w:pPr>
      <w:r>
        <w:rPr>
          <w:rFonts w:cs="Vinci Sans Light" w:ascii="Vinci Sans Light" w:hAnsi="Vinci Sans Light"/>
          <w:b/>
          <w:szCs w:val="22"/>
        </w:rPr>
      </w:r>
    </w:p>
    <w:p>
      <w:pPr>
        <w:pStyle w:val="Normal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Le présent accord sera déposé à la DIRECCTE sous format électronique sur le site de téléaccord. Un exemplaire auprès du secrétariat greffe du Conseil de Prud’hommes dont relève la Société/entreprise .</w:t>
      </w:r>
    </w:p>
    <w:p>
      <w:pPr>
        <w:pStyle w:val="Normal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Une copie du présent accord sera affiché sur les panneaux d’affichage prévus à cet effet destiné au personnel.</w:t>
      </w:r>
    </w:p>
    <w:p>
      <w:pPr>
        <w:pStyle w:val="Normal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</w:r>
    </w:p>
    <w:p>
      <w:pPr>
        <w:pStyle w:val="Normal"/>
        <w:spacing w:lineRule="auto" w:line="276"/>
        <w:rPr>
          <w:rFonts w:ascii="Vinci Sans Light" w:hAnsi="Vinci Sans Light" w:cs="Arial"/>
          <w:szCs w:val="22"/>
        </w:rPr>
      </w:pPr>
      <w:r>
        <w:rPr>
          <w:rFonts w:cs="Arial" w:ascii="Vinci Sans Light" w:hAnsi="Vinci Sans Light"/>
          <w:szCs w:val="22"/>
        </w:rPr>
        <w:t>Un exemplaire original est remis aux parties signataires.</w:t>
      </w:r>
    </w:p>
    <w:p>
      <w:pPr>
        <w:pStyle w:val="Normal"/>
        <w:tabs>
          <w:tab w:val="center" w:pos="4820" w:leader="none"/>
        </w:tabs>
        <w:spacing w:lineRule="auto" w:line="276"/>
        <w:ind w:left="426" w:hanging="426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tabs>
          <w:tab w:val="center" w:pos="4820" w:leader="none"/>
        </w:tabs>
        <w:spacing w:lineRule="auto" w:line="276"/>
        <w:ind w:left="426" w:hanging="426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tabs>
          <w:tab w:val="left" w:pos="5103" w:leader="none"/>
        </w:tabs>
        <w:spacing w:lineRule="auto" w:line="276"/>
        <w:ind w:left="567" w:hanging="567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  <w:tab/>
        <w:tab/>
        <w:t>Fait à Roche lez Beaupré, le 01/12/2021.</w:t>
      </w:r>
    </w:p>
    <w:p>
      <w:pPr>
        <w:pStyle w:val="Normal"/>
        <w:tabs>
          <w:tab w:val="left" w:pos="5103" w:leader="none"/>
        </w:tabs>
        <w:spacing w:lineRule="auto" w:line="276"/>
        <w:ind w:left="567" w:hanging="567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tabs>
          <w:tab w:val="left" w:pos="5103" w:leader="none"/>
        </w:tabs>
        <w:spacing w:lineRule="auto" w:line="276"/>
        <w:ind w:left="567" w:hanging="567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tabs>
          <w:tab w:val="left" w:pos="5103" w:leader="none"/>
        </w:tabs>
        <w:spacing w:lineRule="auto" w:line="276"/>
        <w:ind w:left="567" w:hanging="567"/>
        <w:rPr>
          <w:rFonts w:ascii="Vinci Sans Light" w:hAnsi="Vinci Sans Light" w:cs="Vinci Sans Light"/>
          <w:sz w:val="20"/>
          <w:szCs w:val="22"/>
        </w:rPr>
      </w:pPr>
      <w:r>
        <w:rPr>
          <w:rFonts w:cs="Vinci Sans Light" w:ascii="Vinci Sans Light" w:hAnsi="Vinci Sans Light"/>
          <w:sz w:val="20"/>
          <w:szCs w:val="22"/>
        </w:rPr>
      </w:r>
    </w:p>
    <w:p>
      <w:pPr>
        <w:pStyle w:val="Normal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  <w:u w:val="single"/>
        </w:rPr>
        <w:t>Pour la CFDT</w:t>
      </w:r>
      <w:r>
        <w:rPr>
          <w:rFonts w:cs="Vinci Sans Light" w:ascii="Vinci Sans Light" w:hAnsi="Vinci Sans Light"/>
          <w:szCs w:val="22"/>
        </w:rPr>
        <w:t> :</w:t>
        <w:tab/>
        <w:tab/>
        <w:tab/>
        <w:tab/>
        <w:tab/>
        <w:tab/>
        <w:tab/>
      </w:r>
      <w:r>
        <w:rPr>
          <w:rFonts w:cs="Vinci Sans Light" w:ascii="Vinci Sans Light" w:hAnsi="Vinci Sans Light"/>
          <w:szCs w:val="22"/>
          <w:u w:val="single"/>
        </w:rPr>
        <w:t>Pour la Direction</w:t>
      </w:r>
      <w:r>
        <w:rPr>
          <w:rFonts w:cs="Vinci Sans Light" w:ascii="Vinci Sans Light" w:hAnsi="Vinci Sans Light"/>
          <w:szCs w:val="22"/>
        </w:rPr>
        <w:t> :</w:t>
      </w:r>
    </w:p>
    <w:p>
      <w:pPr>
        <w:pStyle w:val="Normal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</w:r>
    </w:p>
    <w:p>
      <w:pPr>
        <w:pStyle w:val="Normal"/>
        <w:rPr>
          <w:rFonts w:ascii="Vinci Sans Light" w:hAnsi="Vinci Sans Light" w:cs="Vinci Sans Light"/>
          <w:szCs w:val="22"/>
        </w:rPr>
      </w:pPr>
      <w:r>
        <w:rPr>
          <w:rFonts w:cs="Vinci Sans Light" w:ascii="Vinci Sans Light" w:hAnsi="Vinci Sans Light"/>
          <w:szCs w:val="22"/>
        </w:rPr>
        <w:t>xxxxxxxxxxxxxxx</w:t>
        <w:tab/>
        <w:tab/>
        <w:tab/>
        <w:tab/>
        <w:tab/>
        <w:tab/>
        <w:tab/>
        <w:t>xxxxxxxxxxxxxxxxxxx</w:t>
      </w:r>
    </w:p>
    <w:p>
      <w:pPr>
        <w:pStyle w:val="Normal"/>
        <w:spacing w:lineRule="auto" w:line="276"/>
        <w:rPr>
          <w:rFonts w:ascii="Vinci Sans Light" w:hAnsi="Vinci Sans Light" w:cs="Vinci Sans Light"/>
          <w:szCs w:val="22"/>
        </w:rPr>
      </w:pPr>
      <w:bookmarkStart w:id="0" w:name="_PictureBullets"/>
      <w:bookmarkEnd w:id="0"/>
      <w:r>
        <w:rPr>
          <w:rFonts w:cs="Vinci Sans Light" w:ascii="Vinci Sans Light" w:hAnsi="Vinci Sans Light"/>
          <w:szCs w:val="22"/>
        </w:rPr>
        <w:t>Délégué Syndical</w:t>
        <w:tab/>
        <w:tab/>
        <w:tab/>
        <w:tab/>
        <w:tab/>
        <w:tab/>
        <w:t>Chef d’Entreprise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369" w:top="1440" w:footer="720" w:bottom="1440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inci Sans">
    <w:charset w:val="00"/>
    <w:family w:val="modern"/>
    <w:pitch w:val="variable"/>
  </w:font>
  <w:font w:name="Tahoma">
    <w:charset w:val="00"/>
    <w:family w:val="swiss"/>
    <w:pitch w:val="variable"/>
  </w:font>
  <w:font w:name="Calibri Light">
    <w:charset w:val="00"/>
    <w:family w:val="swiss"/>
    <w:pitch w:val="variable"/>
  </w:font>
  <w:font w:name="Vinci Sans Medium">
    <w:charset w:val="00"/>
    <w:family w:val="modern"/>
    <w:pitch w:val="variable"/>
  </w:font>
  <w:font w:name="Liberation Sans">
    <w:altName w:val="Arial"/>
    <w:charset w:val="01"/>
    <w:family w:val="swiss"/>
    <w:pitch w:val="variable"/>
  </w:font>
  <w:font w:name="Vinci Sans Light">
    <w:charset w:val="00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bCs/>
        <w:sz w:val="24"/>
        <w:szCs w:val="24"/>
      </w:rPr>
    </w:pPr>
    <w:r>
      <w:rPr/>
      <w:t xml:space="preserve">Page </w:t>
    </w:r>
    <w:r>
      <w:rPr>
        <w:b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 xml:space="preserve"> sur </w:t>
    </w:r>
    <w:r>
      <w:rPr>
        <w:b/>
        <w:bCs/>
        <w:sz w:val="24"/>
        <w:szCs w:val="24"/>
      </w:rPr>
      <w:fldChar w:fldCharType="begin"/>
    </w:r>
    <w:r>
      <w:instrText> NUMPAGES \* ARABIC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8931" w:leader="none"/>
      </w:tabs>
      <w:ind w:right="-1418" w:hanging="0"/>
      <w:rPr/>
    </w:pPr>
    <w:r>
      <w:rPr/>
      <w:tab/>
    </w:r>
  </w:p>
  <w:p>
    <w:pPr>
      <w:pStyle w:val="Header"/>
      <w:tabs>
        <w:tab w:val="left" w:pos="8931" w:leader="none"/>
      </w:tabs>
      <w:ind w:right="-1418" w:hanging="0"/>
      <w:rPr/>
    </w:pPr>
    <w:r>
      <w:rPr/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30480</wp:posOffset>
          </wp:positionH>
          <wp:positionV relativeFrom="paragraph">
            <wp:posOffset>6350</wp:posOffset>
          </wp:positionV>
          <wp:extent cx="2149475" cy="834390"/>
          <wp:effectExtent l="0" t="0" r="0" b="0"/>
          <wp:wrapNone/>
          <wp:docPr id="1" name="Imag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8" t="-48" r="-18" b="-48"/>
                  <a:stretch>
                    <a:fillRect/>
                  </a:stretch>
                </pic:blipFill>
                <pic:spPr bwMode="auto">
                  <a:xfrm>
                    <a:off x="0" y="0"/>
                    <a:ext cx="2149475" cy="834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left" w:pos="8931" w:leader="none"/>
      </w:tabs>
      <w:ind w:right="-1418" w:hanging="0"/>
      <w:rPr/>
    </w:pPr>
    <w:r>
      <w:rPr/>
    </w:r>
  </w:p>
  <w:p>
    <w:pPr>
      <w:pStyle w:val="Header"/>
      <w:tabs>
        <w:tab w:val="left" w:pos="8931" w:leader="none"/>
      </w:tabs>
      <w:ind w:right="-1418" w:hanging="0"/>
      <w:rPr/>
    </w:pPr>
    <w:r>
      <w:rPr/>
    </w:r>
  </w:p>
  <w:p>
    <w:pPr>
      <w:pStyle w:val="Header"/>
      <w:tabs>
        <w:tab w:val="left" w:pos="8931" w:leader="none"/>
      </w:tabs>
      <w:ind w:right="-1418" w:hanging="0"/>
      <w:rPr/>
    </w:pPr>
    <w:r>
      <w:rPr/>
    </w:r>
  </w:p>
  <w:p>
    <w:pPr>
      <w:pStyle w:val="Header"/>
      <w:tabs>
        <w:tab w:val="left" w:pos="8931" w:leader="none"/>
      </w:tabs>
      <w:ind w:right="-1418" w:hanging="0"/>
      <w:rPr/>
    </w:pPr>
    <w:r>
      <w:rPr/>
    </w:r>
  </w:p>
  <w:p>
    <w:pPr>
      <w:pStyle w:val="Header"/>
      <w:tabs>
        <w:tab w:val="left" w:pos="8931" w:leader="none"/>
      </w:tabs>
      <w:ind w:right="-1418" w:hanging="0"/>
      <w:rPr/>
    </w:pPr>
    <w:r>
      <w:rPr/>
    </w:r>
  </w:p>
  <w:p>
    <w:pPr>
      <w:pStyle w:val="Header"/>
      <w:tabs>
        <w:tab w:val="left" w:pos="8931" w:leader="none"/>
      </w:tabs>
      <w:ind w:right="-1418" w:hanging="0"/>
      <w:rPr/>
    </w:pPr>
    <w:r>
      <w:rPr/>
    </w:r>
  </w:p>
  <w:p>
    <w:pPr>
      <w:pStyle w:val="Header"/>
      <w:tabs>
        <w:tab w:val="left" w:pos="8931" w:leader="none"/>
      </w:tabs>
      <w:ind w:right="-1418" w:hanging="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7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4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Arial" w:hAnsi="Arial" w:eastAsia="Times New Roman" w:cs="Arial"/>
      <w:color w:val="auto"/>
      <w:sz w:val="22"/>
      <w:szCs w:val="20"/>
      <w:lang w:val="fr-FR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character" w:styleId="WW8Num1z0">
    <w:name w:val="WW8Num1z0"/>
    <w:qFormat/>
    <w:rPr>
      <w:rFonts w:ascii="Calibri" w:hAnsi="Calibri" w:eastAsia="Calibri" w:cs="Calibri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Vinci Sans" w:hAnsi="Vinci Sans" w:eastAsia="Calibri" w:cs="Times New Roman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Times New Roman" w:hAnsi="Times New Roman" w:eastAsia="Times New Roman" w:cs="Times New Roman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Calibri" w:hAnsi="Calibri" w:eastAsia="Calibri" w:cs="Calibri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VisitedInternetLink">
    <w:name w:val="Visited Internet Link"/>
    <w:rPr>
      <w:color w:val="FF6600"/>
      <w:u w:val="single"/>
    </w:rPr>
  </w:style>
  <w:style w:type="character" w:styleId="InternetLink">
    <w:name w:val="Internet Link"/>
    <w:rPr>
      <w:color w:val="0000FF"/>
      <w:u w:val="single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  <w:sz w:val="22"/>
      <w:lang w:val="en-GB" w:eastAsia="en-GB"/>
    </w:rPr>
  </w:style>
  <w:style w:type="character" w:styleId="RetraitcorpsdetexteCar">
    <w:name w:val="Retrait corps de texte Car"/>
    <w:qFormat/>
    <w:rPr>
      <w:sz w:val="24"/>
      <w:szCs w:val="24"/>
    </w:rPr>
  </w:style>
  <w:style w:type="character" w:styleId="Retraitcorpset1religCar">
    <w:name w:val="Retrait corps et 1re lig. Car"/>
    <w:qFormat/>
    <w:rPr>
      <w:sz w:val="24"/>
      <w:szCs w:val="24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 w:eastAsia="en-GB"/>
    </w:rPr>
  </w:style>
  <w:style w:type="character" w:styleId="Titre1Car">
    <w:name w:val="Titre 1 Car"/>
    <w:qFormat/>
    <w:rPr>
      <w:rFonts w:ascii="Cambria" w:hAnsi="Cambria" w:eastAsia="Times New Roman" w:cs="Times New Roman"/>
      <w:b/>
      <w:bCs/>
      <w:sz w:val="32"/>
      <w:szCs w:val="32"/>
      <w:lang w:val="fr-FR" w:eastAsia="en-GB"/>
    </w:rPr>
  </w:style>
  <w:style w:type="character" w:styleId="CorpsdetexteCar">
    <w:name w:val="Corps de texte Car"/>
    <w:qFormat/>
    <w:rPr>
      <w:rFonts w:ascii="Arial" w:hAnsi="Arial" w:cs="Arial"/>
      <w:sz w:val="22"/>
      <w:lang w:val="fr-FR" w:eastAsia="en-GB"/>
    </w:rPr>
  </w:style>
  <w:style w:type="character" w:styleId="SoustitreCar">
    <w:name w:val="Sous-titre Car"/>
    <w:qFormat/>
    <w:rPr>
      <w:rFonts w:ascii="Calibri Light" w:hAnsi="Calibri Light" w:eastAsia="Times New Roman" w:cs="Times New Roman"/>
      <w:sz w:val="24"/>
      <w:szCs w:val="24"/>
      <w:lang w:val="en-GB" w:eastAsia="en-GB"/>
    </w:rPr>
  </w:style>
  <w:style w:type="character" w:styleId="PieddepageCar">
    <w:name w:val="Pied de page Car"/>
    <w:qFormat/>
    <w:rPr>
      <w:rFonts w:ascii="Vinci Sans Medium" w:hAnsi="Vinci Sans Medium" w:cs="Vinci Sans Medium"/>
      <w:sz w:val="15"/>
      <w:lang w:val="en-GB" w:eastAsia="en-GB"/>
    </w:rPr>
  </w:style>
  <w:style w:type="character" w:styleId="Emphasis">
    <w:name w:val="Emphasis"/>
    <w:qFormat/>
    <w:rPr>
      <w:i/>
      <w:iCs/>
    </w:rPr>
  </w:style>
  <w:style w:type="character" w:styleId="Mentionnonrsolue">
    <w:name w:val="Mention non résolue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d">
    <w:name w:val="End"/>
    <w:basedOn w:val="Normal"/>
    <w:qFormat/>
    <w:pPr/>
    <w:rPr>
      <w:sz w:val="2"/>
    </w:rPr>
  </w:style>
  <w:style w:type="paragraph" w:styleId="Contents3">
    <w:name w:val="TOC 3"/>
    <w:basedOn w:val="Normal"/>
    <w:next w:val="Normal"/>
    <w:pPr>
      <w:spacing w:lineRule="auto" w:line="360" w:before="120" w:after="0"/>
      <w:ind w:left="403" w:firstLine="397"/>
    </w:pPr>
    <w:rPr/>
  </w:style>
  <w:style w:type="paragraph" w:styleId="Contents2">
    <w:name w:val="TOC 2"/>
    <w:basedOn w:val="Normal"/>
    <w:next w:val="Normal"/>
    <w:pPr>
      <w:spacing w:lineRule="auto" w:line="360" w:before="180" w:after="0"/>
      <w:ind w:left="198" w:firstLine="397"/>
    </w:pPr>
    <w:rPr>
      <w:szCs w:val="22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>
      <w:spacing w:lineRule="exact" w:line="200"/>
      <w:jc w:val="left"/>
    </w:pPr>
    <w:rPr>
      <w:rFonts w:ascii="Vinci Sans Medium" w:hAnsi="Vinci Sans Medium" w:cs="Vinci Sans Medium"/>
      <w:sz w:val="15"/>
    </w:rPr>
  </w:style>
  <w:style w:type="paragraph" w:styleId="DocTitle">
    <w:name w:val="DocTitle"/>
    <w:basedOn w:val="Normal"/>
    <w:qFormat/>
    <w:pPr/>
    <w:rPr>
      <w:rFonts w:ascii="Vinci Sans Medium" w:hAnsi="Vinci Sans Medium" w:cs="Vinci Sans Medium"/>
      <w:sz w:val="30"/>
    </w:rPr>
  </w:style>
  <w:style w:type="paragraph" w:styleId="FromTo">
    <w:name w:val="FromTo"/>
    <w:basedOn w:val="Normal"/>
    <w:qFormat/>
    <w:pPr/>
    <w:rPr/>
  </w:style>
  <w:style w:type="paragraph" w:styleId="Service">
    <w:name w:val="Service"/>
    <w:basedOn w:val="Normal"/>
    <w:qFormat/>
    <w:pPr>
      <w:spacing w:lineRule="exact" w:line="190"/>
    </w:pPr>
    <w:rPr>
      <w:rFonts w:ascii="Vinci Sans Medium" w:hAnsi="Vinci Sans Medium" w:cs="Vinci Sans Medium"/>
      <w:color w:val="01438B"/>
      <w:sz w:val="18"/>
    </w:rPr>
  </w:style>
  <w:style w:type="paragraph" w:styleId="FromToAns">
    <w:name w:val="FromTo Ans"/>
    <w:basedOn w:val="FromTo"/>
    <w:qFormat/>
    <w:pPr/>
    <w:rPr>
      <w:rFonts w:ascii="Vinci Sans" w:hAnsi="Vinci Sans" w:cs="Vinci Sans"/>
    </w:rPr>
  </w:style>
  <w:style w:type="paragraph" w:styleId="Puce">
    <w:name w:val="Puce"/>
    <w:basedOn w:val="Normal"/>
    <w:qFormat/>
    <w:pPr>
      <w:jc w:val="center"/>
    </w:pPr>
    <w:rPr>
      <w:sz w:val="10"/>
    </w:rPr>
  </w:style>
  <w:style w:type="paragraph" w:styleId="ServiceAns">
    <w:name w:val="ServiceAns"/>
    <w:basedOn w:val="Service"/>
    <w:qFormat/>
    <w:pPr/>
    <w:rPr>
      <w:rFonts w:ascii="Vinci Sans" w:hAnsi="Vinci Sans" w:cs="Vinci Sans"/>
    </w:rPr>
  </w:style>
  <w:style w:type="paragraph" w:styleId="Legal">
    <w:name w:val="Legal"/>
    <w:basedOn w:val="Footer"/>
    <w:qFormat/>
    <w:pPr>
      <w:spacing w:lineRule="exact" w:line="160"/>
    </w:pPr>
    <w:rPr>
      <w:sz w:val="12"/>
    </w:rPr>
  </w:style>
  <w:style w:type="paragraph" w:styleId="Direction">
    <w:name w:val="Direction"/>
    <w:basedOn w:val="Service"/>
    <w:next w:val="Service"/>
    <w:qFormat/>
    <w:pPr>
      <w:spacing w:lineRule="exact" w:line="220"/>
    </w:pPr>
    <w:rPr/>
  </w:style>
  <w:style w:type="paragraph" w:styleId="Elements">
    <w:name w:val="Elements"/>
    <w:basedOn w:val="Normal"/>
    <w:qFormat/>
    <w:pPr>
      <w:jc w:val="left"/>
    </w:pPr>
    <w:rPr/>
  </w:style>
  <w:style w:type="paragraph" w:styleId="TextBodyIndent">
    <w:name w:val="Body Text Indent"/>
    <w:basedOn w:val="Normal"/>
    <w:pPr>
      <w:ind w:left="1416" w:firstLine="708"/>
      <w:jc w:val="left"/>
    </w:pPr>
    <w:rPr>
      <w:rFonts w:ascii="Times New Roman" w:hAnsi="Times New Roman" w:cs="Times New Roman"/>
      <w:sz w:val="24"/>
      <w:szCs w:val="24"/>
    </w:rPr>
  </w:style>
  <w:style w:type="paragraph" w:styleId="Liste2">
    <w:name w:val="Liste 2"/>
    <w:basedOn w:val="Normal"/>
    <w:qFormat/>
    <w:pPr>
      <w:ind w:left="566" w:hanging="283"/>
      <w:jc w:val="left"/>
    </w:pPr>
    <w:rPr>
      <w:rFonts w:ascii="Times New Roman" w:hAnsi="Times New Roman" w:cs="Times New Roman"/>
      <w:sz w:val="24"/>
      <w:szCs w:val="24"/>
    </w:rPr>
  </w:style>
  <w:style w:type="paragraph" w:styleId="Retraitcorpset1relig">
    <w:name w:val="Retrait corps et 1re lig."/>
    <w:basedOn w:val="TextBodyIndent"/>
    <w:qFormat/>
    <w:pPr>
      <w:spacing w:before="0" w:after="120"/>
      <w:ind w:left="283" w:firstLine="210"/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" w:hAnsi="Calibri Light" w:eastAsia="Times New Roman" w:cs="Times New Roman"/>
      <w:sz w:val="24"/>
      <w:szCs w:val="24"/>
    </w:rPr>
  </w:style>
  <w:style w:type="paragraph" w:styleId="Paragraphedeliste">
    <w:name w:val="Paragraphe de liste"/>
    <w:basedOn w:val="Normal"/>
    <w:qFormat/>
    <w:pPr>
      <w:ind w:left="720" w:hanging="0"/>
      <w:jc w:val="left"/>
    </w:pPr>
    <w:rPr>
      <w:rFonts w:ascii="Calibri" w:hAnsi="Calibri" w:eastAsia="Calibri" w:cs="Calibri"/>
      <w:szCs w:val="22"/>
    </w:rPr>
  </w:style>
  <w:style w:type="paragraph" w:styleId="Default">
    <w:name w:val="Default"/>
    <w:qFormat/>
    <w:pPr>
      <w:widowControl/>
      <w:autoSpaceDE w:val="false"/>
    </w:pPr>
    <w:rPr>
      <w:rFonts w:ascii="Arial" w:hAnsi="Arial" w:eastAsia="Calibri" w:cs="Arial"/>
      <w:color w:val="000000"/>
      <w:sz w:val="24"/>
      <w:szCs w:val="24"/>
      <w:lang w:val="fr-FR" w:bidi="ar-SA" w:eastAsia="zh-CN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Letterhead_VF_E.dot</Template>
  <TotalTime>5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2021-12-20T15:01:00Z</dcterms:created>
  <dc:creator/>
  <dc:description/>
  <dc:language>en-GB</dc:language>
  <cp:lastModifiedBy/>
  <cp:lastPrinted>2021-12-17T16:22:00Z</cp:lastPrinted>
  <dcterms:modified xsi:type="dcterms:W3CDTF">2021-12-20T15:01:00Z</dcterms:modified>
  <cp:revision>2</cp:revision>
  <dc:subject/>
  <dc:title>ENTETE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0x01010044E914BB29442D46AB8E5C8CE7EDFCF9</vt:lpwstr>
  </property>
</Properties>
</file>