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2" w:hanging="0"/>
        <w:jc w:val="both"/>
        <w:rPr>
          <w:b/>
          <w:b/>
          <w:sz w:val="22"/>
          <w:szCs w:val="22"/>
        </w:rPr>
      </w:pPr>
      <w:r>
        <w:rPr>
          <w:b/>
          <w:sz w:val="22"/>
          <w:szCs w:val="22"/>
        </w:rPr>
        <w:t xml:space="preserve">Entre </w:t>
      </w:r>
    </w:p>
    <w:p>
      <w:pPr>
        <w:pStyle w:val="Normal"/>
        <w:ind w:left="-142" w:hanging="0"/>
        <w:jc w:val="both"/>
        <w:rPr>
          <w:b/>
          <w:b/>
          <w:sz w:val="16"/>
          <w:szCs w:val="16"/>
        </w:rPr>
      </w:pPr>
      <w:r>
        <w:rPr>
          <w:b/>
          <w:sz w:val="16"/>
          <w:szCs w:val="16"/>
        </w:rPr>
      </w:r>
    </w:p>
    <w:p>
      <w:pPr>
        <w:pStyle w:val="Normal"/>
        <w:ind w:left="-142" w:hanging="0"/>
        <w:jc w:val="both"/>
        <w:rPr>
          <w:sz w:val="16"/>
          <w:szCs w:val="16"/>
        </w:rPr>
      </w:pPr>
      <w:r>
        <w:rPr>
          <w:sz w:val="16"/>
          <w:szCs w:val="16"/>
        </w:rPr>
      </w:r>
    </w:p>
    <w:p>
      <w:pPr>
        <w:pStyle w:val="Normal"/>
        <w:ind w:left="-142" w:hanging="0"/>
        <w:jc w:val="both"/>
        <w:rPr>
          <w:b/>
          <w:b/>
          <w:bCs/>
          <w:sz w:val="24"/>
          <w:szCs w:val="22"/>
        </w:rPr>
      </w:pPr>
      <w:r>
        <w:rPr>
          <w:b/>
          <w:bCs/>
          <w:sz w:val="24"/>
          <w:szCs w:val="22"/>
        </w:rPr>
        <w:t xml:space="preserve">La Société SAS TRANSPORTS CHALAVAN ET DUC, </w:t>
      </w:r>
      <w:r>
        <w:rPr>
          <w:bCs/>
          <w:sz w:val="24"/>
          <w:szCs w:val="22"/>
        </w:rPr>
        <w:t>dont le siège social est domicilié ZA du Meyrol – BP 108 – 26203 MONTELIMAR CEDEX (N° SIRET : 732 980 479 000 32, effectif : 471 salariés), comprenant deux établissements secondaires, l’un étant domicilié 48, Avenue  Gaston CABANNES – Lieu-Dit La Montagne – 33 270 FLOIRAC (N° SIRET : 732 980 479 000 65, effectif : 85 salariés), le second étant domicilié Parc de l’Océane – Rue du Zéphyr – 91140 VILLEJUST (N° SIRET : 732 980 479 000 73, effectif : 167 salariés),</w:t>
      </w:r>
      <w:r>
        <w:rPr>
          <w:b/>
          <w:bCs/>
          <w:sz w:val="24"/>
          <w:szCs w:val="22"/>
        </w:rPr>
        <w:t xml:space="preserve"> représentée par</w:t>
      </w:r>
    </w:p>
    <w:p>
      <w:pPr>
        <w:pStyle w:val="Normal"/>
        <w:ind w:left="-142" w:hanging="0"/>
        <w:jc w:val="both"/>
        <w:rPr>
          <w:b/>
          <w:b/>
          <w:bCs/>
          <w:sz w:val="24"/>
          <w:szCs w:val="22"/>
        </w:rPr>
      </w:pPr>
      <w:r>
        <w:rPr>
          <w:b/>
          <w:bCs/>
          <w:sz w:val="24"/>
          <w:szCs w:val="22"/>
        </w:rPr>
      </w:r>
    </w:p>
    <w:p>
      <w:pPr>
        <w:pStyle w:val="Normal"/>
        <w:ind w:left="-142" w:hanging="0"/>
        <w:jc w:val="both"/>
        <w:rPr>
          <w:b/>
          <w:b/>
          <w:bCs/>
          <w:sz w:val="16"/>
          <w:szCs w:val="16"/>
        </w:rPr>
      </w:pPr>
      <w:r>
        <w:rPr>
          <w:b/>
          <w:bCs/>
          <w:sz w:val="16"/>
          <w:szCs w:val="16"/>
        </w:rPr>
      </w:r>
    </w:p>
    <w:p>
      <w:pPr>
        <w:pStyle w:val="Normal"/>
        <w:ind w:left="-142" w:hanging="0"/>
        <w:jc w:val="both"/>
        <w:rPr>
          <w:b/>
          <w:b/>
          <w:bCs/>
          <w:sz w:val="24"/>
          <w:szCs w:val="22"/>
        </w:rPr>
      </w:pPr>
      <w:r>
        <w:rPr>
          <w:b/>
          <w:bCs/>
          <w:sz w:val="24"/>
          <w:szCs w:val="22"/>
        </w:rPr>
        <w:t xml:space="preserve">La Société SAS TRANSPORTS DUC FRERES NORD, </w:t>
      </w:r>
      <w:r>
        <w:rPr>
          <w:sz w:val="24"/>
          <w:szCs w:val="22"/>
        </w:rPr>
        <w:t>dont le siège social est</w:t>
      </w:r>
      <w:r>
        <w:rPr>
          <w:b/>
          <w:bCs/>
          <w:sz w:val="24"/>
          <w:szCs w:val="22"/>
        </w:rPr>
        <w:t xml:space="preserve"> </w:t>
      </w:r>
      <w:r>
        <w:rPr>
          <w:sz w:val="24"/>
          <w:szCs w:val="22"/>
        </w:rPr>
        <w:t xml:space="preserve">domicilié ZA du Meyrol – BP 108 – 26203 MONTELIMAR CEDEX </w:t>
      </w:r>
      <w:r>
        <w:rPr>
          <w:i/>
          <w:iCs/>
          <w:sz w:val="24"/>
          <w:szCs w:val="22"/>
        </w:rPr>
        <w:t>(N° SIRET : 389 110 867 000 14, pas d’effectif)</w:t>
      </w:r>
      <w:r>
        <w:rPr>
          <w:b/>
          <w:bCs/>
          <w:sz w:val="24"/>
          <w:szCs w:val="22"/>
        </w:rPr>
        <w:t xml:space="preserve">, </w:t>
      </w:r>
      <w:r>
        <w:rPr>
          <w:sz w:val="24"/>
          <w:szCs w:val="22"/>
        </w:rPr>
        <w:t xml:space="preserve">comprenant un établissement secondaire domicilié 288, Boulevard BEAUREPAIRE – 59 100 ROUBAIX </w:t>
      </w:r>
      <w:r>
        <w:rPr>
          <w:i/>
          <w:iCs/>
          <w:sz w:val="24"/>
          <w:szCs w:val="22"/>
        </w:rPr>
        <w:t xml:space="preserve">(N° SIRET : 389 110 867 000 22, effectif : 118 salariés), </w:t>
      </w:r>
      <w:r>
        <w:rPr>
          <w:b/>
          <w:bCs/>
          <w:sz w:val="24"/>
          <w:szCs w:val="22"/>
        </w:rPr>
        <w:t>représentée par</w:t>
      </w:r>
    </w:p>
    <w:p>
      <w:pPr>
        <w:pStyle w:val="Normal"/>
        <w:ind w:left="-142" w:hanging="0"/>
        <w:jc w:val="both"/>
        <w:rPr>
          <w:b/>
          <w:b/>
          <w:bCs/>
          <w:sz w:val="16"/>
          <w:szCs w:val="16"/>
        </w:rPr>
      </w:pPr>
      <w:r>
        <w:rPr>
          <w:b/>
          <w:bCs/>
          <w:sz w:val="16"/>
          <w:szCs w:val="16"/>
        </w:rPr>
      </w:r>
    </w:p>
    <w:p>
      <w:pPr>
        <w:pStyle w:val="Normal"/>
        <w:ind w:left="-142" w:hanging="0"/>
        <w:jc w:val="both"/>
        <w:rPr>
          <w:b/>
          <w:b/>
          <w:bCs/>
          <w:sz w:val="22"/>
          <w:szCs w:val="22"/>
        </w:rPr>
      </w:pPr>
      <w:r>
        <w:rPr>
          <w:b/>
          <w:bCs/>
          <w:sz w:val="22"/>
          <w:szCs w:val="22"/>
        </w:rPr>
        <w:t>Et,</w:t>
      </w:r>
    </w:p>
    <w:p>
      <w:pPr>
        <w:pStyle w:val="Normal"/>
        <w:ind w:left="-142" w:hanging="0"/>
        <w:jc w:val="both"/>
        <w:rPr>
          <w:b/>
          <w:b/>
          <w:bCs/>
          <w:sz w:val="16"/>
          <w:szCs w:val="16"/>
        </w:rPr>
      </w:pPr>
      <w:r>
        <w:rPr>
          <w:sz w:val="22"/>
          <w:szCs w:val="22"/>
        </w:rPr>
        <w:t xml:space="preserve"> </w:t>
      </w:r>
    </w:p>
    <w:p>
      <w:pPr>
        <w:pStyle w:val="Normal"/>
        <w:ind w:left="-142" w:hanging="0"/>
        <w:jc w:val="both"/>
        <w:rPr>
          <w:b/>
          <w:b/>
          <w:bCs/>
          <w:sz w:val="24"/>
          <w:szCs w:val="24"/>
        </w:rPr>
      </w:pPr>
      <w:r>
        <w:rPr>
          <w:b/>
          <w:bCs/>
          <w:sz w:val="24"/>
          <w:szCs w:val="24"/>
        </w:rPr>
        <w:t xml:space="preserve">L’Organisation Syndicale CFDT, représentée par </w:t>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t xml:space="preserve">L’Organisation Syndicale FORCE OUVRIERE-UNCP, représentée par </w:t>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t xml:space="preserve">L’Organisation Syndicale CGT, représentée par </w:t>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t xml:space="preserve">L’Organisation Syndicale CFTC, représentée par </w:t>
      </w:r>
    </w:p>
    <w:p>
      <w:pPr>
        <w:pStyle w:val="Normal"/>
        <w:ind w:left="-142" w:hanging="0"/>
        <w:jc w:val="both"/>
        <w:rPr>
          <w:b/>
          <w:b/>
          <w:bCs/>
          <w:sz w:val="24"/>
          <w:szCs w:val="24"/>
        </w:rPr>
      </w:pPr>
      <w:r>
        <w:rPr>
          <w:b/>
          <w:bCs/>
          <w:sz w:val="24"/>
          <w:szCs w:val="24"/>
        </w:rPr>
      </w:r>
    </w:p>
    <w:p>
      <w:pPr>
        <w:pStyle w:val="Normal"/>
        <w:spacing w:lineRule="exact" w:line="100"/>
        <w:ind w:left="-142" w:hanging="0"/>
        <w:jc w:val="both"/>
        <w:rPr>
          <w:b/>
          <w:b/>
          <w:bCs/>
          <w:sz w:val="24"/>
          <w:szCs w:val="24"/>
        </w:rPr>
      </w:pPr>
      <w:r>
        <w:rPr>
          <w:b/>
          <w:bCs/>
          <w:sz w:val="24"/>
          <w:szCs w:val="24"/>
        </w:rPr>
      </w:r>
    </w:p>
    <w:p>
      <w:pPr>
        <w:pStyle w:val="TextBody"/>
        <w:ind w:left="-142" w:hanging="0"/>
        <w:jc w:val="center"/>
        <w:rPr>
          <w:sz w:val="20"/>
        </w:rPr>
      </w:pPr>
      <w:r>
        <w:rPr>
          <w:sz w:val="20"/>
        </w:rPr>
        <w:drawing>
          <wp:inline distT="0" distB="0" distL="0" distR="0">
            <wp:extent cx="2418715" cy="428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 t="-16" r="-3" b="-16"/>
                    <a:stretch>
                      <a:fillRect/>
                    </a:stretch>
                  </pic:blipFill>
                  <pic:spPr bwMode="auto">
                    <a:xfrm>
                      <a:off x="0" y="0"/>
                      <a:ext cx="2418715" cy="428625"/>
                    </a:xfrm>
                    <a:prstGeom prst="rect">
                      <a:avLst/>
                    </a:prstGeom>
                  </pic:spPr>
                </pic:pic>
              </a:graphicData>
            </a:graphic>
          </wp:inline>
        </w:drawing>
      </w:r>
    </w:p>
    <w:p>
      <w:pPr>
        <w:pStyle w:val="Normal"/>
        <w:ind w:left="-142" w:hanging="0"/>
        <w:jc w:val="both"/>
        <w:rPr>
          <w:b/>
          <w:b/>
          <w:sz w:val="28"/>
          <w:szCs w:val="28"/>
        </w:rPr>
      </w:pPr>
      <w:r>
        <w:rPr>
          <w:b/>
          <w:sz w:val="28"/>
          <w:szCs w:val="28"/>
        </w:rPr>
      </w:r>
    </w:p>
    <w:p>
      <w:pPr>
        <w:pStyle w:val="Normal"/>
        <w:ind w:left="-142" w:hanging="0"/>
        <w:jc w:val="both"/>
        <w:rPr>
          <w:b/>
          <w:b/>
          <w:sz w:val="24"/>
          <w:szCs w:val="24"/>
          <w:u w:val="single"/>
        </w:rPr>
      </w:pPr>
      <w:r>
        <w:rPr>
          <w:b/>
          <w:sz w:val="24"/>
          <w:szCs w:val="24"/>
          <w:u w:val="single"/>
        </w:rPr>
        <w:t>PREAMBULE</w:t>
      </w:r>
    </w:p>
    <w:p>
      <w:pPr>
        <w:pStyle w:val="Normal"/>
        <w:ind w:left="-142" w:hanging="0"/>
        <w:jc w:val="both"/>
        <w:rPr>
          <w:b/>
          <w:b/>
          <w:color w:val="000000"/>
          <w:sz w:val="16"/>
          <w:szCs w:val="16"/>
          <w:u w:val="single"/>
        </w:rPr>
      </w:pPr>
      <w:r>
        <w:rPr>
          <w:b/>
          <w:color w:val="000000"/>
          <w:sz w:val="16"/>
          <w:szCs w:val="16"/>
          <w:u w:val="single"/>
        </w:rPr>
      </w:r>
    </w:p>
    <w:p>
      <w:pPr>
        <w:pStyle w:val="Normal"/>
        <w:ind w:left="-142" w:hanging="0"/>
        <w:jc w:val="both"/>
        <w:rPr/>
      </w:pPr>
      <w:r>
        <w:rPr>
          <w:sz w:val="24"/>
          <w:szCs w:val="24"/>
        </w:rPr>
        <w:t>En application des articles L. 2242-1 et L2242-17 du Code du travail, une négociation a été conduite avec les organisation syndicales portant sur :</w:t>
      </w:r>
    </w:p>
    <w:p>
      <w:pPr>
        <w:pStyle w:val="Normal"/>
        <w:ind w:left="-142" w:hanging="0"/>
        <w:jc w:val="both"/>
        <w:rPr>
          <w:color w:val="000000"/>
          <w:sz w:val="16"/>
          <w:szCs w:val="16"/>
        </w:rPr>
      </w:pPr>
      <w:r>
        <w:rPr>
          <w:color w:val="000000"/>
          <w:sz w:val="16"/>
          <w:szCs w:val="16"/>
        </w:rPr>
      </w:r>
    </w:p>
    <w:p>
      <w:pPr>
        <w:pStyle w:val="Normal"/>
        <w:numPr>
          <w:ilvl w:val="0"/>
          <w:numId w:val="2"/>
        </w:numPr>
        <w:suppressAutoHyphens w:val="true"/>
        <w:ind w:left="-142" w:hanging="0"/>
        <w:jc w:val="both"/>
        <w:rPr>
          <w:color w:val="000000"/>
          <w:sz w:val="24"/>
          <w:szCs w:val="24"/>
        </w:rPr>
      </w:pPr>
      <w:r>
        <w:rPr>
          <w:color w:val="000000"/>
          <w:sz w:val="24"/>
          <w:szCs w:val="24"/>
        </w:rPr>
        <w:t>la qualité de vie au travail,</w:t>
      </w:r>
    </w:p>
    <w:p>
      <w:pPr>
        <w:pStyle w:val="Normal"/>
        <w:numPr>
          <w:ilvl w:val="0"/>
          <w:numId w:val="2"/>
        </w:numPr>
        <w:suppressAutoHyphens w:val="true"/>
        <w:ind w:left="-142" w:hanging="0"/>
        <w:jc w:val="both"/>
        <w:rPr/>
      </w:pPr>
      <w:r>
        <w:rPr>
          <w:color w:val="000000"/>
          <w:sz w:val="24"/>
          <w:szCs w:val="24"/>
        </w:rPr>
        <w:t xml:space="preserve">les parcours professionnels et l’égalité professionnelle entre les femmes et les hommes, </w:t>
      </w:r>
    </w:p>
    <w:p>
      <w:pPr>
        <w:pStyle w:val="Normal"/>
        <w:numPr>
          <w:ilvl w:val="0"/>
          <w:numId w:val="2"/>
        </w:numPr>
        <w:suppressAutoHyphens w:val="true"/>
        <w:ind w:left="-142" w:hanging="0"/>
        <w:jc w:val="both"/>
        <w:rPr>
          <w:color w:val="000000"/>
          <w:sz w:val="24"/>
          <w:szCs w:val="24"/>
        </w:rPr>
      </w:pPr>
      <w:r>
        <w:rPr>
          <w:color w:val="000000"/>
          <w:sz w:val="24"/>
          <w:szCs w:val="24"/>
        </w:rPr>
        <w:t>la rémunération, le temps de travail et le partage de la valeur ajoutée dans l’entreprise,</w:t>
      </w:r>
    </w:p>
    <w:p>
      <w:pPr>
        <w:pStyle w:val="Normal"/>
        <w:numPr>
          <w:ilvl w:val="0"/>
          <w:numId w:val="2"/>
        </w:numPr>
        <w:suppressAutoHyphens w:val="true"/>
        <w:ind w:left="-142" w:hanging="0"/>
        <w:jc w:val="both"/>
        <w:rPr>
          <w:color w:val="000000"/>
          <w:sz w:val="24"/>
          <w:szCs w:val="24"/>
        </w:rPr>
      </w:pPr>
      <w:r>
        <w:rPr>
          <w:color w:val="000000"/>
          <w:sz w:val="24"/>
          <w:szCs w:val="24"/>
        </w:rPr>
        <w:t>l’amélioration de la mobilité des salariés entre leur lieu de résidence habituelle et leur lieu de travail.</w:t>
      </w:r>
    </w:p>
    <w:p>
      <w:pPr>
        <w:pStyle w:val="Normal"/>
        <w:suppressAutoHyphens w:val="true"/>
        <w:ind w:left="-142" w:hanging="0"/>
        <w:jc w:val="both"/>
        <w:rPr>
          <w:color w:val="000000"/>
          <w:sz w:val="24"/>
          <w:szCs w:val="24"/>
        </w:rPr>
      </w:pPr>
      <w:r>
        <w:rPr>
          <w:color w:val="000000"/>
          <w:sz w:val="24"/>
          <w:szCs w:val="24"/>
        </w:rPr>
      </w:r>
    </w:p>
    <w:p>
      <w:pPr>
        <w:pStyle w:val="Normal"/>
        <w:suppressAutoHyphens w:val="true"/>
        <w:ind w:left="-142" w:hanging="0"/>
        <w:jc w:val="both"/>
        <w:rPr>
          <w:sz w:val="24"/>
        </w:rPr>
      </w:pPr>
      <w:r>
        <w:rPr>
          <w:sz w:val="24"/>
        </w:rPr>
        <w:t>Cette négociation s’est déroulée conformément aux dispositions de l’accord du 28 juin 2016 ayant fixé une méthode particulière de travail consistant en une préparation des négociations plénières réunissant l’ensemble des délégations syndicales par la réunion avec des Délégations Syndicales Restreintes (DSR) constituées pour chaque axe des négociations obligatoires (ressources – qualité de vie au travail - parcours professionnels).</w:t>
      </w:r>
    </w:p>
    <w:p>
      <w:pPr>
        <w:pStyle w:val="TextBody"/>
        <w:ind w:left="-142" w:hanging="0"/>
        <w:rPr>
          <w:sz w:val="16"/>
          <w:szCs w:val="16"/>
        </w:rPr>
      </w:pPr>
      <w:r>
        <w:rPr>
          <w:sz w:val="16"/>
          <w:szCs w:val="16"/>
        </w:rPr>
      </w:r>
    </w:p>
    <w:p>
      <w:pPr>
        <w:pStyle w:val="TextBody"/>
        <w:ind w:left="-142" w:hanging="0"/>
        <w:rPr/>
      </w:pPr>
      <w:r>
        <w:rPr/>
        <w:t>Les DSR ont été destinataires de l’ensemble des documents utiles à leur mission. Elles ont été réunies les 14 et 15 septembre 2021, ainsi que les 19 et 20 octobre 2021. Celles-ci ont fait connaître leurs demandes dans le cours et au terme des réunions en délégations restreintes. L’ensemble de ces demandes a fait l’objet d’une évocation et d’une analyse contradictoire.</w:t>
      </w:r>
    </w:p>
    <w:p>
      <w:pPr>
        <w:pStyle w:val="TextBody"/>
        <w:ind w:left="-142" w:hanging="0"/>
        <w:rPr/>
      </w:pPr>
      <w:r>
        <w:rPr/>
      </w:r>
    </w:p>
    <w:p>
      <w:pPr>
        <w:pStyle w:val="TextBody"/>
        <w:ind w:left="-142" w:hanging="0"/>
        <w:rPr/>
      </w:pPr>
      <w:r>
        <w:rPr/>
        <w:t>Les synthèses de leurs travaux ont été établies et transmises aux délégations plénières réunies le 17 novembre 2021. Au terme de cette dernière réunion de négociation, un relevé de conclusions a été présenté et soumis à la signature de l’ensemble des organisations syndicales afin de servir de base à la rédaction du présent accord.</w:t>
      </w:r>
    </w:p>
    <w:p>
      <w:pPr>
        <w:pStyle w:val="TextBody"/>
        <w:ind w:left="-142" w:hanging="0"/>
        <w:rPr/>
      </w:pPr>
      <w:r>
        <w:rPr/>
      </w:r>
    </w:p>
    <w:p>
      <w:pPr>
        <w:pStyle w:val="TextBody"/>
        <w:ind w:left="-142" w:hanging="0"/>
        <w:rPr/>
      </w:pPr>
      <w:r>
        <w:rPr/>
        <w:t>Au regard du contexte économique actuel, les organisations syndicales ont souhaité privilégier pour 2022 la négociation sur le thème des ressources, la Direction ayant entendu leurs revendications.</w:t>
      </w:r>
    </w:p>
    <w:p>
      <w:pPr>
        <w:pStyle w:val="TextBody"/>
        <w:ind w:left="-142" w:hanging="0"/>
        <w:rPr/>
      </w:pPr>
      <w:r>
        <w:rPr/>
      </w:r>
    </w:p>
    <w:p>
      <w:pPr>
        <w:pStyle w:val="TextBody"/>
        <w:ind w:left="-142" w:hanging="0"/>
        <w:rPr/>
      </w:pPr>
      <w:r>
        <w:rPr/>
        <w:t>Les parties ont ainsi convenu et arrêté, par le présent accord, notamment et principalement de :</w:t>
      </w:r>
    </w:p>
    <w:p>
      <w:pPr>
        <w:pStyle w:val="TextBody"/>
        <w:suppressAutoHyphens w:val="true"/>
        <w:rPr/>
      </w:pPr>
      <w:r>
        <w:rPr/>
      </w:r>
    </w:p>
    <w:p>
      <w:pPr>
        <w:pStyle w:val="TextBody"/>
        <w:numPr>
          <w:ilvl w:val="0"/>
          <w:numId w:val="2"/>
        </w:numPr>
        <w:suppressAutoHyphens w:val="true"/>
        <w:rPr/>
      </w:pPr>
      <w:r>
        <w:rPr/>
        <w:t>pérenniser l’existence de la prime de bienvenue,</w:t>
      </w:r>
    </w:p>
    <w:p>
      <w:pPr>
        <w:pStyle w:val="TextBody"/>
        <w:suppressAutoHyphens w:val="true"/>
        <w:rPr/>
      </w:pPr>
      <w:r>
        <w:rPr/>
      </w:r>
    </w:p>
    <w:p>
      <w:pPr>
        <w:pStyle w:val="TextBody"/>
        <w:numPr>
          <w:ilvl w:val="0"/>
          <w:numId w:val="2"/>
        </w:numPr>
        <w:suppressAutoHyphens w:val="true"/>
        <w:rPr/>
      </w:pPr>
      <w:r>
        <w:rPr/>
        <w:t>augmenter le taux horaire de toutes les catégories socio-professionnelles présentes,</w:t>
      </w:r>
    </w:p>
    <w:p>
      <w:pPr>
        <w:pStyle w:val="TextBody"/>
        <w:suppressAutoHyphens w:val="true"/>
        <w:rPr/>
      </w:pPr>
      <w:r>
        <w:rPr/>
      </w:r>
    </w:p>
    <w:p>
      <w:pPr>
        <w:pStyle w:val="TextBody"/>
        <w:numPr>
          <w:ilvl w:val="0"/>
          <w:numId w:val="2"/>
        </w:numPr>
        <w:suppressAutoHyphens w:val="true"/>
        <w:rPr/>
      </w:pPr>
      <w:r>
        <w:rPr/>
        <w:t>acter la possibilité d’intégrer les nouveaux collaborateurs sédentaires au sein de cette UES dans les conditions actuelles de l’UES Autres Métiers,</w:t>
      </w:r>
    </w:p>
    <w:p>
      <w:pPr>
        <w:pStyle w:val="TextBody"/>
        <w:suppressAutoHyphens w:val="true"/>
        <w:ind w:left="720" w:hanging="0"/>
        <w:rPr/>
      </w:pPr>
      <w:r>
        <w:rPr/>
      </w:r>
    </w:p>
    <w:p>
      <w:pPr>
        <w:pStyle w:val="TextBody"/>
        <w:numPr>
          <w:ilvl w:val="0"/>
          <w:numId w:val="2"/>
        </w:numPr>
        <w:suppressAutoHyphens w:val="true"/>
        <w:rPr/>
      </w:pPr>
      <w:r>
        <w:rPr/>
        <w:t>rouvrir la négociation au titre de l’année 2022 au plus tard au 31 juillet 2022 sur la base de la situation intermédiaire du bilan comptable au 31 mars 2022 sur les points énoncés dans le présent accord ci-dessous (point 3)</w:t>
      </w:r>
    </w:p>
    <w:p>
      <w:pPr>
        <w:pStyle w:val="TextBody"/>
        <w:suppressAutoHyphens w:val="true"/>
        <w:ind w:left="-142" w:hanging="0"/>
        <w:rPr>
          <w:sz w:val="8"/>
          <w:szCs w:val="4"/>
        </w:rPr>
      </w:pPr>
      <w:r>
        <w:rPr>
          <w:sz w:val="8"/>
          <w:szCs w:val="4"/>
        </w:rPr>
      </w:r>
    </w:p>
    <w:p>
      <w:pPr>
        <w:pStyle w:val="TextBody"/>
        <w:ind w:left="-142" w:hanging="0"/>
        <w:jc w:val="center"/>
        <w:rPr>
          <w:sz w:val="20"/>
        </w:rPr>
      </w:pPr>
      <w:r>
        <w:rPr>
          <w:sz w:val="20"/>
        </w:rPr>
        <w:drawing>
          <wp:inline distT="0" distB="0" distL="0" distR="0">
            <wp:extent cx="2418715" cy="428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 t="-16" r="-3" b="-16"/>
                    <a:stretch>
                      <a:fillRect/>
                    </a:stretch>
                  </pic:blipFill>
                  <pic:spPr bwMode="auto">
                    <a:xfrm>
                      <a:off x="0" y="0"/>
                      <a:ext cx="2418715" cy="428625"/>
                    </a:xfrm>
                    <a:prstGeom prst="rect">
                      <a:avLst/>
                    </a:prstGeom>
                  </pic:spPr>
                </pic:pic>
              </a:graphicData>
            </a:graphic>
          </wp:inline>
        </w:drawing>
      </w:r>
    </w:p>
    <w:p>
      <w:pPr>
        <w:pStyle w:val="Normal"/>
        <w:ind w:left="-142" w:hanging="0"/>
        <w:jc w:val="both"/>
        <w:rPr>
          <w:b/>
          <w:b/>
          <w:sz w:val="16"/>
          <w:szCs w:val="16"/>
          <w:u w:val="single"/>
        </w:rPr>
      </w:pPr>
      <w:r>
        <w:rPr>
          <w:b/>
          <w:sz w:val="16"/>
          <w:szCs w:val="16"/>
          <w:u w:val="single"/>
        </w:rPr>
      </w:r>
    </w:p>
    <w:p>
      <w:pPr>
        <w:pStyle w:val="Normal"/>
        <w:ind w:left="-142" w:hanging="0"/>
        <w:jc w:val="both"/>
        <w:rPr>
          <w:b/>
          <w:b/>
          <w:sz w:val="24"/>
          <w:szCs w:val="24"/>
          <w:u w:val="single"/>
        </w:rPr>
      </w:pPr>
      <w:r>
        <w:rPr>
          <w:b/>
          <w:sz w:val="24"/>
          <w:szCs w:val="24"/>
          <w:u w:val="single"/>
        </w:rPr>
        <w:t>DISPOSITIONS AYANT FAIT L’OBJET D’UN ACCORD ET CALENDRIER DE MISE EN OEUVRE</w:t>
      </w:r>
    </w:p>
    <w:p>
      <w:pPr>
        <w:pStyle w:val="Normal"/>
        <w:ind w:left="-142" w:hanging="0"/>
        <w:rPr>
          <w:b/>
          <w:b/>
          <w:color w:val="000000"/>
          <w:sz w:val="24"/>
          <w:szCs w:val="24"/>
          <w:u w:val="single"/>
        </w:rPr>
      </w:pPr>
      <w:r>
        <w:rPr>
          <w:b/>
          <w:color w:val="000000"/>
          <w:sz w:val="24"/>
          <w:szCs w:val="24"/>
          <w:u w:val="single"/>
        </w:rPr>
      </w:r>
    </w:p>
    <w:p>
      <w:pPr>
        <w:pStyle w:val="Standard"/>
        <w:ind w:right="-1" w:hanging="0"/>
        <w:jc w:val="both"/>
        <w:textAlignment w:val="baseline"/>
        <w:rPr>
          <w:b/>
          <w:b/>
          <w:color w:val="000000"/>
          <w:sz w:val="16"/>
          <w:szCs w:val="16"/>
          <w:u w:val="single"/>
        </w:rPr>
      </w:pPr>
      <w:r>
        <w:rPr>
          <w:b/>
          <w:color w:val="000000"/>
          <w:sz w:val="16"/>
          <w:szCs w:val="16"/>
          <w:u w:val="single"/>
        </w:rPr>
      </w:r>
    </w:p>
    <w:p>
      <w:pPr>
        <w:pStyle w:val="Paragraphedeliste"/>
        <w:numPr>
          <w:ilvl w:val="0"/>
          <w:numId w:val="3"/>
        </w:numPr>
        <w:suppressAutoHyphens w:val="true"/>
        <w:jc w:val="both"/>
        <w:textAlignment w:val="baseline"/>
        <w:rPr>
          <w:b/>
          <w:b/>
          <w:bCs/>
          <w:sz w:val="28"/>
          <w:szCs w:val="28"/>
        </w:rPr>
      </w:pPr>
      <w:r>
        <w:rPr>
          <w:b/>
          <w:bCs/>
          <w:sz w:val="28"/>
          <w:szCs w:val="28"/>
        </w:rPr>
        <w:t>Ressources</w:t>
      </w:r>
    </w:p>
    <w:p>
      <w:pPr>
        <w:pStyle w:val="Paragraphedeliste"/>
        <w:ind w:left="0" w:hanging="0"/>
        <w:jc w:val="both"/>
        <w:rPr>
          <w:b/>
          <w:b/>
          <w:bCs/>
          <w:sz w:val="16"/>
          <w:szCs w:val="16"/>
        </w:rPr>
      </w:pPr>
      <w:r>
        <w:rPr>
          <w:b/>
          <w:bCs/>
          <w:sz w:val="16"/>
          <w:szCs w:val="16"/>
        </w:rPr>
      </w:r>
    </w:p>
    <w:p>
      <w:pPr>
        <w:pStyle w:val="Standard"/>
        <w:ind w:left="-142" w:hanging="0"/>
        <w:jc w:val="both"/>
        <w:rPr>
          <w:rFonts w:cs="Times New Roman"/>
          <w:b/>
          <w:b/>
        </w:rPr>
      </w:pPr>
      <w:r>
        <w:rPr>
          <w:rFonts w:cs="Times New Roman"/>
          <w:b/>
        </w:rPr>
        <w:t xml:space="preserve">1-1 </w:t>
        <w:tab/>
        <w:t>Taux horaire</w:t>
      </w:r>
    </w:p>
    <w:p>
      <w:pPr>
        <w:pStyle w:val="Standard"/>
        <w:ind w:left="-142" w:hanging="0"/>
        <w:jc w:val="both"/>
        <w:rPr>
          <w:rFonts w:cs="Times New Roman"/>
          <w:b/>
          <w:b/>
        </w:rPr>
      </w:pPr>
      <w:r>
        <w:rPr>
          <w:rFonts w:cs="Times New Roman"/>
          <w:b/>
        </w:rPr>
      </w:r>
    </w:p>
    <w:p>
      <w:pPr>
        <w:pStyle w:val="Standard"/>
        <w:ind w:left="-142" w:hanging="0"/>
        <w:jc w:val="both"/>
        <w:rPr>
          <w:rFonts w:cs="Times New Roman"/>
          <w:bCs/>
        </w:rPr>
      </w:pPr>
      <w:r>
        <w:rPr>
          <w:rFonts w:cs="Times New Roman"/>
          <w:bCs/>
        </w:rPr>
        <w:t>Une augmentation collective de 3 % des taux horaires effectifs sera appliquée au 1</w:t>
      </w:r>
      <w:r>
        <w:rPr>
          <w:rFonts w:cs="Times New Roman"/>
          <w:bCs/>
          <w:vertAlign w:val="superscript"/>
        </w:rPr>
        <w:t>er</w:t>
      </w:r>
      <w:r>
        <w:rPr>
          <w:rFonts w:cs="Times New Roman"/>
          <w:bCs/>
        </w:rPr>
        <w:t xml:space="preserve"> janvier 2022 selon les grilles annexées au présent accord.</w:t>
      </w:r>
    </w:p>
    <w:p>
      <w:pPr>
        <w:pStyle w:val="Standard"/>
        <w:ind w:left="-142" w:hanging="0"/>
        <w:jc w:val="both"/>
        <w:rPr>
          <w:rFonts w:cs="Times New Roman"/>
          <w:b/>
          <w:b/>
          <w:bCs/>
        </w:rPr>
      </w:pPr>
      <w:r>
        <w:rPr>
          <w:rFonts w:cs="Times New Roman"/>
          <w:b/>
          <w:bCs/>
        </w:rPr>
      </w:r>
    </w:p>
    <w:p>
      <w:pPr>
        <w:pStyle w:val="Standard"/>
        <w:ind w:left="-142" w:hanging="0"/>
        <w:jc w:val="both"/>
        <w:rPr/>
      </w:pPr>
      <w:r>
        <w:rPr>
          <w:rFonts w:cs="Times New Roman"/>
          <w:b/>
        </w:rPr>
        <w:t xml:space="preserve">1-2 </w:t>
        <w:tab/>
        <w:t xml:space="preserve">Prime de bienvenue </w:t>
      </w:r>
    </w:p>
    <w:p>
      <w:pPr>
        <w:pStyle w:val="Standard"/>
        <w:ind w:left="-142" w:hanging="0"/>
        <w:jc w:val="both"/>
        <w:rPr>
          <w:rFonts w:cs="Times New Roman"/>
          <w:b/>
          <w:b/>
        </w:rPr>
      </w:pPr>
      <w:r>
        <w:rPr>
          <w:rFonts w:cs="Times New Roman"/>
          <w:b/>
        </w:rPr>
      </w:r>
    </w:p>
    <w:p>
      <w:pPr>
        <w:pStyle w:val="Standard"/>
        <w:ind w:left="-142" w:hanging="0"/>
        <w:jc w:val="both"/>
        <w:rPr>
          <w:rFonts w:cs="Times New Roman"/>
          <w:bCs/>
        </w:rPr>
      </w:pPr>
      <w:r>
        <w:rPr>
          <w:rFonts w:cs="Times New Roman"/>
          <w:bCs/>
        </w:rPr>
        <w:t>Les dispositions relatives à la prime de bienvenue créée par l’accord du 12 décembre 2017 et modifiées par les accords des 5 décembre 2018 et 31 décembre 2020 sont reconduites jusqu’au 30 septembre 2022.</w:t>
      </w:r>
    </w:p>
    <w:p>
      <w:pPr>
        <w:pStyle w:val="Standard"/>
        <w:ind w:left="-142" w:hanging="0"/>
        <w:jc w:val="both"/>
        <w:rPr>
          <w:rFonts w:cs="Times New Roman"/>
          <w:b/>
          <w:b/>
          <w:bCs/>
        </w:rPr>
      </w:pPr>
      <w:r>
        <w:rPr>
          <w:rFonts w:cs="Times New Roman"/>
          <w:b/>
          <w:bCs/>
        </w:rPr>
      </w:r>
    </w:p>
    <w:p>
      <w:pPr>
        <w:pStyle w:val="Standard"/>
        <w:numPr>
          <w:ilvl w:val="0"/>
          <w:numId w:val="3"/>
        </w:numPr>
        <w:jc w:val="both"/>
        <w:rPr/>
      </w:pPr>
      <w:r>
        <w:rPr>
          <w:rFonts w:cs="Times New Roman"/>
          <w:b/>
          <w:sz w:val="28"/>
          <w:szCs w:val="28"/>
        </w:rPr>
        <w:t>Dispositions diverses</w:t>
      </w:r>
    </w:p>
    <w:p>
      <w:pPr>
        <w:pStyle w:val="Standard"/>
        <w:jc w:val="both"/>
        <w:rPr>
          <w:rFonts w:cs="Times New Roman"/>
          <w:b/>
          <w:b/>
          <w:sz w:val="28"/>
          <w:szCs w:val="28"/>
        </w:rPr>
      </w:pPr>
      <w:r>
        <w:rPr>
          <w:rFonts w:cs="Times New Roman"/>
          <w:b/>
          <w:sz w:val="28"/>
          <w:szCs w:val="28"/>
        </w:rPr>
      </w:r>
    </w:p>
    <w:p>
      <w:pPr>
        <w:pStyle w:val="Standard"/>
        <w:tabs>
          <w:tab w:val="left" w:pos="709" w:leader="none"/>
        </w:tabs>
        <w:ind w:left="-142" w:hanging="0"/>
        <w:jc w:val="both"/>
        <w:rPr>
          <w:rFonts w:cs="Times New Roman"/>
          <w:b/>
          <w:b/>
        </w:rPr>
      </w:pPr>
      <w:r>
        <w:rPr>
          <w:rFonts w:cs="Times New Roman"/>
          <w:b/>
        </w:rPr>
        <w:t xml:space="preserve">2-1  </w:t>
        <w:tab/>
        <w:t>Intégration de collaborateurs sédentaires au sein de l’UES Lignes régulières</w:t>
      </w:r>
    </w:p>
    <w:p>
      <w:pPr>
        <w:pStyle w:val="Standard"/>
        <w:jc w:val="both"/>
        <w:rPr>
          <w:rFonts w:cs="Times New Roman"/>
          <w:b/>
          <w:b/>
          <w:bCs/>
        </w:rPr>
      </w:pPr>
      <w:r>
        <w:rPr>
          <w:rFonts w:cs="Times New Roman"/>
          <w:b/>
          <w:bCs/>
        </w:rPr>
      </w:r>
    </w:p>
    <w:p>
      <w:pPr>
        <w:pStyle w:val="Standard"/>
        <w:ind w:left="-142" w:hanging="0"/>
        <w:jc w:val="both"/>
        <w:rPr>
          <w:bCs/>
        </w:rPr>
      </w:pPr>
      <w:r>
        <w:rPr>
          <w:bCs/>
        </w:rPr>
        <w:t>Il est prévu la possibilité de rattacher, à compter du 1</w:t>
      </w:r>
      <w:r>
        <w:rPr>
          <w:bCs/>
          <w:vertAlign w:val="superscript"/>
        </w:rPr>
        <w:t>er</w:t>
      </w:r>
      <w:r>
        <w:rPr>
          <w:bCs/>
        </w:rPr>
        <w:t xml:space="preserve"> janvier 2022, le personnel sédentaire à l’entité juridique à laquelle il appartient. </w:t>
      </w:r>
    </w:p>
    <w:p>
      <w:pPr>
        <w:pStyle w:val="Standard"/>
        <w:ind w:left="-142" w:hanging="0"/>
        <w:jc w:val="both"/>
        <w:rPr>
          <w:bCs/>
        </w:rPr>
      </w:pPr>
      <w:r>
        <w:rPr>
          <w:bCs/>
        </w:rPr>
      </w:r>
    </w:p>
    <w:p>
      <w:pPr>
        <w:pStyle w:val="Standard"/>
        <w:ind w:left="-142" w:hanging="0"/>
        <w:jc w:val="both"/>
        <w:rPr>
          <w:bCs/>
        </w:rPr>
      </w:pPr>
      <w:r>
        <w:rPr>
          <w:bCs/>
        </w:rPr>
        <w:t>Il est ainsi convenu la mise en place de jours de RTT pour le personnel administratif effectuant 40 heures de travail hebdomadaire et plus sur 5 jours. Le choix est laissé aux salariés sur la prise de RTT de 6, 9 ou 12 jours par an, étant précisé que la rémunération varie en fonction du nombre choisi.</w:t>
      </w:r>
    </w:p>
    <w:p>
      <w:pPr>
        <w:pStyle w:val="Standard"/>
        <w:ind w:left="-142" w:hanging="0"/>
        <w:jc w:val="both"/>
        <w:rPr/>
      </w:pPr>
      <w:r>
        <w:rPr/>
        <w:t>A compter du 1</w:t>
      </w:r>
      <w:r>
        <w:rPr>
          <w:vertAlign w:val="superscript"/>
        </w:rPr>
        <w:t>er</w:t>
      </w:r>
      <w:r>
        <w:rPr/>
        <w:t xml:space="preserve"> janvier 2022, le personnel sédentaire des sociétés non pourvues à ce jour bénéficiera de la possibilité d’acheter auprès de l’entreprise des titres-restaurant d’une valeur faciale de 6.00 € dont le financement en sera assuré à 60 % par l’entreprise et 40 % par le salarié. Les parties conviennent de se référer aux modalités d’usage en vigueur quant aux conditions d’attribution et d’utilisation.</w:t>
      </w:r>
    </w:p>
    <w:p>
      <w:pPr>
        <w:pStyle w:val="Standard"/>
        <w:jc w:val="both"/>
        <w:rPr>
          <w:bCs/>
        </w:rPr>
      </w:pPr>
      <w:r>
        <w:rPr>
          <w:bCs/>
        </w:rPr>
      </w:r>
    </w:p>
    <w:p>
      <w:pPr>
        <w:pStyle w:val="Standard"/>
        <w:ind w:left="-142" w:hanging="0"/>
        <w:jc w:val="both"/>
        <w:rPr>
          <w:bCs/>
        </w:rPr>
      </w:pPr>
      <w:r>
        <w:rPr>
          <w:bCs/>
        </w:rPr>
        <w:t>Les prochaines DSR et négociations de l’UES Lignes Régulières pourront ainsi porter sur le personnel de conduite et/ou le personnel sédentaire.</w:t>
      </w:r>
    </w:p>
    <w:p>
      <w:pPr>
        <w:pStyle w:val="Standard"/>
        <w:jc w:val="both"/>
        <w:rPr>
          <w:bCs/>
        </w:rPr>
      </w:pPr>
      <w:r>
        <w:rPr>
          <w:bCs/>
        </w:rPr>
      </w:r>
    </w:p>
    <w:p>
      <w:pPr>
        <w:pStyle w:val="Paragraphedeliste"/>
        <w:numPr>
          <w:ilvl w:val="0"/>
          <w:numId w:val="3"/>
        </w:numPr>
        <w:suppressAutoHyphens w:val="true"/>
        <w:jc w:val="both"/>
        <w:textAlignment w:val="baseline"/>
        <w:rPr>
          <w:b/>
          <w:b/>
          <w:bCs/>
          <w:sz w:val="28"/>
          <w:szCs w:val="28"/>
        </w:rPr>
      </w:pPr>
      <w:r>
        <w:rPr>
          <w:b/>
          <w:bCs/>
          <w:sz w:val="28"/>
          <w:szCs w:val="28"/>
        </w:rPr>
        <w:t>Clause de revoyure</w:t>
      </w:r>
    </w:p>
    <w:p>
      <w:pPr>
        <w:pStyle w:val="Standard"/>
        <w:jc w:val="both"/>
        <w:rPr>
          <w:rFonts w:cs="Times New Roman"/>
          <w:b/>
          <w:b/>
          <w:bCs/>
          <w:sz w:val="28"/>
          <w:szCs w:val="28"/>
        </w:rPr>
      </w:pPr>
      <w:r>
        <w:rPr>
          <w:rFonts w:cs="Times New Roman"/>
          <w:b/>
          <w:bCs/>
          <w:sz w:val="28"/>
          <w:szCs w:val="28"/>
        </w:rPr>
      </w:r>
    </w:p>
    <w:p>
      <w:pPr>
        <w:pStyle w:val="Standard"/>
        <w:ind w:left="-142" w:hanging="0"/>
        <w:jc w:val="both"/>
        <w:rPr>
          <w:rFonts w:cs="Times New Roman"/>
          <w:bCs/>
        </w:rPr>
      </w:pPr>
      <w:r>
        <w:rPr>
          <w:rFonts w:cs="Times New Roman"/>
          <w:bCs/>
        </w:rPr>
        <w:t>Il est convenu de rouvrir au plus tard le 31 juillet 2022, la négociation au titre de l’année 2022 afin d’apprécier les opportunités susceptibles d’être envisagées en termes d’avancées sociales complémentaires concernant les points suivants.</w:t>
      </w:r>
    </w:p>
    <w:p>
      <w:pPr>
        <w:pStyle w:val="Standard"/>
        <w:jc w:val="both"/>
        <w:rPr>
          <w:rFonts w:cs="Times New Roman"/>
          <w:bCs/>
        </w:rPr>
      </w:pPr>
      <w:r>
        <w:rPr>
          <w:rFonts w:cs="Times New Roman"/>
          <w:bCs/>
        </w:rPr>
      </w:r>
    </w:p>
    <w:p>
      <w:pPr>
        <w:pStyle w:val="Standard"/>
        <w:jc w:val="both"/>
        <w:rPr>
          <w:rFonts w:cs="Times New Roman"/>
          <w:bCs/>
        </w:rPr>
      </w:pPr>
      <w:r>
        <w:rPr>
          <w:rFonts w:cs="Times New Roman"/>
          <w:bCs/>
        </w:rPr>
      </w:r>
    </w:p>
    <w:p>
      <w:pPr>
        <w:pStyle w:val="Standard"/>
        <w:jc w:val="both"/>
        <w:rPr>
          <w:rFonts w:cs="Times New Roman"/>
          <w:b/>
          <w:b/>
        </w:rPr>
      </w:pPr>
      <w:r>
        <w:rPr>
          <w:rFonts w:cs="Times New Roman"/>
          <w:b/>
        </w:rPr>
        <w:t xml:space="preserve">3-1 Mobilité </w:t>
      </w:r>
    </w:p>
    <w:p>
      <w:pPr>
        <w:pStyle w:val="Standard"/>
        <w:jc w:val="both"/>
        <w:rPr>
          <w:rFonts w:cs="Times New Roman"/>
          <w:b/>
          <w:b/>
          <w:bCs/>
        </w:rPr>
      </w:pPr>
      <w:r>
        <w:rPr>
          <w:rFonts w:cs="Times New Roman"/>
          <w:b/>
          <w:bCs/>
        </w:rPr>
      </w:r>
    </w:p>
    <w:p>
      <w:pPr>
        <w:pStyle w:val="Standard"/>
        <w:ind w:left="-142" w:firstLine="142"/>
        <w:jc w:val="both"/>
        <w:rPr>
          <w:rFonts w:cs="Times New Roman"/>
          <w:bCs/>
        </w:rPr>
      </w:pPr>
      <w:r>
        <w:rPr>
          <w:rFonts w:cs="Times New Roman"/>
          <w:bCs/>
        </w:rPr>
        <w:t xml:space="preserve">Pourra être discuté la possibilité de mettre en place l’une des solutions suivantes : </w:t>
      </w:r>
    </w:p>
    <w:p>
      <w:pPr>
        <w:pStyle w:val="Standard"/>
        <w:numPr>
          <w:ilvl w:val="0"/>
          <w:numId w:val="2"/>
        </w:numPr>
        <w:ind w:left="-142" w:firstLine="142"/>
        <w:jc w:val="both"/>
        <w:rPr>
          <w:rFonts w:cs="Times New Roman"/>
          <w:bCs/>
        </w:rPr>
      </w:pPr>
      <w:r>
        <w:rPr>
          <w:rFonts w:cs="Times New Roman"/>
          <w:bCs/>
        </w:rPr>
        <w:t>L’installation d’une borne de rechargement électrique double sur le site de Villejust, dont le coût de rechargement des véhicules pourra être pris en charge par l’employeur.</w:t>
      </w:r>
    </w:p>
    <w:p>
      <w:pPr>
        <w:pStyle w:val="Standard"/>
        <w:numPr>
          <w:ilvl w:val="0"/>
          <w:numId w:val="2"/>
        </w:numPr>
        <w:ind w:left="-142" w:firstLine="142"/>
        <w:jc w:val="both"/>
        <w:rPr>
          <w:rFonts w:cs="Times New Roman"/>
          <w:bCs/>
        </w:rPr>
      </w:pPr>
      <w:r>
        <w:rPr>
          <w:rFonts w:cs="Times New Roman"/>
          <w:bCs/>
        </w:rPr>
        <w:t>Une prise en charge plus importante que l’obligation légale actuelle en vigueur des frais d’un abonnement de transport en commun par l’employeur.</w:t>
      </w:r>
    </w:p>
    <w:p>
      <w:pPr>
        <w:pStyle w:val="Standard"/>
        <w:jc w:val="both"/>
        <w:rPr>
          <w:rFonts w:cs="Times New Roman"/>
          <w:bCs/>
        </w:rPr>
      </w:pPr>
      <w:r>
        <w:rPr>
          <w:rFonts w:cs="Times New Roman"/>
          <w:bCs/>
        </w:rPr>
      </w:r>
    </w:p>
    <w:p>
      <w:pPr>
        <w:pStyle w:val="Standard"/>
        <w:jc w:val="both"/>
        <w:rPr>
          <w:rFonts w:cs="Times New Roman"/>
          <w:b/>
          <w:b/>
        </w:rPr>
      </w:pPr>
      <w:r>
        <w:rPr>
          <w:rFonts w:cs="Times New Roman"/>
          <w:b/>
        </w:rPr>
        <w:t>3-2 Qualité de vie au travail</w:t>
      </w:r>
    </w:p>
    <w:p>
      <w:pPr>
        <w:pStyle w:val="Standard"/>
        <w:jc w:val="both"/>
        <w:rPr>
          <w:rFonts w:cs="Times New Roman"/>
          <w:b/>
          <w:b/>
          <w:bCs/>
        </w:rPr>
      </w:pPr>
      <w:r>
        <w:rPr>
          <w:rFonts w:cs="Times New Roman"/>
          <w:b/>
          <w:bCs/>
        </w:rPr>
      </w:r>
    </w:p>
    <w:p>
      <w:pPr>
        <w:pStyle w:val="Standard"/>
        <w:jc w:val="both"/>
        <w:rPr>
          <w:rFonts w:cs="Times New Roman"/>
          <w:bCs/>
        </w:rPr>
      </w:pPr>
      <w:r>
        <w:rPr>
          <w:rFonts w:cs="Times New Roman"/>
          <w:bCs/>
        </w:rPr>
        <w:t xml:space="preserve">Pourra être discuté la possibilité de mettre en place l’une des solutions suivantes : </w:t>
      </w:r>
    </w:p>
    <w:p>
      <w:pPr>
        <w:pStyle w:val="Standard"/>
        <w:numPr>
          <w:ilvl w:val="0"/>
          <w:numId w:val="2"/>
        </w:numPr>
        <w:ind w:left="0" w:hanging="0"/>
        <w:jc w:val="both"/>
        <w:rPr>
          <w:rFonts w:cs="Times New Roman"/>
          <w:bCs/>
        </w:rPr>
      </w:pPr>
      <w:r>
        <w:rPr>
          <w:rFonts w:cs="Times New Roman"/>
          <w:bCs/>
        </w:rPr>
        <w:t>La revalorisation de la Prime de travail de six jours consécutifs se terminant le samedi, créée par l’accord du 12 décembre 2017.</w:t>
      </w:r>
    </w:p>
    <w:p>
      <w:pPr>
        <w:pStyle w:val="Standard"/>
        <w:numPr>
          <w:ilvl w:val="0"/>
          <w:numId w:val="2"/>
        </w:numPr>
        <w:ind w:left="0" w:hanging="0"/>
        <w:jc w:val="both"/>
        <w:rPr>
          <w:rFonts w:cs="Times New Roman"/>
          <w:bCs/>
        </w:rPr>
      </w:pPr>
      <w:r>
        <w:rPr>
          <w:rFonts w:cs="Times New Roman"/>
          <w:bCs/>
        </w:rPr>
        <w:t>La création d’un repos compensateur supplémentaire au titre du travail de six jours consécutifs se terminant le samedi.</w:t>
      </w:r>
    </w:p>
    <w:p>
      <w:pPr>
        <w:pStyle w:val="Standard"/>
        <w:jc w:val="both"/>
        <w:rPr>
          <w:rFonts w:cs="Times New Roman"/>
          <w:bCs/>
        </w:rPr>
      </w:pPr>
      <w:r>
        <w:rPr>
          <w:rFonts w:cs="Times New Roman"/>
          <w:bCs/>
        </w:rPr>
      </w:r>
    </w:p>
    <w:p>
      <w:pPr>
        <w:pStyle w:val="Standard"/>
        <w:jc w:val="both"/>
        <w:rPr>
          <w:rFonts w:cs="Times New Roman"/>
          <w:b/>
          <w:b/>
        </w:rPr>
      </w:pPr>
      <w:r>
        <w:rPr>
          <w:rFonts w:cs="Times New Roman"/>
          <w:b/>
        </w:rPr>
        <w:t>3-3 Ressources</w:t>
      </w:r>
    </w:p>
    <w:p>
      <w:pPr>
        <w:pStyle w:val="Standard"/>
        <w:jc w:val="both"/>
        <w:rPr>
          <w:rFonts w:cs="Times New Roman"/>
          <w:b/>
          <w:b/>
          <w:bCs/>
        </w:rPr>
      </w:pPr>
      <w:r>
        <w:rPr>
          <w:rFonts w:cs="Times New Roman"/>
          <w:b/>
          <w:bCs/>
        </w:rPr>
      </w:r>
    </w:p>
    <w:p>
      <w:pPr>
        <w:pStyle w:val="Standard"/>
        <w:jc w:val="both"/>
        <w:rPr>
          <w:rFonts w:cs="Times New Roman"/>
          <w:bCs/>
        </w:rPr>
      </w:pPr>
      <w:r>
        <w:rPr>
          <w:rFonts w:cs="Times New Roman"/>
          <w:bCs/>
        </w:rPr>
        <w:t>Il sera examiné la possibilité de revaloriser les taux horaires à la lumière de la situation intermédiaire du bilan comptable au 31 mars 2022 en fonction des résultats du Groupe.</w:t>
      </w:r>
    </w:p>
    <w:p>
      <w:pPr>
        <w:pStyle w:val="Standard"/>
        <w:jc w:val="both"/>
        <w:rPr>
          <w:rFonts w:cs="Times New Roman"/>
          <w:bCs/>
        </w:rPr>
      </w:pPr>
      <w:r>
        <w:rPr>
          <w:rFonts w:cs="Times New Roman"/>
          <w:bCs/>
        </w:rPr>
      </w:r>
    </w:p>
    <w:p>
      <w:pPr>
        <w:pStyle w:val="Standard"/>
        <w:jc w:val="both"/>
        <w:rPr/>
      </w:pPr>
      <w:r>
        <w:rPr>
          <w:rFonts w:cs="Times New Roman"/>
          <w:bCs/>
        </w:rPr>
        <w:t xml:space="preserve">Pourra aussi être discuté la possibilité de mettre en place l’une des solutions suivantes : </w:t>
      </w:r>
    </w:p>
    <w:p>
      <w:pPr>
        <w:pStyle w:val="Standard"/>
        <w:numPr>
          <w:ilvl w:val="0"/>
          <w:numId w:val="2"/>
        </w:numPr>
        <w:ind w:left="0" w:hanging="0"/>
        <w:jc w:val="both"/>
        <w:rPr>
          <w:rFonts w:cs="Times New Roman"/>
          <w:bCs/>
        </w:rPr>
      </w:pPr>
      <w:r>
        <w:rPr>
          <w:rFonts w:cs="Times New Roman"/>
          <w:bCs/>
        </w:rPr>
        <w:t>La prorogation avec ou sans modification, ou la suppression de la prime de bienvenue au-delà du 30 septembre 2022.</w:t>
      </w:r>
    </w:p>
    <w:p>
      <w:pPr>
        <w:pStyle w:val="Standard"/>
        <w:numPr>
          <w:ilvl w:val="0"/>
          <w:numId w:val="2"/>
        </w:numPr>
        <w:ind w:left="0" w:hanging="0"/>
        <w:jc w:val="both"/>
        <w:rPr>
          <w:rFonts w:cs="Times New Roman"/>
          <w:bCs/>
        </w:rPr>
      </w:pPr>
      <w:r>
        <w:rPr>
          <w:rFonts w:cs="Times New Roman"/>
          <w:bCs/>
        </w:rPr>
        <w:t>La création d’un système de parrainage au recrutement, avec par exemple l’octroi d’une prime pour le parrain déjà salarié du Groupe.</w:t>
      </w:r>
    </w:p>
    <w:p>
      <w:pPr>
        <w:pStyle w:val="Normal"/>
        <w:ind w:left="-142" w:hanging="0"/>
        <w:jc w:val="both"/>
        <w:rPr>
          <w:rFonts w:cs="Times New Roman"/>
          <w:b/>
          <w:b/>
          <w:bCs/>
          <w:caps/>
          <w:sz w:val="16"/>
          <w:szCs w:val="16"/>
          <w:u w:val="single"/>
        </w:rPr>
      </w:pPr>
      <w:r>
        <w:rPr>
          <w:rFonts w:cs="Times New Roman"/>
          <w:b/>
          <w:bCs/>
          <w:caps/>
          <w:sz w:val="16"/>
          <w:szCs w:val="16"/>
          <w:u w:val="single"/>
        </w:rPr>
      </w:r>
    </w:p>
    <w:p>
      <w:pPr>
        <w:pStyle w:val="Normal"/>
        <w:ind w:left="-142" w:hanging="0"/>
        <w:jc w:val="both"/>
        <w:rPr>
          <w:b/>
          <w:b/>
          <w:caps/>
          <w:sz w:val="16"/>
          <w:szCs w:val="16"/>
          <w:u w:val="single"/>
        </w:rPr>
      </w:pPr>
      <w:r>
        <w:rPr>
          <w:b/>
          <w:caps/>
          <w:sz w:val="16"/>
          <w:szCs w:val="16"/>
          <w:u w:val="single"/>
        </w:rPr>
      </w:r>
    </w:p>
    <w:p>
      <w:pPr>
        <w:pStyle w:val="Normal"/>
        <w:ind w:left="-142" w:hanging="0"/>
        <w:jc w:val="both"/>
        <w:rPr>
          <w:b/>
          <w:b/>
          <w:caps/>
          <w:sz w:val="24"/>
          <w:szCs w:val="24"/>
          <w:u w:val="single"/>
        </w:rPr>
      </w:pPr>
      <w:r>
        <w:rPr>
          <w:b/>
          <w:caps/>
          <w:sz w:val="24"/>
          <w:szCs w:val="24"/>
          <w:u w:val="single"/>
        </w:rPr>
        <w:t>Dispositions finales  – Durée – Publicité</w:t>
      </w:r>
    </w:p>
    <w:p>
      <w:pPr>
        <w:pStyle w:val="Standard"/>
        <w:ind w:left="-142" w:hanging="0"/>
        <w:jc w:val="both"/>
        <w:rPr>
          <w:rFonts w:cs="Times New Roman"/>
          <w:b/>
          <w:b/>
          <w:caps/>
          <w:sz w:val="24"/>
          <w:szCs w:val="24"/>
          <w:u w:val="single"/>
        </w:rPr>
      </w:pPr>
      <w:r>
        <w:rPr>
          <w:rFonts w:cs="Times New Roman"/>
          <w:b/>
          <w:caps/>
          <w:sz w:val="24"/>
          <w:szCs w:val="24"/>
          <w:u w:val="single"/>
        </w:rPr>
      </w:r>
    </w:p>
    <w:p>
      <w:pPr>
        <w:pStyle w:val="Normal"/>
        <w:ind w:left="-142" w:right="-284" w:hanging="0"/>
        <w:jc w:val="both"/>
        <w:rPr/>
      </w:pPr>
      <w:r>
        <w:rPr>
          <w:sz w:val="24"/>
          <w:szCs w:val="24"/>
        </w:rPr>
        <w:t>Les organisations syndicales ont émis l’avis suivant :</w:t>
      </w:r>
    </w:p>
    <w:p>
      <w:pPr>
        <w:pStyle w:val="Normal"/>
        <w:ind w:left="-142" w:right="-284" w:hanging="0"/>
        <w:jc w:val="both"/>
        <w:rPr>
          <w:sz w:val="16"/>
          <w:szCs w:val="16"/>
        </w:rPr>
      </w:pPr>
      <w:r>
        <w:rPr>
          <w:sz w:val="16"/>
          <w:szCs w:val="16"/>
        </w:rPr>
      </w:r>
    </w:p>
    <w:p>
      <w:pPr>
        <w:pStyle w:val="Normal"/>
        <w:ind w:left="-142" w:right="-284" w:hanging="0"/>
        <w:jc w:val="both"/>
        <w:rPr>
          <w:sz w:val="24"/>
          <w:szCs w:val="24"/>
        </w:rPr>
      </w:pPr>
      <w:r>
        <w:rPr>
          <w:rFonts w:eastAsia="Wingdings 3" w:cs="Wingdings 3" w:ascii="Wingdings 3" w:hAnsi="Wingdings 3"/>
          <w:sz w:val="28"/>
          <w:szCs w:val="28"/>
        </w:rPr>
        <w:t></w:t>
      </w:r>
      <w:r>
        <w:rPr>
          <w:sz w:val="22"/>
          <w:szCs w:val="22"/>
        </w:rPr>
        <w:t xml:space="preserve"> </w:t>
      </w:r>
      <w:r>
        <w:rPr>
          <w:sz w:val="24"/>
          <w:szCs w:val="24"/>
        </w:rPr>
        <w:t>Favorables à la signature de l’accord : CFDT, FO – UNCP et CFTC</w:t>
      </w:r>
    </w:p>
    <w:p>
      <w:pPr>
        <w:pStyle w:val="Normal"/>
        <w:ind w:left="-142" w:right="-284" w:hanging="0"/>
        <w:jc w:val="both"/>
        <w:rPr>
          <w:sz w:val="24"/>
          <w:szCs w:val="24"/>
        </w:rPr>
      </w:pPr>
      <w:r>
        <w:rPr>
          <w:rFonts w:eastAsia="Wingdings 3" w:cs="Wingdings 3" w:ascii="Wingdings 3" w:hAnsi="Wingdings 3"/>
          <w:sz w:val="28"/>
          <w:szCs w:val="28"/>
        </w:rPr>
        <w:t></w:t>
      </w:r>
      <w:r>
        <w:rPr>
          <w:sz w:val="28"/>
          <w:szCs w:val="28"/>
        </w:rPr>
        <w:t xml:space="preserve"> </w:t>
      </w:r>
      <w:r>
        <w:rPr>
          <w:sz w:val="24"/>
          <w:szCs w:val="24"/>
        </w:rPr>
        <w:t>Organisation syndicale non représentée lors de cette négociation : CGT</w:t>
      </w:r>
    </w:p>
    <w:p>
      <w:pPr>
        <w:pStyle w:val="Normal"/>
        <w:ind w:left="-142" w:right="-284" w:hanging="0"/>
        <w:jc w:val="both"/>
        <w:rPr>
          <w:sz w:val="24"/>
          <w:szCs w:val="24"/>
        </w:rPr>
      </w:pPr>
      <w:r>
        <w:rPr>
          <w:sz w:val="24"/>
          <w:szCs w:val="24"/>
        </w:rPr>
      </w:r>
    </w:p>
    <w:p>
      <w:pPr>
        <w:pStyle w:val="Normal"/>
        <w:ind w:left="-142" w:right="-284" w:hanging="0"/>
        <w:jc w:val="both"/>
        <w:rPr>
          <w:sz w:val="24"/>
          <w:szCs w:val="24"/>
        </w:rPr>
      </w:pPr>
      <w:r>
        <w:rPr>
          <w:sz w:val="24"/>
          <w:szCs w:val="24"/>
        </w:rPr>
        <w:t xml:space="preserve">Les dispositions du présent texte sont donc validées à l’unanimité des organisations syndicales présentes. </w:t>
      </w:r>
    </w:p>
    <w:p>
      <w:pPr>
        <w:pStyle w:val="Normal"/>
        <w:jc w:val="both"/>
        <w:rPr>
          <w:sz w:val="24"/>
          <w:szCs w:val="24"/>
        </w:rPr>
      </w:pPr>
      <w:r>
        <w:rPr>
          <w:sz w:val="24"/>
          <w:szCs w:val="24"/>
        </w:rPr>
      </w:r>
    </w:p>
    <w:p>
      <w:pPr>
        <w:pStyle w:val="Standard"/>
        <w:tabs>
          <w:tab w:val="left" w:pos="851" w:leader="none"/>
        </w:tabs>
        <w:ind w:left="-142" w:hanging="0"/>
        <w:jc w:val="both"/>
        <w:rPr>
          <w:rFonts w:cs="Times New Roman"/>
        </w:rPr>
      </w:pPr>
      <w:r>
        <w:rPr>
          <w:rFonts w:cs="Times New Roman"/>
        </w:rPr>
        <w:t>Sauf dispositions particulières visées dans les différents chapitres susvisés, le présent accord prend plein effet au 1</w:t>
      </w:r>
      <w:r>
        <w:rPr>
          <w:rFonts w:cs="Times New Roman"/>
          <w:vertAlign w:val="superscript"/>
        </w:rPr>
        <w:t>er</w:t>
      </w:r>
      <w:r>
        <w:rPr>
          <w:rFonts w:cs="Times New Roman"/>
        </w:rPr>
        <w:t xml:space="preserve"> janvier 2022 et pour une durée indéterminée.</w:t>
      </w:r>
    </w:p>
    <w:p>
      <w:pPr>
        <w:pStyle w:val="Standard"/>
        <w:tabs>
          <w:tab w:val="left" w:pos="851" w:leader="none"/>
        </w:tabs>
        <w:ind w:left="-142" w:hanging="0"/>
        <w:jc w:val="both"/>
        <w:rPr>
          <w:rFonts w:cs="Times New Roman"/>
        </w:rPr>
      </w:pPr>
      <w:r>
        <w:rPr>
          <w:rFonts w:cs="Times New Roman"/>
        </w:rPr>
      </w:r>
    </w:p>
    <w:p>
      <w:pPr>
        <w:pStyle w:val="Standard"/>
        <w:tabs>
          <w:tab w:val="left" w:pos="851" w:leader="none"/>
        </w:tabs>
        <w:ind w:left="-142" w:hanging="0"/>
        <w:jc w:val="both"/>
        <w:rPr>
          <w:rFonts w:cs="Times New Roman"/>
        </w:rPr>
      </w:pPr>
      <w:r>
        <w:rPr>
          <w:rFonts w:cs="Times New Roman"/>
        </w:rPr>
        <w:t>Le présent Accord sera déposé en deux exemplaires, dont une version sur support papier signé des parties par lettre recommandée avec demande d'avis de réception et une version sur support électronique, par la partie la plus diligente, auprès de la DREETS.</w:t>
      </w:r>
    </w:p>
    <w:p>
      <w:pPr>
        <w:pStyle w:val="Standard"/>
        <w:tabs>
          <w:tab w:val="left" w:pos="851" w:leader="none"/>
        </w:tabs>
        <w:ind w:left="-142" w:hanging="0"/>
        <w:jc w:val="both"/>
        <w:rPr>
          <w:rFonts w:cs="Times New Roman"/>
        </w:rPr>
      </w:pPr>
      <w:r>
        <w:rPr>
          <w:rFonts w:cs="Times New Roman"/>
        </w:rPr>
      </w:r>
    </w:p>
    <w:p>
      <w:pPr>
        <w:pStyle w:val="Standard"/>
        <w:tabs>
          <w:tab w:val="left" w:pos="851" w:leader="none"/>
        </w:tabs>
        <w:ind w:left="-142" w:hanging="0"/>
        <w:jc w:val="both"/>
        <w:rPr>
          <w:rFonts w:cs="Times New Roman"/>
        </w:rPr>
      </w:pPr>
      <w:r>
        <w:rPr>
          <w:rFonts w:cs="Times New Roman"/>
        </w:rPr>
        <w:t>Considération faite du caractère confidentiel de certaines dispositions du présent accord, les parties déclarent ne pas souhaiter sa production dans les bases de données nationales.</w:t>
      </w:r>
    </w:p>
    <w:p>
      <w:pPr>
        <w:pStyle w:val="Standard"/>
        <w:tabs>
          <w:tab w:val="left" w:pos="851" w:leader="none"/>
        </w:tabs>
        <w:ind w:left="-142" w:hanging="0"/>
        <w:jc w:val="both"/>
        <w:rPr>
          <w:rFonts w:cs="Times New Roman"/>
        </w:rPr>
      </w:pPr>
      <w:r>
        <w:rPr>
          <w:rFonts w:cs="Times New Roman"/>
        </w:rPr>
      </w:r>
    </w:p>
    <w:p>
      <w:pPr>
        <w:pStyle w:val="Standard"/>
        <w:tabs>
          <w:tab w:val="left" w:pos="851" w:leader="none"/>
        </w:tabs>
        <w:ind w:left="-142" w:hanging="0"/>
        <w:jc w:val="both"/>
        <w:rPr/>
      </w:pPr>
      <w:r>
        <w:rPr>
          <w:rFonts w:cs="Times New Roman"/>
        </w:rPr>
        <w:t>Un exemplaire sera également remis au secrétariat-greffe du Conseil de prud’hommes du lieu de sa conclusion.</w:t>
      </w:r>
    </w:p>
    <w:p>
      <w:pPr>
        <w:pStyle w:val="Normal"/>
        <w:ind w:left="-142" w:hanging="0"/>
        <w:jc w:val="center"/>
        <w:rPr>
          <w:sz w:val="24"/>
          <w:szCs w:val="24"/>
        </w:rPr>
      </w:pPr>
      <w:r>
        <w:rPr/>
        <w:drawing>
          <wp:inline distT="0" distB="0" distL="0" distR="0">
            <wp:extent cx="2418715" cy="4286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 t="-16" r="-3" b="-16"/>
                    <a:stretch>
                      <a:fillRect/>
                    </a:stretch>
                  </pic:blipFill>
                  <pic:spPr bwMode="auto">
                    <a:xfrm>
                      <a:off x="0" y="0"/>
                      <a:ext cx="2418715" cy="428625"/>
                    </a:xfrm>
                    <a:prstGeom prst="rect">
                      <a:avLst/>
                    </a:prstGeom>
                  </pic:spPr>
                </pic:pic>
              </a:graphicData>
            </a:graphic>
          </wp:inline>
        </w:drawing>
      </w:r>
    </w:p>
    <w:p>
      <w:pPr>
        <w:pStyle w:val="Normal"/>
        <w:ind w:left="-142" w:hanging="0"/>
        <w:jc w:val="both"/>
        <w:rPr>
          <w:sz w:val="24"/>
          <w:szCs w:val="24"/>
        </w:rPr>
      </w:pPr>
      <w:r>
        <w:rPr>
          <w:sz w:val="24"/>
          <w:szCs w:val="24"/>
        </w:rPr>
        <w:t>Fait à Montélimar, le 9 décembre 2021.</w:t>
      </w:r>
    </w:p>
    <w:p>
      <w:pPr>
        <w:pStyle w:val="Normal"/>
        <w:ind w:left="-142" w:hanging="0"/>
        <w:jc w:val="both"/>
        <w:rPr>
          <w:sz w:val="16"/>
          <w:szCs w:val="16"/>
        </w:rPr>
      </w:pPr>
      <w:r>
        <w:rPr>
          <w:sz w:val="16"/>
          <w:szCs w:val="16"/>
        </w:rPr>
      </w:r>
    </w:p>
    <w:p>
      <w:pPr>
        <w:pStyle w:val="Normal"/>
        <w:ind w:left="-142" w:hanging="0"/>
        <w:jc w:val="both"/>
        <w:rPr>
          <w:sz w:val="24"/>
          <w:szCs w:val="24"/>
        </w:rPr>
      </w:pPr>
      <w:r>
        <w:rPr>
          <w:sz w:val="24"/>
          <w:szCs w:val="24"/>
        </w:rPr>
        <w:t>(Signatures précédées de la mention manuscrite « lu et approuvé, bon pour accord »)</w:t>
      </w:r>
    </w:p>
    <w:p>
      <w:pPr>
        <w:pStyle w:val="Normal"/>
        <w:ind w:left="-142" w:hanging="0"/>
        <w:jc w:val="both"/>
        <w:rPr>
          <w:sz w:val="16"/>
          <w:szCs w:val="16"/>
        </w:rPr>
      </w:pPr>
      <w:r>
        <w:rPr>
          <w:sz w:val="16"/>
          <w:szCs w:val="16"/>
        </w:rPr>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t>Pour la Direction</w:t>
      </w:r>
    </w:p>
    <w:p>
      <w:pPr>
        <w:pStyle w:val="Normal"/>
        <w:ind w:left="-142" w:hanging="0"/>
        <w:jc w:val="both"/>
        <w:rPr>
          <w:b/>
          <w:b/>
          <w:bCs/>
          <w:sz w:val="24"/>
          <w:szCs w:val="24"/>
        </w:rPr>
      </w:pPr>
      <w:r>
        <w:rPr>
          <w:b/>
          <w:bCs/>
          <w:sz w:val="24"/>
          <w:szCs w:val="24"/>
        </w:rPr>
      </w:r>
    </w:p>
    <w:p>
      <w:pPr>
        <w:pStyle w:val="Normal"/>
        <w:ind w:left="-142" w:hanging="0"/>
        <w:jc w:val="both"/>
        <w:rPr>
          <w:b/>
          <w:b/>
          <w:bCs/>
          <w:sz w:val="16"/>
          <w:szCs w:val="16"/>
        </w:rPr>
      </w:pPr>
      <w:r>
        <w:rPr>
          <w:b/>
          <w:bCs/>
          <w:sz w:val="16"/>
          <w:szCs w:val="16"/>
        </w:rPr>
      </w:r>
    </w:p>
    <w:p>
      <w:pPr>
        <w:pStyle w:val="Normal"/>
        <w:ind w:left="7230" w:hanging="0"/>
        <w:jc w:val="both"/>
        <w:rPr>
          <w:b/>
          <w:b/>
          <w:bCs/>
          <w:sz w:val="24"/>
          <w:szCs w:val="24"/>
        </w:rPr>
      </w:pPr>
      <w:r>
        <w:rPr>
          <w:b/>
          <w:bCs/>
          <w:sz w:val="24"/>
          <w:szCs w:val="24"/>
        </w:rPr>
        <w:t>Pour la CFDT</w:t>
      </w:r>
    </w:p>
    <w:p>
      <w:pPr>
        <w:pStyle w:val="Normal"/>
        <w:ind w:left="6948" w:firstLine="851"/>
        <w:jc w:val="both"/>
        <w:rPr>
          <w:b/>
          <w:b/>
          <w:bCs/>
          <w:sz w:val="16"/>
          <w:szCs w:val="16"/>
        </w:rPr>
      </w:pPr>
      <w:r>
        <w:rPr>
          <w:b/>
          <w:bCs/>
          <w:sz w:val="24"/>
          <w:szCs w:val="24"/>
        </w:rPr>
        <w:tab/>
        <w:tab/>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t>Pour FO – UNCP</w:t>
      </w:r>
    </w:p>
    <w:p>
      <w:pPr>
        <w:pStyle w:val="Normal"/>
        <w:jc w:val="both"/>
        <w:rPr>
          <w:b/>
          <w:b/>
          <w:bCs/>
          <w:sz w:val="16"/>
          <w:szCs w:val="16"/>
        </w:rPr>
      </w:pPr>
      <w:r>
        <w:rPr>
          <w:b/>
          <w:bCs/>
          <w:sz w:val="16"/>
          <w:szCs w:val="16"/>
        </w:rPr>
      </w:r>
    </w:p>
    <w:p>
      <w:pPr>
        <w:pStyle w:val="Normal"/>
        <w:jc w:val="both"/>
        <w:rPr>
          <w:b/>
          <w:b/>
          <w:bCs/>
          <w:sz w:val="16"/>
          <w:szCs w:val="16"/>
        </w:rPr>
      </w:pPr>
      <w:r>
        <w:rPr>
          <w:b/>
          <w:bCs/>
          <w:sz w:val="16"/>
          <w:szCs w:val="16"/>
        </w:rPr>
      </w:r>
    </w:p>
    <w:p>
      <w:pPr>
        <w:pStyle w:val="Normal"/>
        <w:ind w:left="6948" w:firstLine="282"/>
        <w:jc w:val="both"/>
        <w:rPr>
          <w:b/>
          <w:b/>
          <w:bCs/>
          <w:sz w:val="24"/>
          <w:szCs w:val="24"/>
        </w:rPr>
      </w:pPr>
      <w:r>
        <w:rPr>
          <w:b/>
          <w:bCs/>
          <w:sz w:val="24"/>
          <w:szCs w:val="24"/>
        </w:rPr>
        <w:t>Pour la CGT</w:t>
      </w:r>
    </w:p>
    <w:p>
      <w:pPr>
        <w:pStyle w:val="Normal"/>
        <w:ind w:left="-142" w:hanging="0"/>
        <w:jc w:val="both"/>
        <w:rPr>
          <w:b/>
          <w:b/>
          <w:bCs/>
          <w:sz w:val="24"/>
          <w:szCs w:val="24"/>
        </w:rPr>
      </w:pPr>
      <w:r>
        <w:rPr>
          <w:b/>
          <w:bCs/>
          <w:sz w:val="24"/>
          <w:szCs w:val="24"/>
        </w:rPr>
      </w:r>
    </w:p>
    <w:p>
      <w:pPr>
        <w:pStyle w:val="Normal"/>
        <w:ind w:left="-142" w:hanging="0"/>
        <w:jc w:val="both"/>
        <w:rPr>
          <w:b/>
          <w:b/>
          <w:bCs/>
          <w:sz w:val="24"/>
          <w:szCs w:val="24"/>
        </w:rPr>
      </w:pPr>
      <w:r>
        <w:rPr>
          <w:b/>
          <w:bCs/>
          <w:sz w:val="24"/>
          <w:szCs w:val="24"/>
        </w:rPr>
      </w:r>
    </w:p>
    <w:p>
      <w:pPr>
        <w:pStyle w:val="Normal"/>
        <w:ind w:left="-142" w:hanging="0"/>
        <w:jc w:val="both"/>
        <w:rPr>
          <w:b/>
          <w:b/>
          <w:bCs/>
          <w:sz w:val="16"/>
          <w:szCs w:val="16"/>
        </w:rPr>
      </w:pPr>
      <w:r>
        <w:rPr>
          <w:b/>
          <w:bCs/>
          <w:sz w:val="16"/>
          <w:szCs w:val="16"/>
        </w:rPr>
      </w:r>
    </w:p>
    <w:p>
      <w:pPr>
        <w:pStyle w:val="Normal"/>
        <w:ind w:left="-142" w:hanging="0"/>
        <w:jc w:val="both"/>
        <w:rPr>
          <w:b/>
          <w:b/>
          <w:bCs/>
          <w:sz w:val="24"/>
          <w:szCs w:val="24"/>
        </w:rPr>
      </w:pPr>
      <w:r>
        <w:rPr>
          <w:b/>
          <w:bCs/>
          <w:sz w:val="24"/>
          <w:szCs w:val="24"/>
        </w:rPr>
        <w:t>Pour la CFTC</w:t>
      </w:r>
    </w:p>
    <w:p>
      <w:pPr>
        <w:pStyle w:val="Standard"/>
        <w:ind w:left="-142" w:hanging="0"/>
        <w:jc w:val="both"/>
        <w:rPr>
          <w:b/>
          <w:b/>
          <w:bCs/>
          <w:sz w:val="24"/>
          <w:szCs w:val="24"/>
        </w:rPr>
      </w:pPr>
      <w:r>
        <w:rPr>
          <w:b/>
          <w:bCs/>
          <w:sz w:val="24"/>
          <w:szCs w:val="24"/>
        </w:rPr>
      </w:r>
    </w:p>
    <w:sectPr>
      <w:headerReference w:type="default" r:id="rId5"/>
      <w:footerReference w:type="default" r:id="rId6"/>
      <w:type w:val="nextPage"/>
      <w:pgSz w:w="11906" w:h="16838"/>
      <w:pgMar w:left="993" w:right="567" w:header="720" w:top="2552" w:footer="302" w:bottom="3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imes">
    <w:altName w:val="Times New Roman"/>
    <w:charset w:val="00"/>
    <w:family w:val="roman"/>
    <w:pitch w:val="variable"/>
  </w:font>
  <w:font w:name="Calibri">
    <w:charset w:val="00"/>
    <w:family w:val="swiss"/>
    <w:pitch w:val="variable"/>
  </w:font>
  <w:font w:name="OpenSymbol">
    <w:altName w:val="Arial Unicode MS"/>
    <w:charset w:val="00"/>
    <w:family w:val="auto"/>
    <w:pitch w:val="default"/>
  </w:font>
  <w:font w:name="Verdana">
    <w:charset w:val="00"/>
    <w:family w:val="swiss"/>
    <w:pitch w:val="variable"/>
  </w:font>
  <w:font w:name="Comic Sans MS">
    <w:charset w:val="00"/>
    <w:family w:val="script"/>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 w:name="Wingdings 3">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instrText> PAGE </w:instrText>
    </w:r>
    <w:r>
      <w:fldChar w:fldCharType="separate"/>
    </w:r>
    <w:r>
      <w:t>4</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57" w:type="dxa"/>
      <w:jc w:val="left"/>
      <w:tblInd w:w="-10" w:type="dxa"/>
      <w:tblBorders>
        <w:top w:val="single" w:sz="4" w:space="0" w:color="538135"/>
        <w:left w:val="single" w:sz="4" w:space="0" w:color="538135"/>
        <w:bottom w:val="single" w:sz="4" w:space="0" w:color="538135"/>
        <w:insideH w:val="single" w:sz="4" w:space="0" w:color="538135"/>
      </w:tblBorders>
      <w:tblCellMar>
        <w:top w:w="0" w:type="dxa"/>
        <w:left w:w="65" w:type="dxa"/>
        <w:bottom w:w="0" w:type="dxa"/>
        <w:right w:w="70" w:type="dxa"/>
      </w:tblCellMar>
    </w:tblPr>
    <w:tblGrid>
      <w:gridCol w:w="2835"/>
      <w:gridCol w:w="850"/>
      <w:gridCol w:w="1418"/>
      <w:gridCol w:w="1134"/>
      <w:gridCol w:w="1843"/>
      <w:gridCol w:w="992"/>
      <w:gridCol w:w="1285"/>
    </w:tblGrid>
    <w:tr>
      <w:trPr>
        <w:trHeight w:val="416" w:hRule="atLeast"/>
        <w:cantSplit w:val="true"/>
      </w:trPr>
      <w:tc>
        <w:tcPr>
          <w:tcW w:w="2835" w:type="dxa"/>
          <w:vMerge w:val="restart"/>
          <w:tcBorders>
            <w:top w:val="single" w:sz="4" w:space="0" w:color="538135"/>
            <w:left w:val="single" w:sz="4" w:space="0" w:color="538135"/>
            <w:bottom w:val="single" w:sz="4" w:space="0" w:color="538135"/>
            <w:insideH w:val="single" w:sz="4" w:space="0" w:color="538135"/>
          </w:tcBorders>
          <w:shd w:fill="auto" w:val="clear"/>
          <w:tcMar>
            <w:left w:w="65" w:type="dxa"/>
          </w:tcMar>
        </w:tcPr>
        <w:p>
          <w:pPr>
            <w:pStyle w:val="Normal"/>
            <w:keepNext w:val="true"/>
            <w:numPr>
              <w:ilvl w:val="0"/>
              <w:numId w:val="0"/>
            </w:numPr>
            <w:spacing w:before="240" w:after="60"/>
            <w:outlineLvl w:val="0"/>
            <w:rPr>
              <w:rFonts w:ascii="Arial" w:hAnsi="Arial" w:cs="Arial"/>
              <w:bCs/>
              <w:sz w:val="40"/>
              <w:szCs w:val="32"/>
            </w:rPr>
          </w:pPr>
          <w:r>
            <w:rPr>
              <w:rFonts w:eastAsia="Calibri" w:cs="Calibri" w:ascii="Calibri" w:hAnsi="Calibri"/>
              <w:sz w:val="22"/>
              <w:szCs w:val="22"/>
              <w:lang w:val="en-GB" w:eastAsia="en-GB"/>
            </w:rPr>
            <w:drawing>
              <wp:inline distT="0" distB="0" distL="0" distR="0">
                <wp:extent cx="1809750" cy="552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
                        <a:srcRect l="-15" t="-49" r="-15" b="-49"/>
                        <a:stretch>
                          <a:fillRect/>
                        </a:stretch>
                      </pic:blipFill>
                      <pic:spPr bwMode="auto">
                        <a:xfrm>
                          <a:off x="0" y="0"/>
                          <a:ext cx="1809750" cy="552450"/>
                        </a:xfrm>
                        <a:prstGeom prst="rect">
                          <a:avLst/>
                        </a:prstGeom>
                      </pic:spPr>
                    </pic:pic>
                  </a:graphicData>
                </a:graphic>
              </wp:inline>
            </w:drawing>
          </w:r>
        </w:p>
      </w:tc>
      <w:tc>
        <w:tcPr>
          <w:tcW w:w="5245" w:type="dxa"/>
          <w:gridSpan w:val="4"/>
          <w:tcBorders>
            <w:top w:val="single" w:sz="4" w:space="0" w:color="538135"/>
          </w:tcBorders>
          <w:shd w:fill="auto" w:val="clear"/>
        </w:tcPr>
        <w:p>
          <w:pPr>
            <w:pStyle w:val="Normal"/>
            <w:snapToGrid w:val="false"/>
            <w:jc w:val="center"/>
            <w:rPr>
              <w:rFonts w:ascii="Arial" w:hAnsi="Arial" w:eastAsia="Calibri" w:cs="Arial"/>
              <w:b/>
              <w:b/>
              <w:bCs/>
              <w:i/>
              <w:i/>
              <w:sz w:val="12"/>
              <w:szCs w:val="12"/>
              <w:lang w:eastAsia="en-US"/>
            </w:rPr>
          </w:pPr>
          <w:r>
            <w:rPr>
              <w:rFonts w:eastAsia="Calibri" w:cs="Arial" w:ascii="Arial" w:hAnsi="Arial"/>
              <w:b/>
              <w:bCs/>
              <w:i/>
              <w:sz w:val="12"/>
              <w:szCs w:val="12"/>
              <w:lang w:eastAsia="en-US"/>
            </w:rPr>
          </w:r>
        </w:p>
        <w:p>
          <w:pPr>
            <w:pStyle w:val="Normal"/>
            <w:jc w:val="center"/>
            <w:rPr>
              <w:rFonts w:ascii="Arial" w:hAnsi="Arial" w:eastAsia="Calibri" w:cs="Arial"/>
              <w:b/>
              <w:b/>
              <w:i/>
              <w:i/>
              <w:sz w:val="16"/>
              <w:szCs w:val="24"/>
              <w:lang w:eastAsia="en-US"/>
            </w:rPr>
          </w:pPr>
          <w:r>
            <w:rPr>
              <w:rFonts w:eastAsia="Calibri" w:cs="Arial" w:ascii="Arial" w:hAnsi="Arial"/>
              <w:b/>
              <w:i/>
              <w:sz w:val="16"/>
              <w:szCs w:val="24"/>
              <w:lang w:eastAsia="en-US"/>
            </w:rPr>
          </w:r>
        </w:p>
      </w:tc>
      <w:tc>
        <w:tcPr>
          <w:tcW w:w="2277" w:type="dxa"/>
          <w:gridSpan w:val="2"/>
          <w:tcBorders>
            <w:top w:val="single" w:sz="4" w:space="0" w:color="538135"/>
            <w:left w:val="single" w:sz="4" w:space="0" w:color="538135"/>
            <w:bottom w:val="single" w:sz="4" w:space="0" w:color="538135"/>
            <w:right w:val="single" w:sz="4" w:space="0" w:color="538135"/>
            <w:insideH w:val="single" w:sz="4" w:space="0" w:color="538135"/>
            <w:insideV w:val="single" w:sz="4" w:space="0" w:color="538135"/>
          </w:tcBorders>
          <w:shd w:fill="auto" w:val="clear"/>
          <w:tcMar>
            <w:left w:w="65" w:type="dxa"/>
          </w:tcMar>
        </w:tcPr>
        <w:p>
          <w:pPr>
            <w:pStyle w:val="Normal"/>
            <w:keepNext w:val="true"/>
            <w:numPr>
              <w:ilvl w:val="0"/>
              <w:numId w:val="0"/>
            </w:numPr>
            <w:spacing w:lineRule="auto" w:line="256" w:before="80" w:after="80"/>
            <w:jc w:val="center"/>
            <w:outlineLvl w:val="1"/>
            <w:rPr>
              <w:rFonts w:ascii="Arial" w:hAnsi="Arial" w:eastAsia="Calibri" w:cs="Arial"/>
              <w:color w:val="808080"/>
              <w:lang w:eastAsia="en-US"/>
            </w:rPr>
          </w:pPr>
          <w:r>
            <w:rPr>
              <w:rFonts w:eastAsia="Calibri" w:cs="Arial" w:ascii="Arial" w:hAnsi="Arial"/>
              <w:color w:val="808080"/>
              <w:lang w:eastAsia="en-US"/>
            </w:rPr>
            <w:t xml:space="preserve">Page </w:t>
          </w:r>
          <w:r>
            <w:rPr>
              <w:rFonts w:eastAsia="Calibri" w:cs="Arial" w:ascii="Arial" w:hAnsi="Arial"/>
              <w:color w:val="808080"/>
              <w:lang w:eastAsia="en-US"/>
            </w:rPr>
            <w:fldChar w:fldCharType="begin"/>
          </w:r>
          <w:r>
            <w:instrText> PAGE </w:instrText>
          </w:r>
          <w:r>
            <w:fldChar w:fldCharType="separate"/>
          </w:r>
          <w:r>
            <w:t>4</w:t>
          </w:r>
          <w:r>
            <w:fldChar w:fldCharType="end"/>
          </w:r>
          <w:r>
            <w:rPr>
              <w:rFonts w:eastAsia="Calibri" w:cs="Arial" w:ascii="Arial" w:hAnsi="Arial"/>
              <w:color w:val="808080"/>
              <w:lang w:eastAsia="en-US"/>
            </w:rPr>
            <w:t xml:space="preserve"> / 4</w:t>
          </w:r>
        </w:p>
      </w:tc>
    </w:tr>
    <w:tr>
      <w:trPr>
        <w:trHeight w:val="518" w:hRule="atLeast"/>
        <w:cantSplit w:val="true"/>
      </w:trPr>
      <w:tc>
        <w:tcPr>
          <w:tcW w:w="2835" w:type="dxa"/>
          <w:vMerge w:val="continue"/>
          <w:tcBorders>
            <w:top w:val="single" w:sz="4" w:space="0" w:color="538135"/>
            <w:left w:val="single" w:sz="4" w:space="0" w:color="538135"/>
            <w:bottom w:val="single" w:sz="4" w:space="0" w:color="538135"/>
            <w:insideH w:val="single" w:sz="4" w:space="0" w:color="538135"/>
          </w:tcBorders>
          <w:shd w:fill="auto" w:val="clear"/>
          <w:tcMar>
            <w:left w:w="65" w:type="dxa"/>
          </w:tcMar>
        </w:tcPr>
        <w:p>
          <w:pPr>
            <w:pStyle w:val="Normal"/>
            <w:keepNext w:val="true"/>
            <w:numPr>
              <w:ilvl w:val="0"/>
              <w:numId w:val="0"/>
            </w:numPr>
            <w:snapToGrid w:val="false"/>
            <w:spacing w:before="240" w:after="60"/>
            <w:outlineLvl w:val="0"/>
            <w:rPr>
              <w:rFonts w:ascii="Arial" w:hAnsi="Arial" w:eastAsia="Calibri" w:cs="Arial"/>
              <w:bCs/>
              <w:color w:val="808080"/>
              <w:sz w:val="40"/>
              <w:szCs w:val="32"/>
              <w:lang w:val="en-GB" w:eastAsia="en-GB"/>
            </w:rPr>
          </w:pPr>
          <w:r>
            <w:rPr>
              <w:rFonts w:eastAsia="Calibri" w:cs="Arial" w:ascii="Arial" w:hAnsi="Arial"/>
              <w:bCs/>
              <w:color w:val="808080"/>
              <w:sz w:val="40"/>
              <w:szCs w:val="32"/>
              <w:lang w:val="en-GB" w:eastAsia="en-GB"/>
            </w:rPr>
          </w:r>
        </w:p>
      </w:tc>
      <w:tc>
        <w:tcPr>
          <w:tcW w:w="5245" w:type="dxa"/>
          <w:gridSpan w:val="4"/>
          <w:tcBorders/>
          <w:shd w:fill="auto" w:val="clear"/>
        </w:tcPr>
        <w:p>
          <w:pPr>
            <w:pStyle w:val="Normal"/>
            <w:jc w:val="center"/>
            <w:rPr>
              <w:rFonts w:ascii="Arial" w:hAnsi="Arial" w:eastAsia="Calibri" w:cs="Arial"/>
              <w:b/>
              <w:b/>
              <w:iCs/>
              <w:sz w:val="28"/>
              <w:szCs w:val="22"/>
              <w:lang w:eastAsia="en-US"/>
            </w:rPr>
          </w:pPr>
          <w:r>
            <w:rPr>
              <w:rFonts w:eastAsia="Calibri" w:cs="Arial" w:ascii="Arial" w:hAnsi="Arial"/>
              <w:b/>
              <w:iCs/>
              <w:sz w:val="28"/>
              <w:szCs w:val="22"/>
              <w:lang w:eastAsia="en-US"/>
            </w:rPr>
            <w:t xml:space="preserve">ACCORD D’ENTREPRISE 2022 </w:t>
          </w:r>
        </w:p>
        <w:p>
          <w:pPr>
            <w:pStyle w:val="Normal"/>
            <w:jc w:val="center"/>
            <w:rPr>
              <w:rFonts w:ascii="Arial" w:hAnsi="Arial" w:eastAsia="Calibri" w:cs="Arial"/>
              <w:b/>
              <w:b/>
              <w:iCs/>
              <w:sz w:val="28"/>
              <w:szCs w:val="22"/>
              <w:lang w:eastAsia="en-US"/>
            </w:rPr>
          </w:pPr>
          <w:r>
            <w:rPr>
              <w:rFonts w:eastAsia="Calibri" w:cs="Arial" w:ascii="Arial" w:hAnsi="Arial"/>
              <w:b/>
              <w:iCs/>
              <w:sz w:val="28"/>
              <w:szCs w:val="22"/>
              <w:lang w:eastAsia="en-US"/>
            </w:rPr>
            <w:t>UES LIGNES REGULIERES A/R</w:t>
          </w:r>
        </w:p>
      </w:tc>
      <w:tc>
        <w:tcPr>
          <w:tcW w:w="992" w:type="dxa"/>
          <w:vMerge w:val="restart"/>
          <w:tcBorders>
            <w:top w:val="single" w:sz="4" w:space="0" w:color="538135"/>
            <w:left w:val="single" w:sz="4" w:space="0" w:color="538135"/>
            <w:bottom w:val="single" w:sz="4" w:space="0" w:color="538135"/>
            <w:insideH w:val="single" w:sz="4" w:space="0" w:color="538135"/>
          </w:tcBorders>
          <w:shd w:fill="auto" w:val="clear"/>
          <w:tcMar>
            <w:left w:w="65" w:type="dxa"/>
          </w:tcMar>
        </w:tcPr>
        <w:p>
          <w:pPr>
            <w:pStyle w:val="Normal"/>
            <w:keepNext w:val="true"/>
            <w:numPr>
              <w:ilvl w:val="0"/>
              <w:numId w:val="0"/>
            </w:numPr>
            <w:spacing w:lineRule="auto" w:line="256" w:before="120" w:after="0"/>
            <w:ind w:right="-1346" w:hanging="0"/>
            <w:outlineLvl w:val="1"/>
            <w:rPr>
              <w:rFonts w:ascii="Arial" w:hAnsi="Arial" w:eastAsia="Calibri" w:cs="Arial"/>
              <w:color w:val="808080"/>
              <w:lang w:eastAsia="en-US"/>
            </w:rPr>
          </w:pPr>
          <w:r>
            <w:rPr>
              <w:rFonts w:eastAsia="Calibri" w:cs="Arial" w:ascii="Arial" w:hAnsi="Arial"/>
              <w:color w:val="808080"/>
              <w:lang w:eastAsia="en-US"/>
            </w:rPr>
            <w:t xml:space="preserve">Date : </w:t>
          </w:r>
        </w:p>
        <w:p>
          <w:pPr>
            <w:pStyle w:val="Normal"/>
            <w:keepNext w:val="true"/>
            <w:numPr>
              <w:ilvl w:val="0"/>
              <w:numId w:val="0"/>
            </w:numPr>
            <w:spacing w:lineRule="auto" w:line="256"/>
            <w:outlineLvl w:val="1"/>
            <w:rPr>
              <w:rFonts w:ascii="Arial" w:hAnsi="Arial" w:eastAsia="Calibri" w:cs="Arial"/>
              <w:color w:val="808080"/>
              <w:lang w:eastAsia="en-US"/>
            </w:rPr>
          </w:pPr>
          <w:r>
            <w:rPr>
              <w:rFonts w:eastAsia="Calibri" w:cs="Arial" w:ascii="Arial" w:hAnsi="Arial"/>
              <w:color w:val="808080"/>
              <w:lang w:eastAsia="en-US"/>
            </w:rPr>
            <w:t>Lieu :</w:t>
          </w:r>
        </w:p>
        <w:p>
          <w:pPr>
            <w:pStyle w:val="Normal"/>
            <w:tabs>
              <w:tab w:val="left" w:pos="601" w:leader="none"/>
            </w:tabs>
            <w:rPr>
              <w:rFonts w:ascii="Arial" w:hAnsi="Arial" w:eastAsia="Calibri" w:cs="Arial"/>
              <w:color w:val="808080"/>
              <w:lang w:eastAsia="en-US"/>
            </w:rPr>
          </w:pPr>
          <w:r>
            <w:rPr>
              <w:rFonts w:eastAsia="Calibri" w:cs="Arial" w:ascii="Arial" w:hAnsi="Arial"/>
              <w:color w:val="808080"/>
              <w:lang w:eastAsia="en-US"/>
            </w:rPr>
          </w:r>
        </w:p>
      </w:tc>
      <w:tc>
        <w:tcPr>
          <w:tcW w:w="1285" w:type="dxa"/>
          <w:vMerge w:val="restart"/>
          <w:tcBorders>
            <w:top w:val="single" w:sz="4" w:space="0" w:color="538135"/>
            <w:bottom w:val="single" w:sz="4" w:space="0" w:color="538135"/>
            <w:right w:val="single" w:sz="4" w:space="0" w:color="538135"/>
            <w:insideH w:val="single" w:sz="4" w:space="0" w:color="538135"/>
            <w:insideV w:val="single" w:sz="4" w:space="0" w:color="538135"/>
          </w:tcBorders>
          <w:shd w:fill="auto" w:val="clear"/>
        </w:tcPr>
        <w:p>
          <w:pPr>
            <w:pStyle w:val="Normal"/>
            <w:keepNext w:val="true"/>
            <w:numPr>
              <w:ilvl w:val="0"/>
              <w:numId w:val="0"/>
            </w:numPr>
            <w:tabs>
              <w:tab w:val="left" w:pos="255" w:leader="none"/>
            </w:tabs>
            <w:spacing w:lineRule="auto" w:line="256" w:before="120" w:after="0"/>
            <w:outlineLvl w:val="1"/>
            <w:rPr>
              <w:rFonts w:ascii="Arial" w:hAnsi="Arial" w:eastAsia="Calibri" w:cs="Arial"/>
              <w:lang w:eastAsia="en-US"/>
            </w:rPr>
          </w:pPr>
          <w:r>
            <w:rPr>
              <w:rFonts w:eastAsia="Calibri" w:cs="Arial" w:ascii="Arial" w:hAnsi="Arial"/>
              <w:lang w:eastAsia="en-US"/>
            </w:rPr>
            <w:t>09/12/2021</w:t>
          </w:r>
        </w:p>
        <w:p>
          <w:pPr>
            <w:pStyle w:val="Normal"/>
            <w:rPr>
              <w:rFonts w:ascii="Arial" w:hAnsi="Arial" w:eastAsia="Calibri" w:cs="Arial"/>
              <w:lang w:eastAsia="en-US"/>
            </w:rPr>
          </w:pPr>
          <w:r>
            <w:rPr>
              <w:rFonts w:eastAsia="Calibri" w:cs="Arial" w:ascii="Arial" w:hAnsi="Arial"/>
              <w:lang w:eastAsia="en-US"/>
            </w:rPr>
            <w:t>Montélimar</w:t>
          </w:r>
        </w:p>
      </w:tc>
    </w:tr>
    <w:tr>
      <w:trPr>
        <w:trHeight w:val="100" w:hRule="atLeast"/>
        <w:cantSplit w:val="true"/>
      </w:trPr>
      <w:tc>
        <w:tcPr>
          <w:tcW w:w="2835" w:type="dxa"/>
          <w:vMerge w:val="continue"/>
          <w:tcBorders>
            <w:top w:val="single" w:sz="4" w:space="0" w:color="538135"/>
            <w:left w:val="single" w:sz="4" w:space="0" w:color="538135"/>
            <w:bottom w:val="single" w:sz="4" w:space="0" w:color="538135"/>
            <w:insideH w:val="single" w:sz="4" w:space="0" w:color="538135"/>
          </w:tcBorders>
          <w:shd w:fill="auto" w:val="clear"/>
          <w:tcMar>
            <w:left w:w="65" w:type="dxa"/>
          </w:tcMar>
        </w:tcPr>
        <w:p>
          <w:pPr>
            <w:pStyle w:val="Normal"/>
            <w:keepNext w:val="true"/>
            <w:numPr>
              <w:ilvl w:val="0"/>
              <w:numId w:val="0"/>
            </w:numPr>
            <w:snapToGrid w:val="false"/>
            <w:spacing w:before="240" w:after="60"/>
            <w:outlineLvl w:val="0"/>
            <w:rPr>
              <w:rFonts w:ascii="Arial" w:hAnsi="Arial" w:eastAsia="Calibri" w:cs="Arial"/>
              <w:bCs/>
              <w:sz w:val="40"/>
              <w:szCs w:val="32"/>
              <w:lang w:val="en-GB" w:eastAsia="en-GB"/>
            </w:rPr>
          </w:pPr>
          <w:r>
            <w:rPr>
              <w:rFonts w:eastAsia="Calibri" w:cs="Arial" w:ascii="Arial" w:hAnsi="Arial"/>
              <w:bCs/>
              <w:sz w:val="40"/>
              <w:szCs w:val="32"/>
              <w:lang w:val="en-GB" w:eastAsia="en-GB"/>
            </w:rPr>
          </w:r>
        </w:p>
      </w:tc>
      <w:tc>
        <w:tcPr>
          <w:tcW w:w="850" w:type="dxa"/>
          <w:tcBorders>
            <w:bottom w:val="single" w:sz="4" w:space="0" w:color="538135"/>
            <w:insideH w:val="single" w:sz="4" w:space="0" w:color="538135"/>
          </w:tcBorders>
          <w:shd w:fill="auto" w:val="clear"/>
        </w:tcPr>
        <w:p>
          <w:pPr>
            <w:pStyle w:val="Normal"/>
            <w:snapToGrid w:val="false"/>
            <w:jc w:val="center"/>
            <w:rPr>
              <w:rFonts w:ascii="Arial" w:hAnsi="Arial" w:eastAsia="Calibri" w:cs="Arial"/>
              <w:bCs/>
              <w:i/>
              <w:i/>
              <w:sz w:val="24"/>
              <w:szCs w:val="24"/>
              <w:lang w:val="en-GB" w:eastAsia="en-US"/>
            </w:rPr>
          </w:pPr>
          <w:r>
            <w:rPr>
              <w:rFonts w:eastAsia="Calibri" w:cs="Arial" w:ascii="Arial" w:hAnsi="Arial"/>
              <w:bCs/>
              <w:i/>
              <w:sz w:val="24"/>
              <w:szCs w:val="24"/>
              <w:lang w:val="en-GB" w:eastAsia="en-US"/>
            </w:rPr>
          </w:r>
        </w:p>
      </w:tc>
      <w:tc>
        <w:tcPr>
          <w:tcW w:w="1418" w:type="dxa"/>
          <w:tcBorders>
            <w:bottom w:val="single" w:sz="4" w:space="0" w:color="538135"/>
            <w:insideH w:val="single" w:sz="4" w:space="0" w:color="538135"/>
          </w:tcBorders>
          <w:shd w:fill="auto" w:val="clear"/>
        </w:tcPr>
        <w:p>
          <w:pPr>
            <w:pStyle w:val="Normal"/>
            <w:snapToGrid w:val="false"/>
            <w:rPr>
              <w:rFonts w:ascii="Arial" w:hAnsi="Arial" w:eastAsia="Calibri" w:cs="Arial"/>
              <w:b/>
              <w:b/>
              <w:i/>
              <w:i/>
              <w:sz w:val="24"/>
              <w:szCs w:val="24"/>
              <w:lang w:eastAsia="en-US"/>
            </w:rPr>
          </w:pPr>
          <w:r>
            <w:rPr>
              <w:rFonts w:eastAsia="Calibri" w:cs="Arial" w:ascii="Arial" w:hAnsi="Arial"/>
              <w:b/>
              <w:i/>
              <w:sz w:val="24"/>
              <w:szCs w:val="24"/>
              <w:lang w:eastAsia="en-US"/>
            </w:rPr>
          </w:r>
        </w:p>
      </w:tc>
      <w:tc>
        <w:tcPr>
          <w:tcW w:w="1134" w:type="dxa"/>
          <w:tcBorders>
            <w:bottom w:val="single" w:sz="4" w:space="0" w:color="538135"/>
            <w:insideH w:val="single" w:sz="4" w:space="0" w:color="538135"/>
          </w:tcBorders>
          <w:shd w:fill="auto" w:val="clear"/>
        </w:tcPr>
        <w:p>
          <w:pPr>
            <w:pStyle w:val="Normal"/>
            <w:snapToGrid w:val="false"/>
            <w:ind w:right="-71" w:hanging="0"/>
            <w:rPr>
              <w:rFonts w:ascii="Arial" w:hAnsi="Arial" w:eastAsia="Calibri" w:cs="Arial"/>
              <w:b/>
              <w:b/>
              <w:i/>
              <w:i/>
              <w:sz w:val="10"/>
              <w:szCs w:val="22"/>
              <w:lang w:eastAsia="en-US"/>
            </w:rPr>
          </w:pPr>
          <w:r>
            <w:rPr>
              <w:rFonts w:eastAsia="Calibri" w:cs="Arial" w:ascii="Arial" w:hAnsi="Arial"/>
              <w:b/>
              <w:i/>
              <w:sz w:val="10"/>
              <w:szCs w:val="22"/>
              <w:lang w:eastAsia="en-US"/>
            </w:rPr>
          </w:r>
        </w:p>
      </w:tc>
      <w:tc>
        <w:tcPr>
          <w:tcW w:w="1843" w:type="dxa"/>
          <w:tcBorders>
            <w:bottom w:val="single" w:sz="4" w:space="0" w:color="538135"/>
            <w:insideH w:val="single" w:sz="4" w:space="0" w:color="538135"/>
          </w:tcBorders>
          <w:shd w:fill="auto" w:val="clear"/>
        </w:tcPr>
        <w:p>
          <w:pPr>
            <w:pStyle w:val="Normal"/>
            <w:snapToGrid w:val="false"/>
            <w:ind w:right="-71" w:hanging="0"/>
            <w:rPr>
              <w:rFonts w:ascii="Arial" w:hAnsi="Arial" w:eastAsia="Calibri" w:cs="Arial"/>
              <w:b/>
              <w:b/>
              <w:i/>
              <w:i/>
              <w:sz w:val="24"/>
              <w:szCs w:val="24"/>
              <w:lang w:eastAsia="en-US"/>
            </w:rPr>
          </w:pPr>
          <w:r>
            <w:rPr>
              <w:rFonts w:eastAsia="Calibri" w:cs="Arial" w:ascii="Arial" w:hAnsi="Arial"/>
              <w:b/>
              <w:i/>
              <w:sz w:val="24"/>
              <w:szCs w:val="24"/>
              <w:lang w:eastAsia="en-US"/>
            </w:rPr>
          </w:r>
        </w:p>
      </w:tc>
      <w:tc>
        <w:tcPr>
          <w:tcW w:w="992" w:type="dxa"/>
          <w:vMerge w:val="continue"/>
          <w:tcBorders>
            <w:top w:val="single" w:sz="4" w:space="0" w:color="538135"/>
            <w:left w:val="single" w:sz="4" w:space="0" w:color="538135"/>
            <w:bottom w:val="single" w:sz="4" w:space="0" w:color="538135"/>
            <w:insideH w:val="single" w:sz="4" w:space="0" w:color="538135"/>
          </w:tcBorders>
          <w:shd w:fill="auto" w:val="clear"/>
          <w:tcMar>
            <w:left w:w="65" w:type="dxa"/>
          </w:tcMar>
        </w:tcPr>
        <w:p>
          <w:pPr>
            <w:pStyle w:val="Normal"/>
            <w:keepNext w:val="true"/>
            <w:numPr>
              <w:ilvl w:val="0"/>
              <w:numId w:val="0"/>
            </w:numPr>
            <w:snapToGrid w:val="false"/>
            <w:spacing w:lineRule="auto" w:line="256" w:before="0" w:after="160"/>
            <w:jc w:val="center"/>
            <w:outlineLvl w:val="1"/>
            <w:rPr>
              <w:rFonts w:ascii="Arial" w:hAnsi="Arial" w:eastAsia="Calibri" w:cs="Arial"/>
              <w:b/>
              <w:b/>
              <w:color w:val="808080"/>
              <w:sz w:val="24"/>
              <w:szCs w:val="24"/>
              <w:lang w:eastAsia="en-US"/>
            </w:rPr>
          </w:pPr>
          <w:r>
            <w:rPr>
              <w:rFonts w:eastAsia="Calibri" w:cs="Arial" w:ascii="Arial" w:hAnsi="Arial"/>
              <w:b/>
              <w:color w:val="808080"/>
              <w:sz w:val="24"/>
              <w:szCs w:val="24"/>
              <w:lang w:eastAsia="en-US"/>
            </w:rPr>
          </w:r>
        </w:p>
      </w:tc>
      <w:tc>
        <w:tcPr>
          <w:tcW w:w="1285" w:type="dxa"/>
          <w:vMerge w:val="continue"/>
          <w:tcBorders>
            <w:top w:val="single" w:sz="4" w:space="0" w:color="538135"/>
            <w:bottom w:val="single" w:sz="4" w:space="0" w:color="538135"/>
            <w:right w:val="single" w:sz="4" w:space="0" w:color="538135"/>
            <w:insideH w:val="single" w:sz="4" w:space="0" w:color="538135"/>
            <w:insideV w:val="single" w:sz="4" w:space="0" w:color="538135"/>
          </w:tcBorders>
          <w:shd w:fill="auto" w:val="clear"/>
        </w:tcPr>
        <w:p>
          <w:pPr>
            <w:pStyle w:val="Normal"/>
            <w:keepNext w:val="true"/>
            <w:numPr>
              <w:ilvl w:val="0"/>
              <w:numId w:val="0"/>
            </w:numPr>
            <w:snapToGrid w:val="false"/>
            <w:spacing w:lineRule="auto" w:line="256" w:before="0" w:after="160"/>
            <w:jc w:val="center"/>
            <w:outlineLvl w:val="1"/>
            <w:rPr>
              <w:rFonts w:ascii="Arial" w:hAnsi="Arial" w:eastAsia="Calibri" w:cs="Arial"/>
              <w:color w:val="808080"/>
              <w:lang w:eastAsia="en-US"/>
            </w:rPr>
          </w:pPr>
          <w:r>
            <w:rPr>
              <w:rFonts w:eastAsia="Calibri" w:cs="Arial" w:ascii="Arial" w:hAnsi="Arial"/>
              <w:color w:val="808080"/>
              <w:lang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Times" w:hAnsi="Times" w:cs="Times" w:hint="default"/>
        <w:sz w:val="24"/>
        <w:szCs w:val="24"/>
        <w:rFonts w:cs="Times"/>
        <w:color w:val="000000"/>
      </w:rPr>
    </w:lvl>
  </w:abstractNum>
  <w:abstractNum w:abstractNumId="3">
    <w:lvl w:ilvl="0">
      <w:start w:val="1"/>
      <w:numFmt w:val="decimal"/>
      <w:lvlText w:val="%1-"/>
      <w:lvlJc w:val="left"/>
      <w:pPr>
        <w:ind w:left="720" w:hanging="360"/>
      </w:pPr>
      <w:rPr>
        <w:sz w:val="28"/>
        <w:b/>
        <w:szCs w:val="28"/>
        <w:rFonts w:cs="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center"/>
      <w:outlineLvl w:val="0"/>
    </w:pPr>
    <w:rPr>
      <w:b/>
      <w:sz w:val="22"/>
    </w:rPr>
  </w:style>
  <w:style w:type="paragraph" w:styleId="Heading2">
    <w:name w:val="Heading 2"/>
    <w:basedOn w:val="Normal"/>
    <w:next w:val="Normal"/>
    <w:qFormat/>
    <w:pPr>
      <w:keepNext w:val="true"/>
      <w:numPr>
        <w:ilvl w:val="1"/>
        <w:numId w:val="1"/>
      </w:numPr>
      <w:jc w:val="both"/>
      <w:outlineLvl w:val="1"/>
    </w:pPr>
    <w:rPr>
      <w:b/>
      <w:bCs/>
      <w:sz w:val="24"/>
      <w:u w:val="single"/>
    </w:rPr>
  </w:style>
  <w:style w:type="character" w:styleId="WW8Num1z0">
    <w:name w:val="WW8Num1z0"/>
    <w:qFormat/>
    <w:rPr>
      <w:rFonts w:ascii="Symbol" w:hAnsi="Symbol" w:eastAsia="SimSun;宋体" w:cs="Mang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w:hAnsi="Times" w:eastAsia="Times New Roman" w:cs="Times"/>
      <w:color w:val="000000"/>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OpenSymbol;Times New Roman" w:hAnsi="OpenSymbol;Times New Roman" w:eastAsia="OpenSymbol;Times New Roman" w:cs="OpenSymbol;Times New Roman"/>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Verdana" w:hAnsi="Verdana" w:eastAsia="SimSun;宋体" w:cs="Mang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b/>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omic Sans MS" w:hAnsi="Comic Sans MS" w:eastAsia="Calibri"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b/>
      <w:sz w:val="28"/>
      <w:szCs w:val="28"/>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Comic Sans MS" w:hAnsi="Comic Sans MS"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cs="Calibri"/>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Calibri"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OpenSymbol;Times New Roman" w:hAnsi="OpenSymbol;Times New Roman" w:eastAsia="OpenSymbol;Times New Roman" w:cs="OpenSymbol;Times New Roman"/>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OpenSymbol;Times New Roman" w:hAnsi="OpenSymbol;Times New Roman" w:eastAsia="OpenSymbol;Times New Roman" w:cs="OpenSymbol;Times New Roman"/>
    </w:rPr>
  </w:style>
  <w:style w:type="character" w:styleId="WW8Num30z0">
    <w:name w:val="WW8Num30z0"/>
    <w:qFormat/>
    <w:rPr/>
  </w:style>
  <w:style w:type="character" w:styleId="WW8Num30z1">
    <w:name w:val="WW8Num30z1"/>
    <w:qFormat/>
    <w:rPr>
      <w:rFonts w:ascii="Wingdings" w:hAnsi="Wingdings" w:eastAsia="Times New Roman" w:cs="Times New Roman"/>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Policepardfaut">
    <w:name w:val="Police par défaut"/>
    <w:qFormat/>
    <w:rPr/>
  </w:style>
  <w:style w:type="character" w:styleId="PageNumber">
    <w:name w:val="Page Number"/>
    <w:basedOn w:val="Policepardfaut"/>
    <w:rPr/>
  </w:style>
  <w:style w:type="character" w:styleId="Textegras">
    <w:name w:val="textegras"/>
    <w:basedOn w:val="Policepardfaut"/>
    <w:qFormat/>
    <w:rPr/>
  </w:style>
  <w:style w:type="character" w:styleId="CorpsdetexteCar">
    <w:name w:val="Corps de texte Car"/>
    <w:qFormat/>
    <w:rPr>
      <w:sz w:val="24"/>
    </w:rPr>
  </w:style>
  <w:style w:type="character" w:styleId="TexteCar">
    <w:name w:val="Texte Car"/>
    <w:qFormat/>
    <w:rPr>
      <w:rFonts w:ascii="Helvetica" w:hAnsi="Helvetica" w:cs="Helvetica"/>
      <w:color w:val="000000"/>
      <w:sz w:val="22"/>
    </w:rPr>
  </w:style>
  <w:style w:type="character" w:styleId="Corpsdetexte2Car">
    <w:name w:val="Corps de texte 2 Car"/>
    <w:basedOn w:val="Policepard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Texte">
    <w:name w:val="Texte"/>
    <w:qFormat/>
    <w:pPr>
      <w:widowControl/>
      <w:ind w:left="567" w:hanging="0"/>
      <w:jc w:val="both"/>
    </w:pPr>
    <w:rPr>
      <w:rFonts w:ascii="Helvetica" w:hAnsi="Helvetica" w:eastAsia="Times New Roman" w:cs="Helvetica"/>
      <w:color w:val="000000"/>
      <w:sz w:val="22"/>
      <w:szCs w:val="20"/>
      <w:lang w:val="fr-FR" w:bidi="ar-SA" w:eastAsia="zh-CN"/>
    </w:rPr>
  </w:style>
  <w:style w:type="paragraph" w:styleId="Paragraphedeliste">
    <w:name w:val="Paragraphe de liste"/>
    <w:basedOn w:val="Normal"/>
    <w:qFormat/>
    <w:pPr>
      <w:ind w:left="708" w:hanging="0"/>
    </w:pPr>
    <w:rPr/>
  </w:style>
  <w:style w:type="paragraph" w:styleId="Corpsdetexte2">
    <w:name w:val="Corps de texte 2"/>
    <w:basedOn w:val="Normal"/>
    <w:qFormat/>
    <w:pPr>
      <w:spacing w:lineRule="auto" w:line="480" w:before="0" w:after="120"/>
    </w:pPr>
    <w:rPr/>
  </w:style>
  <w:style w:type="paragraph" w:styleId="Standard">
    <w:name w:val="Standard"/>
    <w:qFormat/>
    <w:pPr>
      <w:widowControl w:val="false"/>
      <w:suppressAutoHyphens w:val="true"/>
    </w:pPr>
    <w:rPr>
      <w:rFonts w:ascii="Times New Roman" w:hAnsi="Times New Roman" w:eastAsia="SimSun;宋体" w:cs="Mangal"/>
      <w:color w:val="auto"/>
      <w:sz w:val="24"/>
      <w:szCs w:val="24"/>
      <w:lang w:val="fr-FR"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2022-01-10T09:16:00Z</dcterms:created>
  <dc:creator/>
  <dc:description/>
  <dc:language>en-GB</dc:language>
  <cp:lastModifiedBy/>
  <cp:lastPrinted>2021-12-09T14:39:00Z</cp:lastPrinted>
  <dcterms:modified xsi:type="dcterms:W3CDTF">2022-01-10T09:16:00Z</dcterms:modified>
  <cp:revision>2</cp:revision>
  <dc:subject/>
  <dc:title>NEGOCIATION ANNUELLE OBLIGATOIRE</dc:title>
</cp:coreProperties>
</file>