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B021396" w14:textId="104402A3" w:rsidR="009615EA" w:rsidRDefault="00EE271C" w:rsidRPr="0056284F">
      <w:pPr>
        <w:rPr>
          <w:sz w:val="22"/>
          <w:szCs w:val="22"/>
        </w:rPr>
      </w:pPr>
      <w:r w:rsidRPr="0056284F">
        <w:rPr>
          <w:noProof/>
          <w:sz w:val="28"/>
          <w:szCs w:val="28"/>
        </w:rPr>
        <w:drawing>
          <wp:anchor allowOverlap="1" behindDoc="1" distB="0" distL="114300" distR="114300" distT="0" layoutInCell="1" locked="0" relativeHeight="251660288" simplePos="0" wp14:anchorId="0A69ADD0" wp14:editId="2E9C3B33">
            <wp:simplePos x="0" y="0"/>
            <wp:positionH relativeFrom="column">
              <wp:posOffset>-800735</wp:posOffset>
            </wp:positionH>
            <wp:positionV relativeFrom="paragraph">
              <wp:posOffset>-546735</wp:posOffset>
            </wp:positionV>
            <wp:extent cx="7249160" cy="998220"/>
            <wp:effectExtent b="0" l="0" r="8890" t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61DE3" w14:textId="77777777" w:rsidR="009615EA" w:rsidRDefault="00B76127" w:rsidRPr="0056284F">
      <w:pPr>
        <w:rPr>
          <w:sz w:val="22"/>
          <w:szCs w:val="22"/>
        </w:rPr>
      </w:pPr>
      <w:r w:rsidRPr="0056284F">
        <w:rPr>
          <w:sz w:val="22"/>
          <w:szCs w:val="22"/>
        </w:rPr>
        <w:t>.</w:t>
      </w:r>
    </w:p>
    <w:p w14:paraId="2AA55061" w14:textId="77777777" w:rsidP="00B9206D" w:rsidR="00B9206D" w:rsidRDefault="009671E9" w:rsidRPr="0056284F">
      <w:pPr>
        <w:tabs>
          <w:tab w:pos="6300" w:val="left"/>
        </w:tabs>
        <w:rPr>
          <w:sz w:val="22"/>
          <w:szCs w:val="22"/>
        </w:rPr>
      </w:pPr>
      <w:r w:rsidRPr="0056284F">
        <w:rPr>
          <w:sz w:val="22"/>
          <w:szCs w:val="22"/>
        </w:rPr>
        <w:tab/>
      </w:r>
    </w:p>
    <w:p w14:paraId="23095495" w14:textId="77777777" w:rsidP="00B9206D" w:rsidR="00B9206D" w:rsidRDefault="00B9206D" w:rsidRPr="0056284F">
      <w:pPr>
        <w:ind w:hanging="1276"/>
        <w:jc w:val="both"/>
        <w:rPr>
          <w:rFonts w:ascii="Arial" w:cs="Arial" w:hAnsi="Arial"/>
          <w:sz w:val="22"/>
          <w:szCs w:val="22"/>
        </w:rPr>
      </w:pPr>
    </w:p>
    <w:p w14:paraId="37FEAC93" w14:textId="77777777" w:rsidP="00C66EAF" w:rsidR="00C66EAF" w:rsidRDefault="00C66EAF" w:rsidRPr="0056284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Candara" w:cs="Arial" w:hAnsi="Candara"/>
          <w:b/>
          <w:sz w:val="36"/>
          <w:szCs w:val="36"/>
        </w:rPr>
      </w:pPr>
      <w:r w:rsidRPr="0056284F">
        <w:rPr>
          <w:rFonts w:ascii="Candara" w:cs="Arial" w:hAnsi="Candara"/>
          <w:b/>
          <w:sz w:val="36"/>
          <w:szCs w:val="36"/>
        </w:rPr>
        <w:t>PROCES VERBAL D’ACCORD</w:t>
      </w:r>
    </w:p>
    <w:p w14:paraId="3832656C" w14:textId="135D26F8" w:rsidP="00C66EAF" w:rsidR="000854A4" w:rsidRDefault="00942E66" w:rsidRPr="0056284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Candara" w:cs="Arial" w:hAnsi="Candara"/>
          <w:b/>
          <w:sz w:val="36"/>
          <w:szCs w:val="36"/>
        </w:rPr>
      </w:pPr>
      <w:r w:rsidRPr="0056284F">
        <w:rPr>
          <w:rFonts w:ascii="Candara" w:cs="Arial" w:hAnsi="Candara"/>
          <w:b/>
          <w:sz w:val="36"/>
          <w:szCs w:val="36"/>
        </w:rPr>
        <w:t>REUNION POUVOIR D’ACHAT</w:t>
      </w:r>
    </w:p>
    <w:p w14:paraId="402F5214" w14:textId="4FF38F76" w:rsidP="00C66EAF" w:rsidR="00C66EAF" w:rsidRDefault="000854A4" w:rsidRPr="0056284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Candara" w:cs="Arial" w:hAnsi="Candara"/>
          <w:b/>
          <w:sz w:val="36"/>
          <w:szCs w:val="36"/>
        </w:rPr>
      </w:pPr>
      <w:r w:rsidRPr="0056284F">
        <w:rPr>
          <w:rFonts w:ascii="Candara" w:cs="Arial" w:hAnsi="Candara"/>
          <w:b/>
          <w:sz w:val="36"/>
          <w:szCs w:val="36"/>
        </w:rPr>
        <w:t>CLAUSE DE REVOYURE</w:t>
      </w:r>
      <w:r w:rsidR="00FD5EC8" w:rsidRPr="0056284F">
        <w:rPr>
          <w:rFonts w:ascii="Candara" w:cs="Arial" w:hAnsi="Candara"/>
          <w:b/>
          <w:sz w:val="36"/>
          <w:szCs w:val="36"/>
        </w:rPr>
        <w:t xml:space="preserve"> </w:t>
      </w:r>
      <w:r w:rsidR="007F2048" w:rsidRPr="0056284F">
        <w:rPr>
          <w:rFonts w:ascii="Candara" w:cs="Arial" w:hAnsi="Candara"/>
          <w:b/>
          <w:sz w:val="36"/>
          <w:szCs w:val="36"/>
        </w:rPr>
        <w:t>NOVEMBRE 2022</w:t>
      </w:r>
    </w:p>
    <w:p w14:paraId="726C9876" w14:textId="77777777" w:rsidP="00B9206D" w:rsidR="00B9206D" w:rsidRDefault="00B9206D" w:rsidRPr="0056284F">
      <w:pPr>
        <w:jc w:val="both"/>
        <w:rPr>
          <w:rFonts w:ascii="Arial" w:cs="Arial" w:hAnsi="Arial"/>
        </w:rPr>
      </w:pPr>
    </w:p>
    <w:p w14:paraId="4B21E6D8" w14:textId="77777777" w:rsidP="00B9206D" w:rsidR="00B9206D" w:rsidRDefault="00B9206D" w:rsidRPr="0056284F">
      <w:pPr>
        <w:jc w:val="both"/>
        <w:rPr>
          <w:rFonts w:ascii="Candara" w:cs="Arial" w:hAnsi="Candara"/>
        </w:rPr>
      </w:pPr>
    </w:p>
    <w:p w14:paraId="6EA1CF99" w14:textId="77777777" w:rsidP="00B9206D" w:rsidR="00B9206D" w:rsidRDefault="00B9206D" w:rsidRPr="0056284F">
      <w:pPr>
        <w:jc w:val="both"/>
        <w:rPr>
          <w:rFonts w:ascii="Candara" w:cs="Arial" w:hAnsi="Candara"/>
          <w:b/>
          <w:sz w:val="22"/>
          <w:szCs w:val="22"/>
          <w:u w:val="single"/>
        </w:rPr>
      </w:pPr>
      <w:r w:rsidRPr="0056284F">
        <w:rPr>
          <w:rFonts w:ascii="Candara" w:cs="Arial" w:hAnsi="Candara"/>
          <w:b/>
          <w:sz w:val="22"/>
          <w:szCs w:val="22"/>
          <w:u w:val="single"/>
        </w:rPr>
        <w:t xml:space="preserve">ENTRE-LES SOUSSIGNES : </w:t>
      </w:r>
    </w:p>
    <w:p w14:paraId="50A60655" w14:textId="77777777" w:rsidP="00B9206D" w:rsidR="00B9206D" w:rsidRDefault="00B9206D" w:rsidRPr="0056284F">
      <w:pPr>
        <w:jc w:val="both"/>
        <w:rPr>
          <w:rFonts w:ascii="Candara" w:cs="Arial" w:hAnsi="Candara"/>
          <w:sz w:val="22"/>
          <w:szCs w:val="22"/>
        </w:rPr>
      </w:pPr>
    </w:p>
    <w:p w14:paraId="46E59038" w14:textId="77777777" w:rsidP="005142C3" w:rsidR="005142C3" w:rsidRDefault="005142C3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4C26023F" w14:textId="14964E6A" w:rsidP="00457EE6" w:rsidR="005142C3" w:rsidRDefault="005142C3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La Société Novadis dont le siège social est situé, Lieudit </w:t>
      </w:r>
      <w:proofErr w:type="spellStart"/>
      <w:r w:rsidRPr="0056284F">
        <w:rPr>
          <w:rFonts w:ascii="Candara" w:hAnsi="Candara"/>
          <w:color w:val="000000"/>
          <w:sz w:val="22"/>
          <w:szCs w:val="22"/>
        </w:rPr>
        <w:t>Télifau</w:t>
      </w:r>
      <w:proofErr w:type="spellEnd"/>
      <w:r w:rsidRPr="0056284F">
        <w:rPr>
          <w:rFonts w:ascii="Candara" w:hAnsi="Candara"/>
          <w:color w:val="000000"/>
          <w:sz w:val="22"/>
          <w:szCs w:val="22"/>
        </w:rPr>
        <w:t xml:space="preserve"> 28 700 AUNEAU – BLEURY – SAINT SYMPHORIEN sous le numéro 479.801.177 RCS CHARTRES représentée par </w:t>
      </w:r>
      <w:r w:rsidR="00AE5540">
        <w:rPr>
          <w:rFonts w:ascii="Candara" w:hAnsi="Candara"/>
          <w:color w:val="000000"/>
          <w:sz w:val="22"/>
          <w:szCs w:val="22"/>
        </w:rPr>
        <w:t>XXX</w:t>
      </w:r>
      <w:r w:rsidRPr="0056284F">
        <w:rPr>
          <w:rFonts w:ascii="Candara" w:hAnsi="Candara"/>
          <w:color w:val="000000"/>
          <w:sz w:val="22"/>
          <w:szCs w:val="22"/>
        </w:rPr>
        <w:t xml:space="preserve"> en sa qualité de Directeur d’entrepôt. </w:t>
      </w:r>
    </w:p>
    <w:p w14:paraId="225D6C08" w14:textId="77777777" w:rsidP="00B9206D" w:rsidR="00B9206D" w:rsidRDefault="00B9206D" w:rsidRPr="0056284F">
      <w:pPr>
        <w:jc w:val="both"/>
        <w:rPr>
          <w:rFonts w:ascii="Candara" w:cs="Arial" w:hAnsi="Candara"/>
          <w:sz w:val="22"/>
          <w:szCs w:val="22"/>
        </w:rPr>
      </w:pPr>
    </w:p>
    <w:p w14:paraId="750623BA" w14:textId="77777777" w:rsidP="00B9206D" w:rsidR="00B9206D" w:rsidRDefault="00B9206D" w:rsidRPr="0056284F">
      <w:pPr>
        <w:jc w:val="right"/>
        <w:rPr>
          <w:rFonts w:ascii="Candara" w:cs="Arial" w:hAnsi="Candara"/>
          <w:sz w:val="22"/>
          <w:szCs w:val="22"/>
        </w:rPr>
      </w:pPr>
      <w:r w:rsidRPr="0056284F">
        <w:rPr>
          <w:rFonts w:ascii="Candara" w:cs="Arial" w:hAnsi="Candara"/>
          <w:sz w:val="22"/>
          <w:szCs w:val="22"/>
        </w:rPr>
        <w:t xml:space="preserve">D’une part, </w:t>
      </w:r>
    </w:p>
    <w:p w14:paraId="079598F3" w14:textId="77777777" w:rsidP="00B9206D" w:rsidR="00B9206D" w:rsidRDefault="00B9206D" w:rsidRPr="0056284F">
      <w:pPr>
        <w:jc w:val="both"/>
        <w:rPr>
          <w:rFonts w:ascii="Candara" w:cs="Arial" w:hAnsi="Candara"/>
          <w:sz w:val="22"/>
          <w:szCs w:val="22"/>
        </w:rPr>
      </w:pPr>
    </w:p>
    <w:p w14:paraId="111957DB" w14:textId="77777777" w:rsidP="00B9206D" w:rsidR="00B9206D" w:rsidRDefault="00B9206D" w:rsidRPr="0056284F">
      <w:pPr>
        <w:jc w:val="both"/>
        <w:rPr>
          <w:rFonts w:ascii="Candara" w:cs="Arial" w:hAnsi="Candara"/>
          <w:b/>
          <w:sz w:val="22"/>
          <w:szCs w:val="22"/>
          <w:u w:val="single"/>
        </w:rPr>
      </w:pPr>
      <w:r w:rsidRPr="0056284F">
        <w:rPr>
          <w:rFonts w:ascii="Candara" w:cs="Arial" w:hAnsi="Candara"/>
          <w:b/>
          <w:sz w:val="22"/>
          <w:szCs w:val="22"/>
          <w:u w:val="single"/>
        </w:rPr>
        <w:t>Et</w:t>
      </w:r>
    </w:p>
    <w:p w14:paraId="144C1B2B" w14:textId="77777777" w:rsidP="00B9206D" w:rsidR="00B9206D" w:rsidRDefault="00B9206D" w:rsidRPr="0056284F">
      <w:pPr>
        <w:jc w:val="both"/>
        <w:rPr>
          <w:rFonts w:ascii="Candara" w:cs="Arial" w:hAnsi="Candara"/>
          <w:sz w:val="22"/>
          <w:szCs w:val="22"/>
        </w:rPr>
      </w:pPr>
    </w:p>
    <w:p w14:paraId="1EBF8813" w14:textId="77777777" w:rsidP="004349FB" w:rsidR="004349FB" w:rsidRDefault="004349FB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Les Organisations Syndicales représentatives dans l’entreprise, représentées respectivement par leurs Délégués Syndicaux, dûment mandatés : </w:t>
      </w:r>
    </w:p>
    <w:p w14:paraId="34D3F654" w14:textId="4C9046FF" w:rsidP="004349FB" w:rsidR="004349FB" w:rsidRDefault="004349FB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 syndicat CFDT représenté par </w:t>
      </w:r>
      <w:r w:rsidR="00AE5540">
        <w:rPr>
          <w:rFonts w:ascii="Candara" w:hAnsi="Candara"/>
          <w:color w:val="000000"/>
          <w:sz w:val="22"/>
          <w:szCs w:val="22"/>
        </w:rPr>
        <w:t>XXX</w:t>
      </w:r>
      <w:r w:rsidR="00AE5540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Pr="0056284F">
        <w:rPr>
          <w:rFonts w:ascii="Candara" w:hAnsi="Candara"/>
          <w:color w:val="000000"/>
          <w:sz w:val="22"/>
          <w:szCs w:val="22"/>
        </w:rPr>
        <w:t>en sa qualité de Délégué Syndical ;</w:t>
      </w:r>
    </w:p>
    <w:p w14:paraId="429DBB8C" w14:textId="6A3AB46C" w:rsidP="004349FB" w:rsidR="004349FB" w:rsidRDefault="004349FB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 syndicat CGT représenté par </w:t>
      </w:r>
      <w:r w:rsidR="00AE5540">
        <w:rPr>
          <w:rFonts w:ascii="Candara" w:hAnsi="Candara"/>
          <w:color w:val="000000"/>
          <w:sz w:val="22"/>
          <w:szCs w:val="22"/>
        </w:rPr>
        <w:t>XXX</w:t>
      </w:r>
      <w:r w:rsidR="00AE5540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Pr="0056284F">
        <w:rPr>
          <w:rFonts w:ascii="Candara" w:hAnsi="Candara"/>
          <w:color w:val="000000"/>
          <w:sz w:val="22"/>
          <w:szCs w:val="22"/>
        </w:rPr>
        <w:t xml:space="preserve">en sa qualité de Délégué Syndical ; </w:t>
      </w:r>
    </w:p>
    <w:p w14:paraId="3C833C6B" w14:textId="77777777" w:rsidP="00B9206D" w:rsidR="00B9206D" w:rsidRDefault="00B9206D" w:rsidRPr="0056284F">
      <w:pPr>
        <w:jc w:val="both"/>
        <w:rPr>
          <w:rFonts w:ascii="Candara" w:cs="Arial" w:hAnsi="Candara"/>
          <w:sz w:val="22"/>
          <w:szCs w:val="22"/>
        </w:rPr>
      </w:pPr>
    </w:p>
    <w:p w14:paraId="11B1AF17" w14:textId="77777777" w:rsidP="00B9206D" w:rsidR="00B9206D" w:rsidRDefault="00B9206D" w:rsidRPr="0056284F">
      <w:pPr>
        <w:ind w:firstLine="708"/>
        <w:jc w:val="right"/>
        <w:rPr>
          <w:rFonts w:ascii="Candara" w:cs="Arial" w:hAnsi="Candara"/>
          <w:sz w:val="22"/>
          <w:szCs w:val="22"/>
        </w:rPr>
      </w:pPr>
      <w:r w:rsidRPr="0056284F">
        <w:rPr>
          <w:rFonts w:ascii="Candara" w:cs="Arial" w:hAnsi="Candara"/>
          <w:sz w:val="22"/>
          <w:szCs w:val="22"/>
        </w:rPr>
        <w:t xml:space="preserve">D’autre part. </w:t>
      </w:r>
    </w:p>
    <w:p w14:paraId="7AEFA185" w14:textId="77777777" w:rsidP="00B9206D" w:rsidR="00B9206D" w:rsidRDefault="00B9206D" w:rsidRPr="0056284F">
      <w:pPr>
        <w:tabs>
          <w:tab w:pos="1134" w:val="left"/>
          <w:tab w:pos="2835" w:val="left"/>
        </w:tabs>
        <w:jc w:val="both"/>
        <w:rPr>
          <w:rFonts w:ascii="Arial" w:cs="Arial" w:hAnsi="Arial"/>
          <w:sz w:val="22"/>
          <w:szCs w:val="22"/>
        </w:rPr>
      </w:pPr>
    </w:p>
    <w:p w14:paraId="67178E60" w14:textId="77777777" w:rsidP="00C66EAF" w:rsidR="00C66EAF" w:rsidRDefault="00C66EAF" w:rsidRPr="0056284F">
      <w:pPr>
        <w:tabs>
          <w:tab w:pos="3706" w:val="left"/>
        </w:tabs>
        <w:rPr>
          <w:rFonts w:ascii="Candara" w:hAnsi="Candara"/>
          <w:color w:val="000000"/>
          <w:sz w:val="22"/>
          <w:szCs w:val="22"/>
        </w:rPr>
      </w:pPr>
    </w:p>
    <w:p w14:paraId="0FF5D425" w14:textId="3C6E97BB" w:rsidP="00895D78" w:rsidR="00895D78" w:rsidRDefault="00AD5E8A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Aux termes</w:t>
      </w:r>
      <w:r w:rsidR="00C66EAF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2370B6" w:rsidRPr="0056284F">
        <w:rPr>
          <w:rFonts w:ascii="Candara" w:hAnsi="Candara"/>
          <w:color w:val="000000"/>
          <w:sz w:val="22"/>
          <w:szCs w:val="22"/>
        </w:rPr>
        <w:t xml:space="preserve">de l’accord Négociations Annuelles Obligatoires </w:t>
      </w:r>
      <w:r w:rsidRPr="0056284F">
        <w:rPr>
          <w:rFonts w:ascii="Candara" w:hAnsi="Candara"/>
          <w:color w:val="000000"/>
          <w:sz w:val="22"/>
          <w:szCs w:val="22"/>
        </w:rPr>
        <w:t>2022</w:t>
      </w:r>
      <w:r w:rsidR="00C66EAF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Pr="0056284F">
        <w:rPr>
          <w:rFonts w:ascii="Candara" w:hAnsi="Candara"/>
          <w:color w:val="000000"/>
          <w:sz w:val="22"/>
          <w:szCs w:val="22"/>
        </w:rPr>
        <w:t>en date du</w:t>
      </w:r>
      <w:r w:rsidR="0063465C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2275A7" w:rsidRPr="0056284F">
        <w:rPr>
          <w:rFonts w:ascii="Candara" w:hAnsi="Candara"/>
          <w:color w:val="000000"/>
          <w:sz w:val="22"/>
          <w:szCs w:val="22"/>
        </w:rPr>
        <w:t>17</w:t>
      </w:r>
      <w:r w:rsidR="00697F45" w:rsidRPr="0056284F">
        <w:rPr>
          <w:rFonts w:ascii="Candara" w:hAnsi="Candara"/>
          <w:color w:val="000000"/>
          <w:sz w:val="22"/>
          <w:szCs w:val="22"/>
        </w:rPr>
        <w:t xml:space="preserve"> juin 2022</w:t>
      </w:r>
      <w:r w:rsidRPr="0056284F">
        <w:rPr>
          <w:rFonts w:ascii="Candara" w:hAnsi="Candara"/>
          <w:color w:val="000000"/>
          <w:sz w:val="22"/>
          <w:szCs w:val="22"/>
        </w:rPr>
        <w:t>,</w:t>
      </w:r>
      <w:r w:rsidR="00697F45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C66EAF" w:rsidRPr="0056284F">
        <w:rPr>
          <w:rFonts w:ascii="Candara" w:hAnsi="Candara"/>
          <w:color w:val="000000"/>
          <w:sz w:val="22"/>
          <w:szCs w:val="22"/>
        </w:rPr>
        <w:t xml:space="preserve">les parties </w:t>
      </w:r>
      <w:r w:rsidR="00895D78" w:rsidRPr="0056284F">
        <w:rPr>
          <w:rFonts w:ascii="Candara" w:hAnsi="Candara"/>
          <w:color w:val="000000"/>
          <w:sz w:val="22"/>
          <w:szCs w:val="22"/>
        </w:rPr>
        <w:t>avai</w:t>
      </w:r>
      <w:r w:rsidR="008F63A5" w:rsidRPr="0056284F">
        <w:rPr>
          <w:rFonts w:ascii="Candara" w:hAnsi="Candara"/>
          <w:color w:val="000000"/>
          <w:sz w:val="22"/>
          <w:szCs w:val="22"/>
        </w:rPr>
        <w:t>en</w:t>
      </w:r>
      <w:r w:rsidR="00895D78" w:rsidRPr="0056284F">
        <w:rPr>
          <w:rFonts w:ascii="Candara" w:hAnsi="Candara"/>
          <w:color w:val="000000"/>
          <w:sz w:val="22"/>
          <w:szCs w:val="22"/>
        </w:rPr>
        <w:t>t</w:t>
      </w:r>
      <w:r w:rsidR="00C66EAF" w:rsidRPr="0056284F">
        <w:rPr>
          <w:rFonts w:ascii="Candara" w:hAnsi="Candara"/>
          <w:color w:val="000000"/>
          <w:sz w:val="22"/>
          <w:szCs w:val="22"/>
        </w:rPr>
        <w:t xml:space="preserve"> convenu et arrêté</w:t>
      </w:r>
      <w:r w:rsidR="00644AD3" w:rsidRPr="0056284F">
        <w:rPr>
          <w:rFonts w:ascii="Candara" w:hAnsi="Candara"/>
          <w:color w:val="000000"/>
          <w:sz w:val="22"/>
          <w:szCs w:val="22"/>
        </w:rPr>
        <w:t xml:space="preserve"> de déclencher</w:t>
      </w:r>
      <w:r w:rsidR="00C66EAF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895D78" w:rsidRPr="0056284F">
        <w:rPr>
          <w:rFonts w:ascii="Candara" w:hAnsi="Candara"/>
          <w:color w:val="000000"/>
          <w:sz w:val="22"/>
          <w:szCs w:val="22"/>
        </w:rPr>
        <w:t>une clause de revoyure</w:t>
      </w:r>
      <w:r w:rsidR="00F07307" w:rsidRPr="0056284F">
        <w:rPr>
          <w:rFonts w:ascii="Candara" w:hAnsi="Candara"/>
          <w:color w:val="000000"/>
          <w:sz w:val="22"/>
          <w:szCs w:val="22"/>
        </w:rPr>
        <w:t xml:space="preserve">, concernant la renégociation de l’augmentation des salaires, </w:t>
      </w:r>
      <w:r w:rsidR="00895D78" w:rsidRPr="0056284F">
        <w:rPr>
          <w:rFonts w:ascii="Candara" w:hAnsi="Candara"/>
          <w:color w:val="000000"/>
          <w:sz w:val="22"/>
          <w:szCs w:val="22"/>
        </w:rPr>
        <w:t>durant le dernier trimestre 2022 en cas d</w:t>
      </w:r>
      <w:r w:rsidR="00CA4B6F" w:rsidRPr="0056284F">
        <w:rPr>
          <w:rFonts w:ascii="Candara" w:hAnsi="Candara"/>
          <w:color w:val="000000"/>
          <w:sz w:val="22"/>
          <w:szCs w:val="22"/>
        </w:rPr>
        <w:t>e nouvelle</w:t>
      </w:r>
      <w:r w:rsidR="00895D78" w:rsidRPr="0056284F">
        <w:rPr>
          <w:rFonts w:ascii="Candara" w:hAnsi="Candara"/>
          <w:color w:val="000000"/>
          <w:sz w:val="22"/>
          <w:szCs w:val="22"/>
        </w:rPr>
        <w:t xml:space="preserve"> progression de l’inflation</w:t>
      </w:r>
      <w:r w:rsidR="00F07307" w:rsidRPr="0056284F">
        <w:rPr>
          <w:rFonts w:ascii="Candara" w:hAnsi="Candara"/>
          <w:color w:val="000000"/>
          <w:sz w:val="22"/>
          <w:szCs w:val="22"/>
        </w:rPr>
        <w:t>.</w:t>
      </w:r>
    </w:p>
    <w:p w14:paraId="50228513" w14:textId="77777777" w:rsidP="00C66EAF" w:rsidR="00EE70A7" w:rsidRDefault="00EE70A7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6CEB2C01" w14:textId="17E8B6B6" w:rsidP="00D41283" w:rsidR="002D1D73" w:rsidRDefault="00593896" w:rsidRPr="00D41283">
      <w:pPr>
        <w:tabs>
          <w:tab w:pos="3706" w:val="left"/>
        </w:tabs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Dans ce cadre, les parties se sont réuni</w:t>
      </w:r>
      <w:r w:rsidR="00CA4B6F" w:rsidRPr="0056284F">
        <w:rPr>
          <w:rFonts w:ascii="Candara" w:hAnsi="Candara"/>
          <w:color w:val="000000"/>
          <w:sz w:val="22"/>
          <w:szCs w:val="22"/>
        </w:rPr>
        <w:t>es</w:t>
      </w:r>
      <w:r w:rsidRPr="0056284F">
        <w:rPr>
          <w:rFonts w:ascii="Candara" w:hAnsi="Candara"/>
          <w:color w:val="000000"/>
          <w:sz w:val="22"/>
          <w:szCs w:val="22"/>
        </w:rPr>
        <w:t xml:space="preserve"> le </w:t>
      </w:r>
      <w:r w:rsidR="00156C89" w:rsidRPr="0056284F">
        <w:rPr>
          <w:rFonts w:ascii="Candara" w:hAnsi="Candara"/>
          <w:color w:val="000000"/>
          <w:sz w:val="22"/>
          <w:szCs w:val="22"/>
        </w:rPr>
        <w:t>22</w:t>
      </w:r>
      <w:r w:rsidRPr="0056284F">
        <w:rPr>
          <w:rFonts w:ascii="Candara" w:hAnsi="Candara"/>
          <w:color w:val="000000"/>
          <w:sz w:val="22"/>
          <w:szCs w:val="22"/>
        </w:rPr>
        <w:t xml:space="preserve"> novembre 202</w:t>
      </w:r>
      <w:r w:rsidR="002D1D73" w:rsidRPr="0056284F">
        <w:rPr>
          <w:rFonts w:ascii="Candara" w:hAnsi="Candara"/>
          <w:color w:val="000000"/>
          <w:sz w:val="22"/>
          <w:szCs w:val="22"/>
        </w:rPr>
        <w:t>2</w:t>
      </w:r>
      <w:r w:rsidR="00CA4B6F" w:rsidRPr="0056284F">
        <w:rPr>
          <w:rFonts w:ascii="Candara" w:hAnsi="Candara"/>
          <w:color w:val="000000"/>
          <w:sz w:val="22"/>
          <w:szCs w:val="22"/>
        </w:rPr>
        <w:t xml:space="preserve">. </w:t>
      </w:r>
    </w:p>
    <w:p w14:paraId="6166EA2F" w14:textId="77777777" w:rsidP="002D1D73" w:rsidR="002D1D73" w:rsidRDefault="002D1D73" w:rsidRPr="0056284F">
      <w:pPr>
        <w:jc w:val="both"/>
        <w:rPr>
          <w:rFonts w:ascii="Candara" w:hAnsi="Candara"/>
          <w:color w:val="000000"/>
          <w:sz w:val="22"/>
          <w:szCs w:val="22"/>
          <w:u w:val="single"/>
        </w:rPr>
      </w:pPr>
    </w:p>
    <w:p w14:paraId="15040F63" w14:textId="77777777" w:rsidP="002D1D73" w:rsidR="002D1D73" w:rsidRDefault="002D1D73" w:rsidRPr="0056284F">
      <w:pPr>
        <w:jc w:val="both"/>
        <w:rPr>
          <w:rFonts w:ascii="Candara" w:hAnsi="Candara"/>
          <w:color w:val="000000"/>
          <w:sz w:val="22"/>
          <w:szCs w:val="22"/>
          <w:u w:val="single"/>
        </w:rPr>
      </w:pPr>
      <w:r w:rsidRPr="0056284F">
        <w:rPr>
          <w:rFonts w:ascii="Candara" w:hAnsi="Candara"/>
          <w:color w:val="000000"/>
          <w:sz w:val="22"/>
          <w:szCs w:val="22"/>
          <w:u w:val="single"/>
        </w:rPr>
        <w:t xml:space="preserve">Il a été convenu ce qui suit : </w:t>
      </w:r>
    </w:p>
    <w:p w14:paraId="64EAF4D5" w14:textId="77777777" w:rsidP="00C66EAF" w:rsidR="00EE70A7" w:rsidRDefault="00EE70A7" w:rsidRPr="0056284F">
      <w:pPr>
        <w:jc w:val="both"/>
        <w:rPr>
          <w:rFonts w:ascii="Arial" w:cs="Arial" w:hAnsi="Arial"/>
          <w:sz w:val="22"/>
          <w:szCs w:val="22"/>
        </w:rPr>
      </w:pPr>
    </w:p>
    <w:p w14:paraId="4AB8F511" w14:textId="77777777" w:rsidP="00B9206D" w:rsidR="00CC5321" w:rsidRDefault="00CC5321" w:rsidRPr="0056284F">
      <w:pPr>
        <w:ind w:left="142"/>
        <w:jc w:val="both"/>
        <w:rPr>
          <w:rFonts w:ascii="Arial" w:cs="Arial" w:hAnsi="Arial"/>
        </w:rPr>
      </w:pPr>
    </w:p>
    <w:p w14:paraId="349E7C5F" w14:textId="77777777" w:rsidP="00C66EAF" w:rsidR="00C66EAF" w:rsidRDefault="00C66EAF" w:rsidRPr="0056284F">
      <w:pPr>
        <w:jc w:val="both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ARTICLE 1 : CHAMP D’APPLICATION DE</w:t>
      </w:r>
      <w:r w:rsidRPr="0056284F">
        <w:rPr>
          <w:rFonts w:ascii="Arial" w:cs="Arial" w:hAnsi="Arial"/>
          <w:b/>
          <w:u w:val="single"/>
        </w:rPr>
        <w:t xml:space="preserve"> </w:t>
      </w: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L’ACCORD</w:t>
      </w:r>
    </w:p>
    <w:p w14:paraId="3F161144" w14:textId="77777777" w:rsidP="00C66EAF" w:rsidR="00C66EAF" w:rsidRDefault="00C66EAF" w:rsidRPr="0056284F">
      <w:pPr>
        <w:jc w:val="both"/>
        <w:rPr>
          <w:rFonts w:ascii="Candara" w:cstheme="minorBidi" w:eastAsiaTheme="minorHAnsi" w:hAnsi="Candara"/>
          <w:b/>
          <w:color w:val="0070C0"/>
          <w:sz w:val="22"/>
          <w:szCs w:val="22"/>
          <w:u w:val="single"/>
          <w:lang w:eastAsia="en-US"/>
        </w:rPr>
      </w:pPr>
    </w:p>
    <w:p w14:paraId="4CA145DA" w14:textId="1495A4E9" w:rsidP="00C66EAF" w:rsidR="00C66EAF" w:rsidRDefault="00C66EAF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 présent accord s’applique à la société </w:t>
      </w:r>
      <w:r w:rsidR="00156C89" w:rsidRPr="0056284F">
        <w:rPr>
          <w:rFonts w:ascii="Candara" w:hAnsi="Candara"/>
          <w:color w:val="000000"/>
          <w:sz w:val="22"/>
          <w:szCs w:val="22"/>
        </w:rPr>
        <w:t xml:space="preserve">NOVADIS </w:t>
      </w:r>
      <w:r w:rsidRPr="0056284F">
        <w:rPr>
          <w:rFonts w:ascii="Candara" w:hAnsi="Candara"/>
          <w:color w:val="000000"/>
          <w:sz w:val="22"/>
          <w:szCs w:val="22"/>
        </w:rPr>
        <w:t>et au personnel qui y est rattaché</w:t>
      </w:r>
      <w:r w:rsidR="00E55AF4" w:rsidRPr="0056284F">
        <w:rPr>
          <w:rFonts w:ascii="Candara" w:hAnsi="Candara"/>
          <w:color w:val="000000"/>
          <w:sz w:val="22"/>
          <w:szCs w:val="22"/>
        </w:rPr>
        <w:t xml:space="preserve"> à compter du 1er </w:t>
      </w:r>
      <w:r w:rsidR="00540852" w:rsidRPr="0056284F">
        <w:rPr>
          <w:rFonts w:ascii="Candara" w:hAnsi="Candara"/>
          <w:color w:val="000000"/>
          <w:sz w:val="22"/>
          <w:szCs w:val="22"/>
        </w:rPr>
        <w:t>octobre</w:t>
      </w:r>
      <w:r w:rsidR="00F42D19" w:rsidRPr="0056284F">
        <w:rPr>
          <w:rFonts w:ascii="Candara" w:hAnsi="Candara"/>
          <w:color w:val="000000"/>
          <w:sz w:val="22"/>
          <w:szCs w:val="22"/>
        </w:rPr>
        <w:t xml:space="preserve"> 2022.</w:t>
      </w:r>
    </w:p>
    <w:p w14:paraId="6201A877" w14:textId="6CFBB189" w:rsidP="00B9206D" w:rsidR="00CC5321" w:rsidRDefault="00CC5321" w:rsidRPr="0056284F">
      <w:pPr>
        <w:ind w:left="142"/>
        <w:jc w:val="both"/>
        <w:rPr>
          <w:rFonts w:ascii="Arial" w:cs="Arial" w:hAnsi="Arial"/>
          <w:sz w:val="22"/>
          <w:szCs w:val="22"/>
        </w:rPr>
      </w:pPr>
    </w:p>
    <w:p w14:paraId="0ED6D7AC" w14:textId="77777777" w:rsidP="00B9206D" w:rsidR="006859F4" w:rsidRDefault="006859F4" w:rsidRPr="0056284F">
      <w:pPr>
        <w:ind w:left="142"/>
        <w:jc w:val="both"/>
        <w:rPr>
          <w:rFonts w:ascii="Arial" w:cs="Arial" w:hAnsi="Arial"/>
          <w:sz w:val="22"/>
          <w:szCs w:val="22"/>
        </w:rPr>
      </w:pPr>
    </w:p>
    <w:p w14:paraId="74A8C920" w14:textId="11D98E29" w:rsidP="00B9206D" w:rsidR="00B9206D" w:rsidRDefault="00C66EAF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ARTICLE 2 : </w:t>
      </w:r>
      <w:r w:rsidR="001E541A"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AUGMENTATION DES SALAIRES</w:t>
      </w:r>
    </w:p>
    <w:p w14:paraId="432F3FB0" w14:textId="77777777" w:rsidP="00B9206D" w:rsidR="00C66EAF" w:rsidRDefault="00C66EAF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06AB2C37" w14:textId="3A693153" w:rsidP="008E7425" w:rsidR="00C66EAF" w:rsidRDefault="00943F84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Au</w:t>
      </w:r>
      <w:r w:rsidR="008E7425" w:rsidRPr="0056284F">
        <w:rPr>
          <w:rFonts w:ascii="Candara" w:hAnsi="Candara"/>
          <w:color w:val="000000"/>
          <w:sz w:val="22"/>
          <w:szCs w:val="22"/>
        </w:rPr>
        <w:t>x</w:t>
      </w:r>
      <w:r w:rsidRPr="0056284F">
        <w:rPr>
          <w:rFonts w:ascii="Candara" w:hAnsi="Candara"/>
          <w:color w:val="000000"/>
          <w:sz w:val="22"/>
          <w:szCs w:val="22"/>
        </w:rPr>
        <w:t xml:space="preserve"> terme</w:t>
      </w:r>
      <w:r w:rsidR="008E7425" w:rsidRPr="0056284F">
        <w:rPr>
          <w:rFonts w:ascii="Candara" w:hAnsi="Candara"/>
          <w:color w:val="000000"/>
          <w:sz w:val="22"/>
          <w:szCs w:val="22"/>
        </w:rPr>
        <w:t>s</w:t>
      </w:r>
      <w:r w:rsidRPr="0056284F">
        <w:rPr>
          <w:rFonts w:ascii="Candara" w:hAnsi="Candara"/>
          <w:color w:val="000000"/>
          <w:sz w:val="22"/>
          <w:szCs w:val="22"/>
        </w:rPr>
        <w:t xml:space="preserve"> des discussions, la Direction et les Organisations Syndicales se sont mis d’accord sur l’augmentation du salaire mensuel brut de base (151.67 heures) selon les modalités suivantes : </w:t>
      </w:r>
    </w:p>
    <w:p w14:paraId="6FCBF552" w14:textId="77777777" w:rsidP="008E7425" w:rsidR="00943F84" w:rsidRDefault="00943F84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7E8F4598" w14:textId="67CC735B" w:rsidP="008E7425" w:rsidR="00943F84" w:rsidRDefault="00943F84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Bénéficiaires : salarié de statut ouvriers</w:t>
      </w:r>
      <w:r w:rsidR="00697F45" w:rsidRPr="0056284F">
        <w:rPr>
          <w:rFonts w:ascii="Candara" w:hAnsi="Candara"/>
          <w:color w:val="000000"/>
          <w:sz w:val="22"/>
          <w:szCs w:val="22"/>
        </w:rPr>
        <w:t xml:space="preserve">, </w:t>
      </w:r>
      <w:r w:rsidRPr="0056284F">
        <w:rPr>
          <w:rFonts w:ascii="Candara" w:hAnsi="Candara"/>
          <w:color w:val="000000"/>
          <w:sz w:val="22"/>
          <w:szCs w:val="22"/>
        </w:rPr>
        <w:t>employés</w:t>
      </w:r>
      <w:r w:rsidR="00E83B4D" w:rsidRPr="0056284F">
        <w:rPr>
          <w:rFonts w:ascii="Candara" w:hAnsi="Candara"/>
          <w:color w:val="000000"/>
          <w:sz w:val="22"/>
          <w:szCs w:val="22"/>
        </w:rPr>
        <w:t xml:space="preserve">, Techniciens </w:t>
      </w:r>
      <w:r w:rsidR="00697F45" w:rsidRPr="0056284F">
        <w:rPr>
          <w:rFonts w:ascii="Candara" w:hAnsi="Candara"/>
          <w:color w:val="000000"/>
          <w:sz w:val="22"/>
          <w:szCs w:val="22"/>
        </w:rPr>
        <w:t xml:space="preserve">et </w:t>
      </w:r>
      <w:r w:rsidR="0043604D" w:rsidRPr="0056284F">
        <w:rPr>
          <w:rFonts w:ascii="Candara" w:hAnsi="Candara"/>
          <w:color w:val="000000"/>
          <w:sz w:val="22"/>
          <w:szCs w:val="22"/>
        </w:rPr>
        <w:t>A</w:t>
      </w:r>
      <w:r w:rsidR="00697F45" w:rsidRPr="0056284F">
        <w:rPr>
          <w:rFonts w:ascii="Candara" w:hAnsi="Candara"/>
          <w:color w:val="000000"/>
          <w:sz w:val="22"/>
          <w:szCs w:val="22"/>
        </w:rPr>
        <w:t>gents de maîtrise</w:t>
      </w:r>
      <w:r w:rsidR="005D0B88" w:rsidRPr="0056284F">
        <w:rPr>
          <w:rFonts w:ascii="Candara" w:hAnsi="Candara"/>
          <w:color w:val="000000"/>
          <w:sz w:val="22"/>
          <w:szCs w:val="22"/>
        </w:rPr>
        <w:t xml:space="preserve"> (hors </w:t>
      </w:r>
      <w:r w:rsidR="00356B50" w:rsidRPr="0056284F">
        <w:rPr>
          <w:rFonts w:ascii="Candara" w:hAnsi="Candara"/>
          <w:color w:val="000000"/>
          <w:sz w:val="22"/>
          <w:szCs w:val="22"/>
        </w:rPr>
        <w:t>apprentis)</w:t>
      </w:r>
    </w:p>
    <w:p w14:paraId="596DCD55" w14:textId="12616947" w:rsidP="008E7425" w:rsidR="00934814" w:rsidRDefault="00934814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Montant : il est prévu une augmentation générale </w:t>
      </w:r>
      <w:r w:rsidR="00F0418F" w:rsidRPr="0056284F">
        <w:rPr>
          <w:rFonts w:ascii="Candara" w:hAnsi="Candara"/>
          <w:color w:val="000000"/>
          <w:sz w:val="22"/>
          <w:szCs w:val="22"/>
        </w:rPr>
        <w:t xml:space="preserve">de </w:t>
      </w:r>
      <w:r w:rsidR="00F94D98" w:rsidRPr="0056284F">
        <w:rPr>
          <w:rFonts w:ascii="Candara" w:hAnsi="Candara"/>
          <w:color w:val="000000"/>
          <w:sz w:val="22"/>
          <w:szCs w:val="22"/>
        </w:rPr>
        <w:t>38,</w:t>
      </w:r>
      <w:r w:rsidR="00AC2C3C" w:rsidRPr="0056284F">
        <w:rPr>
          <w:rFonts w:ascii="Candara" w:hAnsi="Candara"/>
          <w:color w:val="000000"/>
          <w:sz w:val="22"/>
          <w:szCs w:val="22"/>
        </w:rPr>
        <w:t>46 euros brut par mois</w:t>
      </w:r>
    </w:p>
    <w:p w14:paraId="436BF2C7" w14:textId="07B63351" w:rsidP="008E7425" w:rsidR="00697F45" w:rsidRDefault="00934814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lastRenderedPageBreak/>
        <w:t>Date d’application : cette augmentation générale s’appliquera à compter du 1er</w:t>
      </w:r>
      <w:r w:rsidR="00F42D19"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AC2C3C" w:rsidRPr="0056284F">
        <w:rPr>
          <w:rFonts w:ascii="Candara" w:hAnsi="Candara"/>
          <w:color w:val="000000"/>
          <w:sz w:val="22"/>
          <w:szCs w:val="22"/>
        </w:rPr>
        <w:t>octobre</w:t>
      </w:r>
      <w:r w:rsidRPr="0056284F">
        <w:rPr>
          <w:rFonts w:ascii="Candara" w:hAnsi="Candara"/>
          <w:color w:val="000000"/>
          <w:sz w:val="22"/>
          <w:szCs w:val="22"/>
        </w:rPr>
        <w:t xml:space="preserve"> 202</w:t>
      </w:r>
      <w:r w:rsidR="00696114" w:rsidRPr="0056284F">
        <w:rPr>
          <w:rFonts w:ascii="Candara" w:hAnsi="Candara"/>
          <w:color w:val="000000"/>
          <w:sz w:val="22"/>
          <w:szCs w:val="22"/>
        </w:rPr>
        <w:t>2</w:t>
      </w:r>
      <w:r w:rsidRPr="0056284F">
        <w:rPr>
          <w:rFonts w:ascii="Candara" w:hAnsi="Candara"/>
          <w:color w:val="000000"/>
          <w:sz w:val="22"/>
          <w:szCs w:val="22"/>
        </w:rPr>
        <w:t xml:space="preserve">. </w:t>
      </w:r>
    </w:p>
    <w:p w14:paraId="6CBEB504" w14:textId="0431192B" w:rsidP="008E7425" w:rsidR="007D70B8" w:rsidRDefault="007D70B8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6A9F26C3" w14:textId="2AD2552E" w:rsidP="008E7425" w:rsidR="007D70B8" w:rsidRDefault="007D70B8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La Direction rappelle que cette augmentation vient en complément de l’augmentation de salaire octroy</w:t>
      </w:r>
      <w:r w:rsidR="00F42D19" w:rsidRPr="0056284F">
        <w:rPr>
          <w:rFonts w:ascii="Candara" w:hAnsi="Candara"/>
          <w:color w:val="000000"/>
          <w:sz w:val="22"/>
          <w:szCs w:val="22"/>
        </w:rPr>
        <w:t>ée</w:t>
      </w:r>
      <w:r w:rsidRPr="0056284F">
        <w:rPr>
          <w:rFonts w:ascii="Candara" w:hAnsi="Candara"/>
          <w:color w:val="000000"/>
          <w:sz w:val="22"/>
          <w:szCs w:val="22"/>
        </w:rPr>
        <w:t xml:space="preserve"> lors des NAO </w:t>
      </w:r>
      <w:r w:rsidR="00F42D19" w:rsidRPr="0056284F">
        <w:rPr>
          <w:rFonts w:ascii="Candara" w:hAnsi="Candara"/>
          <w:color w:val="000000"/>
          <w:sz w:val="22"/>
          <w:szCs w:val="22"/>
        </w:rPr>
        <w:t>anticipées</w:t>
      </w:r>
      <w:r w:rsidRPr="0056284F">
        <w:rPr>
          <w:rFonts w:ascii="Candara" w:hAnsi="Candara"/>
          <w:color w:val="000000"/>
          <w:sz w:val="22"/>
          <w:szCs w:val="22"/>
        </w:rPr>
        <w:t xml:space="preserve"> 2022, signée</w:t>
      </w:r>
      <w:r w:rsidR="00F42D19" w:rsidRPr="0056284F">
        <w:rPr>
          <w:rFonts w:ascii="Candara" w:hAnsi="Candara"/>
          <w:color w:val="000000"/>
          <w:sz w:val="22"/>
          <w:szCs w:val="22"/>
        </w:rPr>
        <w:t>s</w:t>
      </w:r>
      <w:r w:rsidRPr="0056284F">
        <w:rPr>
          <w:rFonts w:ascii="Candara" w:hAnsi="Candara"/>
          <w:color w:val="000000"/>
          <w:sz w:val="22"/>
          <w:szCs w:val="22"/>
        </w:rPr>
        <w:t xml:space="preserve"> en décembre 2021 pour une application en janvier 2022</w:t>
      </w:r>
      <w:r w:rsidR="00F8358A" w:rsidRPr="0056284F">
        <w:rPr>
          <w:rFonts w:ascii="Candara" w:hAnsi="Candara"/>
          <w:color w:val="000000"/>
          <w:sz w:val="22"/>
          <w:szCs w:val="22"/>
        </w:rPr>
        <w:t>,</w:t>
      </w:r>
      <w:r w:rsidR="00E93925" w:rsidRPr="0056284F">
        <w:rPr>
          <w:rFonts w:ascii="Candara" w:hAnsi="Candara"/>
          <w:color w:val="000000"/>
          <w:sz w:val="22"/>
          <w:szCs w:val="22"/>
        </w:rPr>
        <w:t xml:space="preserve"> ainsi que l’augmentation de salaire octroyée lors des NAO 2022 signées en </w:t>
      </w:r>
      <w:r w:rsidR="006A7D74" w:rsidRPr="0056284F">
        <w:rPr>
          <w:rFonts w:ascii="Candara" w:hAnsi="Candara"/>
          <w:color w:val="000000"/>
          <w:sz w:val="22"/>
          <w:szCs w:val="22"/>
        </w:rPr>
        <w:t>juin 2022 pour une application en juillet 2022</w:t>
      </w:r>
      <w:r w:rsidRPr="0056284F">
        <w:rPr>
          <w:rFonts w:ascii="Candara" w:hAnsi="Candara"/>
          <w:color w:val="000000"/>
          <w:sz w:val="22"/>
          <w:szCs w:val="22"/>
        </w:rPr>
        <w:t xml:space="preserve">. </w:t>
      </w:r>
    </w:p>
    <w:p w14:paraId="17DB9807" w14:textId="77777777" w:rsidP="008E7425" w:rsidR="00E84614" w:rsidRDefault="00E84614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5D92E197" w14:textId="7B3B7DC4" w:rsidP="008E7425" w:rsidR="00943F84" w:rsidRDefault="00934814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Pour les salariés à temps partiel, les parties conviennent que cette augmentation générale des salaires sera versée au prorata de leurs temps de travail. </w:t>
      </w:r>
    </w:p>
    <w:p w14:paraId="3454B899" w14:textId="313A8ABE" w:rsidP="008E7425" w:rsidR="00697F45" w:rsidRDefault="00697F45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362E80BB" w14:textId="22EFA161" w:rsidP="008E7425" w:rsidR="00934814" w:rsidRDefault="00697F45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Enfin, les parties rappellent que tous les collaborateurs intégrant l’entreprise postérieurement à la signature </w:t>
      </w:r>
      <w:r w:rsidR="00EC7230" w:rsidRPr="0056284F">
        <w:rPr>
          <w:rFonts w:ascii="Candara" w:hAnsi="Candara"/>
          <w:color w:val="000000"/>
          <w:sz w:val="22"/>
          <w:szCs w:val="22"/>
        </w:rPr>
        <w:t xml:space="preserve">présent accord </w:t>
      </w:r>
      <w:r w:rsidRPr="0056284F">
        <w:rPr>
          <w:rFonts w:ascii="Candara" w:hAnsi="Candara"/>
          <w:color w:val="000000"/>
          <w:sz w:val="22"/>
          <w:szCs w:val="22"/>
        </w:rPr>
        <w:t xml:space="preserve">bénéficieront </w:t>
      </w:r>
      <w:r w:rsidR="00E26F36" w:rsidRPr="0056284F">
        <w:rPr>
          <w:rFonts w:ascii="Candara" w:hAnsi="Candara"/>
          <w:color w:val="000000"/>
          <w:sz w:val="22"/>
          <w:szCs w:val="22"/>
        </w:rPr>
        <w:t>de</w:t>
      </w:r>
      <w:r w:rsidR="00EC7230" w:rsidRPr="0056284F">
        <w:rPr>
          <w:rFonts w:ascii="Candara" w:hAnsi="Candara"/>
          <w:color w:val="000000"/>
          <w:sz w:val="22"/>
          <w:szCs w:val="22"/>
        </w:rPr>
        <w:t xml:space="preserve"> l’augmentation </w:t>
      </w:r>
      <w:r w:rsidRPr="0056284F">
        <w:rPr>
          <w:rFonts w:ascii="Candara" w:hAnsi="Candara"/>
          <w:color w:val="000000"/>
          <w:sz w:val="22"/>
          <w:szCs w:val="22"/>
        </w:rPr>
        <w:t xml:space="preserve">la grille de rémunération </w:t>
      </w:r>
      <w:r w:rsidR="00D237BC" w:rsidRPr="0056284F">
        <w:rPr>
          <w:rFonts w:ascii="Candara" w:hAnsi="Candara"/>
          <w:color w:val="000000"/>
          <w:sz w:val="22"/>
          <w:szCs w:val="22"/>
        </w:rPr>
        <w:t>présentée</w:t>
      </w:r>
      <w:r w:rsidRPr="0056284F">
        <w:rPr>
          <w:rFonts w:ascii="Candara" w:hAnsi="Candara"/>
          <w:color w:val="000000"/>
          <w:sz w:val="22"/>
          <w:szCs w:val="22"/>
        </w:rPr>
        <w:t xml:space="preserve"> </w:t>
      </w:r>
      <w:r w:rsidR="00EC7230" w:rsidRPr="0056284F">
        <w:rPr>
          <w:rFonts w:ascii="Candara" w:hAnsi="Candara"/>
          <w:color w:val="000000"/>
          <w:sz w:val="22"/>
          <w:szCs w:val="22"/>
        </w:rPr>
        <w:t xml:space="preserve">lors de la réunion du </w:t>
      </w:r>
      <w:r w:rsidR="00D237BC" w:rsidRPr="0056284F">
        <w:rPr>
          <w:rFonts w:ascii="Candara" w:hAnsi="Candara"/>
          <w:color w:val="000000"/>
          <w:sz w:val="22"/>
          <w:szCs w:val="22"/>
        </w:rPr>
        <w:t>22</w:t>
      </w:r>
      <w:r w:rsidR="00EC7230" w:rsidRPr="0056284F">
        <w:rPr>
          <w:rFonts w:ascii="Candara" w:hAnsi="Candara"/>
          <w:color w:val="000000"/>
          <w:sz w:val="22"/>
          <w:szCs w:val="22"/>
        </w:rPr>
        <w:t xml:space="preserve"> novembre 2022.</w:t>
      </w:r>
    </w:p>
    <w:p w14:paraId="3C840840" w14:textId="77777777" w:rsidP="008E7425" w:rsidR="00E26F36" w:rsidRDefault="00E26F36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21D86471" w14:textId="2C7489E6" w:rsidP="008E7425" w:rsidR="00697F45" w:rsidRDefault="00934814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Pour le personnel cadre, il n’est prévu aucune augmentation générale de leur salaire mensuel brut de base. </w:t>
      </w:r>
      <w:r w:rsidR="00697F45" w:rsidRPr="0056284F">
        <w:rPr>
          <w:rFonts w:ascii="Candara" w:hAnsi="Candara"/>
          <w:color w:val="000000"/>
          <w:sz w:val="22"/>
          <w:szCs w:val="22"/>
        </w:rPr>
        <w:t xml:space="preserve"> </w:t>
      </w:r>
    </w:p>
    <w:p w14:paraId="59C14F71" w14:textId="0F628A1D" w:rsidP="008E7425" w:rsidR="00697F45" w:rsidRDefault="00697F45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52593EA5" w14:textId="77777777" w:rsidP="00D1733A" w:rsidR="00D237BC" w:rsidRDefault="00D237BC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03407327" w14:textId="16F2BD1A" w:rsidP="00D237BC" w:rsidR="005E493B" w:rsidRDefault="005E493B" w:rsidRPr="0056284F">
      <w:pPr>
        <w:jc w:val="both"/>
        <w:rPr>
          <w:rFonts w:ascii="Arial" w:cs="Arial" w:hAnsi="Arial"/>
          <w:sz w:val="22"/>
          <w:szCs w:val="22"/>
        </w:rPr>
      </w:pP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ARTICLE 3 : </w:t>
      </w:r>
      <w:r w:rsidR="00F07052"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PRIME DE TRANSPORT</w:t>
      </w:r>
    </w:p>
    <w:p w14:paraId="3B64D589" w14:textId="77777777" w:rsidP="00D1733A" w:rsidR="005E493B" w:rsidRDefault="005E493B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3A03FC48" w14:textId="25C8D763" w:rsidP="00F07052" w:rsidR="00352456" w:rsidRDefault="007263E4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Les parties se sont mises d’accord sur la mise en place </w:t>
      </w:r>
      <w:r w:rsidR="00352456" w:rsidRPr="0056284F">
        <w:rPr>
          <w:rFonts w:ascii="Candara" w:hAnsi="Candara"/>
          <w:color w:val="000000"/>
          <w:sz w:val="22"/>
          <w:szCs w:val="22"/>
        </w:rPr>
        <w:t xml:space="preserve">d’une prime de transport. </w:t>
      </w:r>
    </w:p>
    <w:p w14:paraId="75DD3C37" w14:textId="77777777" w:rsidP="00F07052" w:rsidR="00F00868" w:rsidRDefault="00F00868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4F6531B2" w14:textId="35AE0962" w:rsidP="003B040F" w:rsidR="00F07052" w:rsidRDefault="00F07052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Bénéficiaire</w:t>
      </w:r>
      <w:r w:rsidR="00D237BC" w:rsidRPr="0056284F">
        <w:rPr>
          <w:rFonts w:ascii="Candara" w:hAnsi="Candara"/>
          <w:color w:val="000000"/>
          <w:sz w:val="22"/>
          <w:szCs w:val="22"/>
        </w:rPr>
        <w:t>s</w:t>
      </w:r>
      <w:r w:rsidRPr="0056284F">
        <w:rPr>
          <w:rFonts w:ascii="Candara" w:hAnsi="Candara"/>
          <w:color w:val="000000"/>
          <w:sz w:val="22"/>
          <w:szCs w:val="22"/>
        </w:rPr>
        <w:t xml:space="preserve"> : Salarié</w:t>
      </w:r>
      <w:r w:rsidR="00D237BC" w:rsidRPr="0056284F">
        <w:rPr>
          <w:rFonts w:ascii="Candara" w:hAnsi="Candara"/>
          <w:color w:val="000000"/>
          <w:sz w:val="22"/>
          <w:szCs w:val="22"/>
        </w:rPr>
        <w:t>s</w:t>
      </w:r>
      <w:r w:rsidRPr="0056284F">
        <w:rPr>
          <w:rFonts w:ascii="Candara" w:hAnsi="Candara"/>
          <w:color w:val="000000"/>
          <w:sz w:val="22"/>
          <w:szCs w:val="22"/>
        </w:rPr>
        <w:t xml:space="preserve"> utilisant leur propre véhicule pour se rendre sur le lieu de travail, quel</w:t>
      </w:r>
      <w:r w:rsidR="00F00868" w:rsidRPr="0056284F">
        <w:rPr>
          <w:rFonts w:ascii="Candara" w:hAnsi="Candara"/>
          <w:color w:val="000000"/>
          <w:sz w:val="22"/>
          <w:szCs w:val="22"/>
        </w:rPr>
        <w:t>le</w:t>
      </w:r>
      <w:r w:rsidRPr="0056284F">
        <w:rPr>
          <w:rFonts w:ascii="Candara" w:hAnsi="Candara"/>
          <w:color w:val="000000"/>
          <w:sz w:val="22"/>
          <w:szCs w:val="22"/>
        </w:rPr>
        <w:t xml:space="preserve"> que soit la distance domicile/travail.</w:t>
      </w:r>
    </w:p>
    <w:p w14:paraId="783053A6" w14:textId="0213B2CA" w:rsidP="003B040F" w:rsidR="00F07052" w:rsidRDefault="00F07052" w:rsidRPr="0056284F">
      <w:pPr>
        <w:pStyle w:val="Paragraphedeliste"/>
        <w:numPr>
          <w:ilvl w:val="0"/>
          <w:numId w:val="2"/>
        </w:num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Montant : </w:t>
      </w:r>
      <w:r w:rsidR="000F3E1C" w:rsidRPr="0056284F">
        <w:rPr>
          <w:rFonts w:ascii="Candara" w:hAnsi="Candara"/>
          <w:color w:val="000000"/>
          <w:sz w:val="22"/>
          <w:szCs w:val="22"/>
        </w:rPr>
        <w:t>1</w:t>
      </w:r>
      <w:r w:rsidR="00D237BC" w:rsidRPr="0056284F">
        <w:rPr>
          <w:rFonts w:ascii="Candara" w:hAnsi="Candara"/>
          <w:color w:val="000000"/>
          <w:sz w:val="22"/>
          <w:szCs w:val="22"/>
        </w:rPr>
        <w:t xml:space="preserve"> euro </w:t>
      </w:r>
      <w:r w:rsidR="003B040F" w:rsidRPr="0056284F">
        <w:rPr>
          <w:rFonts w:ascii="Candara" w:hAnsi="Candara"/>
          <w:color w:val="000000"/>
          <w:sz w:val="22"/>
          <w:szCs w:val="22"/>
        </w:rPr>
        <w:t>par jour de présence</w:t>
      </w:r>
      <w:r w:rsidRPr="0056284F">
        <w:rPr>
          <w:rFonts w:ascii="Candara" w:hAnsi="Candara"/>
          <w:color w:val="000000"/>
          <w:sz w:val="22"/>
          <w:szCs w:val="22"/>
        </w:rPr>
        <w:t xml:space="preserve">. </w:t>
      </w:r>
    </w:p>
    <w:p w14:paraId="01B56802" w14:textId="77777777" w:rsidP="00C24CA0" w:rsidR="003B040F" w:rsidRDefault="003B040F" w:rsidRPr="0056284F">
      <w:pPr>
        <w:pStyle w:val="Paragraphedeliste"/>
        <w:ind w:left="1065"/>
        <w:jc w:val="both"/>
        <w:rPr>
          <w:rFonts w:ascii="Candara" w:hAnsi="Candara"/>
          <w:color w:val="000000"/>
          <w:sz w:val="22"/>
          <w:szCs w:val="22"/>
        </w:rPr>
      </w:pPr>
    </w:p>
    <w:p w14:paraId="71060D46" w14:textId="05F3FB09" w:rsidP="00F07052" w:rsidR="00F07052" w:rsidRDefault="003B040F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C</w:t>
      </w:r>
      <w:r w:rsidR="00F07052" w:rsidRPr="0056284F">
        <w:rPr>
          <w:rFonts w:ascii="Candara" w:hAnsi="Candara"/>
          <w:color w:val="000000"/>
          <w:sz w:val="22"/>
          <w:szCs w:val="22"/>
        </w:rPr>
        <w:t>ette prime transport n’est assujettie à aucune cotisation. Elle figurera chaque mois sur le bulletin de paie des salariés concernés. </w:t>
      </w:r>
    </w:p>
    <w:p w14:paraId="5B0AE64A" w14:textId="77777777" w:rsidP="00F07052" w:rsidR="00373744" w:rsidRDefault="00373744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10382DF2" w14:textId="7191B868" w:rsidP="00F07052" w:rsidR="00F07052" w:rsidRDefault="00F07052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Cette somme étant générée par les frais occasionnés pour se rendre sur le lieu de travail</w:t>
      </w:r>
      <w:r w:rsidR="00D26DCE" w:rsidRPr="0056284F">
        <w:rPr>
          <w:rFonts w:ascii="Candara" w:hAnsi="Candara"/>
          <w:color w:val="000000"/>
          <w:sz w:val="22"/>
          <w:szCs w:val="22"/>
        </w:rPr>
        <w:t>,</w:t>
      </w:r>
      <w:r w:rsidRPr="0056284F">
        <w:rPr>
          <w:rFonts w:ascii="Candara" w:hAnsi="Candara"/>
          <w:color w:val="000000"/>
          <w:sz w:val="22"/>
          <w:szCs w:val="22"/>
        </w:rPr>
        <w:t xml:space="preserve"> elle sera le cas échéant proratis</w:t>
      </w:r>
      <w:r w:rsidR="00D26DCE" w:rsidRPr="0056284F">
        <w:rPr>
          <w:rFonts w:ascii="Candara" w:hAnsi="Candara"/>
          <w:color w:val="000000"/>
          <w:sz w:val="22"/>
          <w:szCs w:val="22"/>
        </w:rPr>
        <w:t>ée</w:t>
      </w:r>
      <w:r w:rsidRPr="0056284F">
        <w:rPr>
          <w:rFonts w:ascii="Candara" w:hAnsi="Candara"/>
          <w:color w:val="000000"/>
          <w:sz w:val="22"/>
          <w:szCs w:val="22"/>
        </w:rPr>
        <w:t xml:space="preserve"> en cas d’absence ou d’utilisation d’un véhicule de la société. </w:t>
      </w:r>
    </w:p>
    <w:p w14:paraId="211F5928" w14:textId="77777777" w:rsidP="00F07052" w:rsidR="00373744" w:rsidRDefault="00373744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56474599" w14:textId="77777777" w:rsidP="00F07052" w:rsidR="00F07052" w:rsidRDefault="00F07052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 bénéfice de cette prise en charge ne peut être cumulé avec la participation de l’abonnement aux transport publics. </w:t>
      </w:r>
    </w:p>
    <w:p w14:paraId="498C303C" w14:textId="77777777" w:rsidP="00F07052" w:rsidR="00373744" w:rsidRDefault="00373744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0745F0A0" w14:textId="0DBD5F1C" w:rsidP="00F07052" w:rsidR="00F07052" w:rsidRDefault="00F07052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De même, les salariés bénéficiant d’un véhicule mis à disposition par la société ou de remboursement d’indemnités kilométriques ne pourront pas bénéficier des dispositions ci-dessus. </w:t>
      </w:r>
    </w:p>
    <w:p w14:paraId="2A41C898" w14:textId="77777777" w:rsidP="00F07052" w:rsidR="008E7425" w:rsidRDefault="008E7425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7F15191B" w14:textId="77777777" w:rsidP="00D1733A" w:rsidR="00F07052" w:rsidRDefault="00F07052" w:rsidRPr="0056284F">
      <w:pPr>
        <w:jc w:val="both"/>
        <w:rPr>
          <w:rFonts w:ascii="Arial" w:cs="Arial" w:hAnsi="Arial"/>
          <w:sz w:val="22"/>
          <w:szCs w:val="22"/>
        </w:rPr>
      </w:pPr>
    </w:p>
    <w:p w14:paraId="5934F15C" w14:textId="75421EDF" w:rsidP="00373744" w:rsidR="00373744" w:rsidRDefault="00373744" w:rsidRPr="0056284F">
      <w:pPr>
        <w:jc w:val="both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ARTICLE 4 : MONETISATION DES JOUR</w:t>
      </w:r>
      <w:r w:rsidR="00C92E7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S</w:t>
      </w:r>
      <w:r w:rsidRPr="0056284F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 DE RTT</w:t>
      </w:r>
    </w:p>
    <w:p w14:paraId="22635EB4" w14:textId="77777777" w:rsidP="00D1733A" w:rsidR="00373744" w:rsidRDefault="00373744" w:rsidRPr="0056284F">
      <w:pPr>
        <w:jc w:val="both"/>
        <w:rPr>
          <w:rFonts w:ascii="Arial" w:cs="Arial" w:hAnsi="Arial"/>
          <w:sz w:val="22"/>
          <w:szCs w:val="22"/>
        </w:rPr>
      </w:pPr>
    </w:p>
    <w:p w14:paraId="48F25A03" w14:textId="39C3DA8E" w:rsidP="004F5AB0" w:rsidR="004F5AB0" w:rsidRDefault="004F5AB0">
      <w:pPr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>Les parties se sont mises d’accord sur l</w:t>
      </w:r>
      <w:r>
        <w:rPr>
          <w:rFonts w:ascii="Candara" w:hAnsi="Candara"/>
          <w:color w:val="000000"/>
          <w:sz w:val="22"/>
          <w:szCs w:val="22"/>
        </w:rPr>
        <w:t xml:space="preserve">e fait d’octroyer la possibilité aux salariés de monétiser </w:t>
      </w:r>
      <w:r w:rsidR="003B406F">
        <w:rPr>
          <w:rFonts w:ascii="Candara" w:hAnsi="Candara"/>
          <w:color w:val="000000"/>
          <w:sz w:val="22"/>
          <w:szCs w:val="22"/>
        </w:rPr>
        <w:t>des jours de RTT acquis</w:t>
      </w:r>
      <w:r w:rsidR="0004683F">
        <w:rPr>
          <w:rFonts w:ascii="Candara" w:hAnsi="Candara"/>
          <w:color w:val="000000"/>
          <w:sz w:val="22"/>
          <w:szCs w:val="22"/>
        </w:rPr>
        <w:t>.</w:t>
      </w:r>
    </w:p>
    <w:p w14:paraId="123FE095" w14:textId="77777777" w:rsidP="004F5AB0" w:rsidR="004F5AB0" w:rsidRDefault="004F5AB0" w:rsidRPr="00484A3A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05CBB97A" w14:textId="1DE147DF" w:rsidP="008E7425" w:rsidR="006D36BF" w:rsidRDefault="00484A3A">
      <w:pPr>
        <w:jc w:val="both"/>
        <w:rPr>
          <w:rFonts w:ascii="Candara" w:hAnsi="Candara"/>
          <w:color w:val="000000"/>
          <w:sz w:val="22"/>
          <w:szCs w:val="22"/>
        </w:rPr>
      </w:pPr>
      <w:r>
        <w:rPr>
          <w:rFonts w:ascii="Candara" w:hAnsi="Candara"/>
          <w:color w:val="000000"/>
          <w:sz w:val="22"/>
          <w:szCs w:val="22"/>
        </w:rPr>
        <w:t xml:space="preserve">Cette disposition concerne </w:t>
      </w:r>
      <w:r w:rsidR="00C92E7B">
        <w:rPr>
          <w:rFonts w:ascii="Candara" w:hAnsi="Candara"/>
          <w:color w:val="000000"/>
          <w:sz w:val="22"/>
          <w:szCs w:val="22"/>
        </w:rPr>
        <w:t xml:space="preserve">les salariés qui acquièrent des </w:t>
      </w:r>
      <w:r w:rsidR="00D25611">
        <w:rPr>
          <w:rFonts w:ascii="Candara" w:hAnsi="Candara"/>
          <w:color w:val="000000"/>
          <w:sz w:val="22"/>
          <w:szCs w:val="22"/>
        </w:rPr>
        <w:t xml:space="preserve">jours de </w:t>
      </w:r>
      <w:r w:rsidR="00C92E7B">
        <w:rPr>
          <w:rFonts w:ascii="Candara" w:hAnsi="Candara"/>
          <w:color w:val="000000"/>
          <w:sz w:val="22"/>
          <w:szCs w:val="22"/>
        </w:rPr>
        <w:t>RTT</w:t>
      </w:r>
      <w:r w:rsidR="00D25611">
        <w:rPr>
          <w:rFonts w:ascii="Candara" w:hAnsi="Candara"/>
          <w:color w:val="000000"/>
          <w:sz w:val="22"/>
          <w:szCs w:val="22"/>
        </w:rPr>
        <w:t xml:space="preserve">. </w:t>
      </w:r>
    </w:p>
    <w:p w14:paraId="75C2185D" w14:textId="622A7A50" w:rsidP="008E7425" w:rsidR="000A1E00" w:rsidRDefault="00CF69FC" w:rsidRPr="0056284F">
      <w:pPr>
        <w:jc w:val="both"/>
        <w:rPr>
          <w:rFonts w:ascii="Candara" w:hAnsi="Candara"/>
          <w:color w:val="000000"/>
          <w:sz w:val="22"/>
          <w:szCs w:val="22"/>
        </w:rPr>
      </w:pPr>
      <w:r>
        <w:rPr>
          <w:rFonts w:ascii="Candara" w:hAnsi="Candara"/>
          <w:color w:val="000000"/>
          <w:sz w:val="22"/>
          <w:szCs w:val="22"/>
        </w:rPr>
        <w:t>Pour les Ouvriers, Employés,</w:t>
      </w:r>
      <w:r w:rsidR="00FA1645">
        <w:rPr>
          <w:rFonts w:ascii="Candara" w:hAnsi="Candara"/>
          <w:color w:val="000000"/>
          <w:sz w:val="22"/>
          <w:szCs w:val="22"/>
        </w:rPr>
        <w:t xml:space="preserve"> T</w:t>
      </w:r>
      <w:r w:rsidR="009409FA" w:rsidRPr="0056284F">
        <w:rPr>
          <w:rFonts w:ascii="Candara" w:hAnsi="Candara"/>
          <w:color w:val="000000"/>
          <w:sz w:val="22"/>
          <w:szCs w:val="22"/>
        </w:rPr>
        <w:t>echnicien</w:t>
      </w:r>
      <w:r w:rsidR="00FA1645">
        <w:rPr>
          <w:rFonts w:ascii="Candara" w:hAnsi="Candara"/>
          <w:color w:val="000000"/>
          <w:sz w:val="22"/>
          <w:szCs w:val="22"/>
        </w:rPr>
        <w:t>s et A</w:t>
      </w:r>
      <w:r w:rsidR="009409FA" w:rsidRPr="0056284F">
        <w:rPr>
          <w:rFonts w:ascii="Candara" w:hAnsi="Candara"/>
          <w:color w:val="000000"/>
          <w:sz w:val="22"/>
          <w:szCs w:val="22"/>
        </w:rPr>
        <w:t>gent</w:t>
      </w:r>
      <w:r w:rsidR="00FA1645">
        <w:rPr>
          <w:rFonts w:ascii="Candara" w:hAnsi="Candara"/>
          <w:color w:val="000000"/>
          <w:sz w:val="22"/>
          <w:szCs w:val="22"/>
        </w:rPr>
        <w:t>s</w:t>
      </w:r>
      <w:r w:rsidR="009409FA" w:rsidRPr="0056284F">
        <w:rPr>
          <w:rFonts w:ascii="Candara" w:hAnsi="Candara"/>
          <w:color w:val="000000"/>
          <w:sz w:val="22"/>
          <w:szCs w:val="22"/>
        </w:rPr>
        <w:t xml:space="preserve"> de maîtrise</w:t>
      </w:r>
      <w:r w:rsidR="00813F6C">
        <w:rPr>
          <w:rFonts w:ascii="Candara" w:hAnsi="Candara"/>
          <w:color w:val="000000"/>
          <w:sz w:val="22"/>
          <w:szCs w:val="22"/>
        </w:rPr>
        <w:t>, cela concerne les jours de RTT « salarié ».</w:t>
      </w:r>
    </w:p>
    <w:p w14:paraId="7B8B6BE7" w14:textId="32BA393E" w:rsidP="008E7425" w:rsidR="00170EE7" w:rsidRDefault="00170EE7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La Direction s’engage </w:t>
      </w:r>
      <w:r w:rsidR="003302D8" w:rsidRPr="0056284F">
        <w:rPr>
          <w:rFonts w:ascii="Candara" w:hAnsi="Candara"/>
          <w:color w:val="000000"/>
          <w:sz w:val="22"/>
          <w:szCs w:val="22"/>
        </w:rPr>
        <w:t>à</w:t>
      </w:r>
      <w:r w:rsidRPr="0056284F">
        <w:rPr>
          <w:rFonts w:ascii="Candara" w:hAnsi="Candara"/>
          <w:color w:val="000000"/>
          <w:sz w:val="22"/>
          <w:szCs w:val="22"/>
        </w:rPr>
        <w:t xml:space="preserve"> acc</w:t>
      </w:r>
      <w:r w:rsidR="003302D8" w:rsidRPr="0056284F">
        <w:rPr>
          <w:rFonts w:ascii="Candara" w:hAnsi="Candara"/>
          <w:color w:val="000000"/>
          <w:sz w:val="22"/>
          <w:szCs w:val="22"/>
        </w:rPr>
        <w:t>e</w:t>
      </w:r>
      <w:r w:rsidRPr="0056284F">
        <w:rPr>
          <w:rFonts w:ascii="Candara" w:hAnsi="Candara"/>
          <w:color w:val="000000"/>
          <w:sz w:val="22"/>
          <w:szCs w:val="22"/>
        </w:rPr>
        <w:t>pt</w:t>
      </w:r>
      <w:r w:rsidR="003302D8" w:rsidRPr="0056284F">
        <w:rPr>
          <w:rFonts w:ascii="Candara" w:hAnsi="Candara"/>
          <w:color w:val="000000"/>
          <w:sz w:val="22"/>
          <w:szCs w:val="22"/>
        </w:rPr>
        <w:t xml:space="preserve">er </w:t>
      </w:r>
      <w:r w:rsidR="00404B14">
        <w:rPr>
          <w:rFonts w:ascii="Candara" w:hAnsi="Candara"/>
          <w:color w:val="000000"/>
          <w:sz w:val="22"/>
          <w:szCs w:val="22"/>
        </w:rPr>
        <w:t>toute</w:t>
      </w:r>
      <w:r w:rsidR="003302D8" w:rsidRPr="0056284F">
        <w:rPr>
          <w:rFonts w:ascii="Candara" w:hAnsi="Candara"/>
          <w:color w:val="000000"/>
          <w:sz w:val="22"/>
          <w:szCs w:val="22"/>
        </w:rPr>
        <w:t xml:space="preserve"> demande de monétisation des jours de repos des forfaits jours qui lui ser</w:t>
      </w:r>
      <w:r w:rsidR="00404B14">
        <w:rPr>
          <w:rFonts w:ascii="Candara" w:hAnsi="Candara"/>
          <w:color w:val="000000"/>
          <w:sz w:val="22"/>
          <w:szCs w:val="22"/>
        </w:rPr>
        <w:t>ai</w:t>
      </w:r>
      <w:r w:rsidR="003302D8" w:rsidRPr="0056284F">
        <w:rPr>
          <w:rFonts w:ascii="Candara" w:hAnsi="Candara"/>
          <w:color w:val="000000"/>
          <w:sz w:val="22"/>
          <w:szCs w:val="22"/>
        </w:rPr>
        <w:t>t présenté</w:t>
      </w:r>
      <w:r w:rsidR="00404B14">
        <w:rPr>
          <w:rFonts w:ascii="Candara" w:hAnsi="Candara"/>
          <w:color w:val="000000"/>
          <w:sz w:val="22"/>
          <w:szCs w:val="22"/>
        </w:rPr>
        <w:t>e</w:t>
      </w:r>
      <w:r w:rsidR="003302D8" w:rsidRPr="0056284F">
        <w:rPr>
          <w:rFonts w:ascii="Candara" w:hAnsi="Candara"/>
          <w:color w:val="000000"/>
          <w:sz w:val="22"/>
          <w:szCs w:val="22"/>
        </w:rPr>
        <w:t>.</w:t>
      </w:r>
    </w:p>
    <w:p w14:paraId="2D32DF22" w14:textId="77777777" w:rsidP="008E7425" w:rsidR="006D36BF" w:rsidRDefault="006D36BF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413CB6B0" w14:textId="77777777" w:rsidP="006D36BF" w:rsidR="006D36BF" w:rsidRDefault="006D36B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La monétisation pourra se faire pour l’année 2022 et l’année 2023.</w:t>
      </w:r>
    </w:p>
    <w:p w14:paraId="12BC9EC2" w14:textId="77777777" w:rsidP="008E7425" w:rsidR="009409FA" w:rsidRDefault="009409FA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69233611" w14:textId="1943AA57" w:rsidP="008E7425" w:rsidR="009409FA" w:rsidRDefault="009409FA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E96573">
        <w:rPr>
          <w:rFonts w:ascii="Candara" w:hAnsi="Candara"/>
          <w:color w:val="000000"/>
          <w:sz w:val="22"/>
          <w:szCs w:val="22"/>
        </w:rPr>
        <w:t xml:space="preserve">Pour l’exercice 2022, </w:t>
      </w:r>
      <w:r w:rsidR="00350AA5" w:rsidRPr="00E96573">
        <w:rPr>
          <w:rFonts w:ascii="Candara" w:hAnsi="Candara"/>
          <w:color w:val="000000"/>
          <w:sz w:val="22"/>
          <w:szCs w:val="22"/>
        </w:rPr>
        <w:t>il est rappelé que</w:t>
      </w:r>
      <w:r w:rsidRPr="00E96573">
        <w:rPr>
          <w:rFonts w:ascii="Candara" w:hAnsi="Candara"/>
          <w:color w:val="000000"/>
          <w:sz w:val="22"/>
          <w:szCs w:val="22"/>
        </w:rPr>
        <w:t xml:space="preserve"> la clôture annuelle du temps de travail a lieu le 25 Décembre 2022. Les jours RTT sont donc clos à cette même date.</w:t>
      </w:r>
    </w:p>
    <w:p w14:paraId="06DE0FDB" w14:textId="668EFB3E" w:rsidP="008E7425" w:rsidR="009409FA" w:rsidRDefault="009409FA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>Par conséquent, une information va être faite au personnel accompagnée d’un process de demande.</w:t>
      </w:r>
    </w:p>
    <w:p w14:paraId="1649736F" w14:textId="77777777" w:rsidP="008E7425" w:rsidR="0004683F" w:rsidRDefault="0004683F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10130AB2" w14:textId="734F5900" w:rsidP="008E7425" w:rsidR="009409FA" w:rsidRDefault="009409FA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Le personnel intéressé par cette disposition aura jusqu’au </w:t>
      </w:r>
      <w:r w:rsidR="00917F07" w:rsidRPr="0056284F">
        <w:rPr>
          <w:rFonts w:ascii="Candara" w:hAnsi="Candara"/>
          <w:color w:val="000000"/>
          <w:sz w:val="22"/>
          <w:szCs w:val="22"/>
        </w:rPr>
        <w:t>08</w:t>
      </w:r>
      <w:r w:rsidRPr="0056284F">
        <w:rPr>
          <w:rFonts w:ascii="Candara" w:hAnsi="Candara"/>
          <w:color w:val="000000"/>
          <w:sz w:val="22"/>
          <w:szCs w:val="22"/>
        </w:rPr>
        <w:t xml:space="preserve"> Décembre 2022 pour faire part de leur souhait éventuel : 5 jours maximum pourront être monétisés au titre de 2022. Les jours demandés seront payés sur paye de Décembre 2022.</w:t>
      </w:r>
    </w:p>
    <w:p w14:paraId="458E02BD" w14:textId="77777777" w:rsidP="008E7425" w:rsidR="009409FA" w:rsidRDefault="009409FA" w:rsidRPr="0056284F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740BEFB6" w14:textId="34D7236A" w:rsidP="008E7425" w:rsidR="009409FA" w:rsidRDefault="009409FA" w:rsidRPr="0056284F">
      <w:pPr>
        <w:jc w:val="both"/>
        <w:rPr>
          <w:rFonts w:ascii="Candara" w:hAnsi="Candara"/>
          <w:color w:val="000000"/>
          <w:sz w:val="22"/>
          <w:szCs w:val="22"/>
        </w:rPr>
      </w:pPr>
      <w:r w:rsidRPr="0056284F">
        <w:rPr>
          <w:rFonts w:ascii="Candara" w:hAnsi="Candara"/>
          <w:color w:val="000000"/>
          <w:sz w:val="22"/>
          <w:szCs w:val="22"/>
        </w:rPr>
        <w:t xml:space="preserve">Pour l’exercice 2023, une communication sera faite en début d’année prochaine. Le plafonnement sera aussi de 5 jours maximum avec une </w:t>
      </w:r>
      <w:r w:rsidR="00673901">
        <w:rPr>
          <w:rFonts w:ascii="Candara" w:hAnsi="Candara"/>
          <w:color w:val="000000"/>
          <w:sz w:val="22"/>
          <w:szCs w:val="22"/>
        </w:rPr>
        <w:t xml:space="preserve">seule </w:t>
      </w:r>
      <w:r w:rsidRPr="0056284F">
        <w:rPr>
          <w:rFonts w:ascii="Candara" w:hAnsi="Candara"/>
          <w:color w:val="000000"/>
          <w:sz w:val="22"/>
          <w:szCs w:val="22"/>
        </w:rPr>
        <w:t xml:space="preserve">date de dépôt et une </w:t>
      </w:r>
      <w:r w:rsidR="00673901">
        <w:rPr>
          <w:rFonts w:ascii="Candara" w:hAnsi="Candara"/>
          <w:color w:val="000000"/>
          <w:sz w:val="22"/>
          <w:szCs w:val="22"/>
        </w:rPr>
        <w:t xml:space="preserve">seule </w:t>
      </w:r>
      <w:r w:rsidRPr="0056284F">
        <w:rPr>
          <w:rFonts w:ascii="Candara" w:hAnsi="Candara"/>
          <w:color w:val="000000"/>
          <w:sz w:val="22"/>
          <w:szCs w:val="22"/>
        </w:rPr>
        <w:t>date de versement.</w:t>
      </w:r>
    </w:p>
    <w:p w14:paraId="08F81E45" w14:textId="77777777" w:rsidP="009409FA" w:rsidR="009409FA" w:rsidRDefault="009409FA" w:rsidRPr="0056284F">
      <w:pPr>
        <w:rPr>
          <w:sz w:val="28"/>
          <w:szCs w:val="28"/>
        </w:rPr>
      </w:pPr>
    </w:p>
    <w:p w14:paraId="65A4340B" w14:textId="77777777" w:rsidP="00D1733A" w:rsidR="005E493B" w:rsidRDefault="005E493B" w:rsidRPr="0056284F">
      <w:pPr>
        <w:jc w:val="both"/>
        <w:rPr>
          <w:rFonts w:ascii="Arial" w:cs="Arial" w:hAnsi="Arial"/>
          <w:sz w:val="22"/>
          <w:szCs w:val="22"/>
        </w:rPr>
      </w:pPr>
    </w:p>
    <w:p w14:paraId="23E479D7" w14:textId="3FEF78E2" w:rsidP="00156C89" w:rsidR="00156C89" w:rsidRDefault="00156C89" w:rsidRPr="00484A3A">
      <w:pPr>
        <w:jc w:val="both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484A3A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ARTICLE 5 : PRIME D’ANCIENNETÉ CADRE</w:t>
      </w:r>
    </w:p>
    <w:p w14:paraId="0F22F8B6" w14:textId="77777777" w:rsidP="00156C89" w:rsidR="00156C89" w:rsidRDefault="00156C89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4BAC1C28" w14:textId="28A3AC51" w:rsidP="00156C89" w:rsidR="00156C89" w:rsidRDefault="00156C89" w:rsidRPr="00484A3A">
      <w:pPr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 xml:space="preserve">Les parties se sont mises d’accord sur la mise en place, au 1er </w:t>
      </w:r>
      <w:r w:rsidR="007F61FF">
        <w:rPr>
          <w:rFonts w:ascii="Candara" w:hAnsi="Candara"/>
          <w:color w:val="000000"/>
          <w:sz w:val="22"/>
          <w:szCs w:val="22"/>
        </w:rPr>
        <w:t xml:space="preserve">octobre </w:t>
      </w:r>
      <w:r w:rsidRPr="00484A3A">
        <w:rPr>
          <w:rFonts w:ascii="Candara" w:hAnsi="Candara"/>
          <w:color w:val="000000"/>
          <w:sz w:val="22"/>
          <w:szCs w:val="22"/>
        </w:rPr>
        <w:t xml:space="preserve">2022, d’une prime d’ancienneté pour le personnel Cadre selon les conditions suivantes : </w:t>
      </w:r>
    </w:p>
    <w:p w14:paraId="24C113A8" w14:textId="77777777" w:rsidP="00156C89" w:rsidR="00156C89" w:rsidRDefault="00156C89" w:rsidRPr="00484A3A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1E1BE7CE" w14:textId="77777777" w:rsidP="00156C89" w:rsidR="00156C89" w:rsidRDefault="00156C89" w:rsidRPr="00484A3A">
      <w:pPr>
        <w:pStyle w:val="Paragraphedeliste"/>
        <w:numPr>
          <w:ilvl w:val="0"/>
          <w:numId w:val="2"/>
        </w:numPr>
        <w:ind w:hanging="426" w:left="426"/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 xml:space="preserve">1% par année d’ancienneté à partir de 3 ans d’ancienneté révolus, plafonné à 15 ans d’ancienneté, </w:t>
      </w:r>
    </w:p>
    <w:p w14:paraId="2F988029" w14:textId="77777777" w:rsidP="00156C89" w:rsidR="00156C89" w:rsidRDefault="00156C89" w:rsidRPr="00484A3A">
      <w:pPr>
        <w:pStyle w:val="Paragraphedeliste"/>
        <w:numPr>
          <w:ilvl w:val="0"/>
          <w:numId w:val="2"/>
        </w:numPr>
        <w:ind w:hanging="426" w:left="426"/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>Déclenchement de la prime à compter de la date d’anniversaire (date de reprise d’ancienneté),</w:t>
      </w:r>
    </w:p>
    <w:p w14:paraId="087972D3" w14:textId="77777777" w:rsidP="00156C89" w:rsidR="00156C89" w:rsidRDefault="00156C89" w:rsidRPr="00484A3A">
      <w:pPr>
        <w:pStyle w:val="Paragraphedeliste"/>
        <w:numPr>
          <w:ilvl w:val="0"/>
          <w:numId w:val="2"/>
        </w:numPr>
        <w:ind w:hanging="426" w:left="426"/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>La base de calcul de la prime d’ancienneté est plafonnée au montant du PMSS (à ce jour 3 428€).</w:t>
      </w:r>
    </w:p>
    <w:p w14:paraId="3636B888" w14:textId="77777777" w:rsidP="00156C89" w:rsidR="00156C89" w:rsidRDefault="00156C89" w:rsidRPr="00484A3A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6C5215DE" w14:textId="00E5D5E8" w:rsidP="00156C89" w:rsidR="00156C89" w:rsidRDefault="00156C89" w:rsidRPr="00484A3A">
      <w:pPr>
        <w:jc w:val="both"/>
        <w:rPr>
          <w:rFonts w:ascii="Candara" w:hAnsi="Candara"/>
          <w:color w:val="000000"/>
          <w:sz w:val="22"/>
          <w:szCs w:val="22"/>
        </w:rPr>
      </w:pPr>
      <w:r w:rsidRPr="00484A3A">
        <w:rPr>
          <w:rFonts w:ascii="Candara" w:hAnsi="Candara"/>
          <w:color w:val="000000"/>
          <w:sz w:val="22"/>
          <w:szCs w:val="22"/>
        </w:rPr>
        <w:t xml:space="preserve">L’ensemble des cadres pouvant prétendre à la prime au 1er </w:t>
      </w:r>
      <w:r w:rsidR="00A0416F">
        <w:rPr>
          <w:rFonts w:ascii="Candara" w:hAnsi="Candara"/>
          <w:color w:val="000000"/>
          <w:sz w:val="22"/>
          <w:szCs w:val="22"/>
        </w:rPr>
        <w:t>octobre</w:t>
      </w:r>
      <w:r w:rsidRPr="00484A3A">
        <w:rPr>
          <w:rFonts w:ascii="Candara" w:hAnsi="Candara"/>
          <w:color w:val="000000"/>
          <w:sz w:val="22"/>
          <w:szCs w:val="22"/>
        </w:rPr>
        <w:t xml:space="preserve"> 2022, débuteront avec 1% de prime d’ancienneté.  </w:t>
      </w:r>
    </w:p>
    <w:p w14:paraId="241DC509" w14:textId="77777777" w:rsidP="00156C89" w:rsidR="00156C89" w:rsidRDefault="00156C89" w:rsidRPr="00484A3A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251CA697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Exemple 1 : </w:t>
      </w:r>
    </w:p>
    <w:p w14:paraId="572FAACC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>Monsieur X, cadre au sein de la société depuis le 20/11/2010, salaire de base à 4 000 € par mois,</w:t>
      </w:r>
    </w:p>
    <w:p w14:paraId="5AB839F0" w14:textId="606C3259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>bénéficiera à partir de la paie de juillet 2022 d’une prime d’ancienneté mensuelle de 1%, soit 3</w:t>
      </w:r>
      <w:r w:rsidR="00321350" w:rsidRPr="00321350">
        <w:rPr>
          <w:rFonts w:ascii="Candara" w:hAnsi="Candara"/>
          <w:i/>
          <w:iCs/>
          <w:color w:val="000000"/>
          <w:sz w:val="22"/>
          <w:szCs w:val="22"/>
        </w:rPr>
        <w:t> </w:t>
      </w:r>
      <w:r w:rsidRPr="00321350">
        <w:rPr>
          <w:rFonts w:ascii="Candara" w:hAnsi="Candara"/>
          <w:i/>
          <w:iCs/>
          <w:color w:val="000000"/>
          <w:sz w:val="22"/>
          <w:szCs w:val="22"/>
        </w:rPr>
        <w:t>428</w:t>
      </w:r>
      <w:r w:rsidR="00321350"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 x </w:t>
      </w:r>
      <w:r w:rsidRPr="00321350">
        <w:rPr>
          <w:rFonts w:ascii="Candara" w:hAnsi="Candara"/>
          <w:i/>
          <w:iCs/>
          <w:color w:val="000000"/>
          <w:sz w:val="22"/>
          <w:szCs w:val="22"/>
        </w:rPr>
        <w:t>1% = 34,28€</w:t>
      </w:r>
    </w:p>
    <w:p w14:paraId="68938041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Soit : 445€ brut par an </w:t>
      </w:r>
    </w:p>
    <w:p w14:paraId="7DAC362B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</w:p>
    <w:p w14:paraId="52A719CA" w14:textId="62EEF865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>Au 1er novembre 2022, Monsieur X, bénéficiera d’une prime d’ancienneté mensuelle de 2%, soit 68,56</w:t>
      </w:r>
      <w:r w:rsidR="00321350"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 €</w:t>
      </w:r>
    </w:p>
    <w:p w14:paraId="6F95321F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</w:p>
    <w:p w14:paraId="49B0C400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Exemple 2: </w:t>
      </w:r>
    </w:p>
    <w:p w14:paraId="1D5C0DD7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>Monsieur Y, cadre au sein de la société depuis le 01/11/2020, salaire de base à 3 000€ par mois,</w:t>
      </w:r>
    </w:p>
    <w:p w14:paraId="6F8BC2C6" w14:textId="4F3A1ED0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>bénéficiera à partir du 1er novembre 2023 d’une prime d’ancienneté mensuelle de 1%, soit 3</w:t>
      </w:r>
      <w:r w:rsidR="00321350" w:rsidRPr="00321350">
        <w:rPr>
          <w:rFonts w:ascii="Candara" w:hAnsi="Candara"/>
          <w:i/>
          <w:iCs/>
          <w:color w:val="000000"/>
          <w:sz w:val="22"/>
          <w:szCs w:val="22"/>
        </w:rPr>
        <w:t> </w:t>
      </w:r>
      <w:r w:rsidRPr="00321350">
        <w:rPr>
          <w:rFonts w:ascii="Candara" w:hAnsi="Candara"/>
          <w:i/>
          <w:iCs/>
          <w:color w:val="000000"/>
          <w:sz w:val="22"/>
          <w:szCs w:val="22"/>
        </w:rPr>
        <w:t>000</w:t>
      </w:r>
      <w:r w:rsidR="00321350"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 x </w:t>
      </w:r>
      <w:r w:rsidRPr="00321350">
        <w:rPr>
          <w:rFonts w:ascii="Candara" w:hAnsi="Candara"/>
          <w:i/>
          <w:iCs/>
          <w:color w:val="000000"/>
          <w:sz w:val="22"/>
          <w:szCs w:val="22"/>
        </w:rPr>
        <w:t>1% = 30 €</w:t>
      </w:r>
    </w:p>
    <w:p w14:paraId="5FBC25AE" w14:textId="77777777" w:rsidP="00156C89" w:rsidR="00156C89" w:rsidRDefault="00156C89" w:rsidRPr="00321350">
      <w:pPr>
        <w:jc w:val="both"/>
        <w:rPr>
          <w:rFonts w:ascii="Candara" w:hAnsi="Candara"/>
          <w:i/>
          <w:iCs/>
          <w:color w:val="000000"/>
          <w:sz w:val="22"/>
          <w:szCs w:val="22"/>
        </w:rPr>
      </w:pPr>
      <w:r w:rsidRPr="00321350">
        <w:rPr>
          <w:rFonts w:ascii="Candara" w:hAnsi="Candara"/>
          <w:i/>
          <w:iCs/>
          <w:color w:val="000000"/>
          <w:sz w:val="22"/>
          <w:szCs w:val="22"/>
        </w:rPr>
        <w:t xml:space="preserve">Soit 390€ brut par an </w:t>
      </w:r>
    </w:p>
    <w:p w14:paraId="368D811A" w14:textId="77777777" w:rsidP="006257DC" w:rsidR="0020283B" w:rsidRDefault="0020283B" w:rsidRPr="0056284F">
      <w:pPr>
        <w:rPr>
          <w:rFonts w:ascii="Arial" w:cs="Arial" w:hAnsi="Arial"/>
          <w:sz w:val="22"/>
          <w:szCs w:val="22"/>
        </w:rPr>
      </w:pPr>
    </w:p>
    <w:p w14:paraId="71DEBBE4" w14:textId="77777777" w:rsidP="00D1733A" w:rsidR="00C25821" w:rsidRDefault="00C25821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79304423" w14:textId="3F535C21" w:rsidP="004C6099" w:rsidR="00C25821" w:rsidRDefault="00C25821" w:rsidRPr="004C6099">
      <w:pPr>
        <w:jc w:val="both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F3711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ARTICLE </w:t>
      </w:r>
      <w:r w:rsidR="007B7D9A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8</w:t>
      </w:r>
      <w:r w:rsidRPr="00F3711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 – </w:t>
      </w:r>
      <w:r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REVISION ET DENONCIATION</w:t>
      </w:r>
      <w:r w:rsidRPr="00F3711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 </w:t>
      </w:r>
    </w:p>
    <w:p w14:paraId="707D1224" w14:textId="77777777" w:rsidP="00D1733A" w:rsidR="000549E5" w:rsidRDefault="000549E5" w:rsidRPr="00C25821">
      <w:pPr>
        <w:jc w:val="both"/>
        <w:rPr>
          <w:rFonts w:ascii="Candara" w:hAnsi="Candara"/>
          <w:color w:val="000000"/>
          <w:sz w:val="22"/>
          <w:szCs w:val="22"/>
        </w:rPr>
      </w:pPr>
    </w:p>
    <w:p w14:paraId="0FFB3EBD" w14:textId="77777777" w:rsidP="00D1733A" w:rsidR="00A9629A" w:rsidRDefault="00A9629A" w:rsidRPr="00C25821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C25821">
        <w:rPr>
          <w:rFonts w:ascii="Candara" w:hAnsi="Candara"/>
          <w:color w:val="000000"/>
          <w:sz w:val="22"/>
          <w:szCs w:val="22"/>
        </w:rPr>
        <w:t>Le présent accord pourra être dénoncé par l’une ou l’autre des parties signataires ou adhérentes après préavis de 3 mois, par lettre recommandée avec accusé de réception et selon les modalités suivantes :</w:t>
      </w:r>
    </w:p>
    <w:p w14:paraId="34A28E62" w14:textId="77777777" w:rsidP="00D1733A" w:rsidR="00A9629A" w:rsidRDefault="00A9629A" w:rsidRPr="00C25821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5B3D2881" w14:textId="77777777" w:rsidP="00D1733A" w:rsidR="00A9629A" w:rsidRDefault="00A9629A" w:rsidRPr="00C25821">
      <w:pPr>
        <w:numPr>
          <w:ilvl w:val="0"/>
          <w:numId w:val="5"/>
        </w:numPr>
        <w:overflowPunct w:val="0"/>
        <w:autoSpaceDE w:val="0"/>
        <w:autoSpaceDN w:val="0"/>
        <w:adjustRightInd w:val="0"/>
        <w:ind w:firstLine="0" w:left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C25821">
        <w:rPr>
          <w:rFonts w:ascii="Candara" w:hAnsi="Candara"/>
          <w:color w:val="000000"/>
          <w:sz w:val="22"/>
          <w:szCs w:val="22"/>
        </w:rPr>
        <w:t>la dénonciation doit être notifiée par son auteur aux autres signataires de l’accord</w:t>
      </w:r>
    </w:p>
    <w:p w14:paraId="629FB65D" w14:textId="32E9C625" w:rsidP="00D41283" w:rsidR="00A9629A" w:rsidRDefault="00A9629A" w:rsidRPr="00D41283">
      <w:pPr>
        <w:numPr>
          <w:ilvl w:val="0"/>
          <w:numId w:val="5"/>
        </w:numPr>
        <w:overflowPunct w:val="0"/>
        <w:autoSpaceDE w:val="0"/>
        <w:autoSpaceDN w:val="0"/>
        <w:adjustRightInd w:val="0"/>
        <w:ind w:firstLine="0" w:left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C25821">
        <w:rPr>
          <w:rFonts w:ascii="Candara" w:hAnsi="Candara"/>
          <w:color w:val="000000"/>
          <w:sz w:val="22"/>
          <w:szCs w:val="22"/>
        </w:rPr>
        <w:t>la dénonciation doit être déposée à la D</w:t>
      </w:r>
      <w:r w:rsidR="001B07CF" w:rsidRPr="00C25821">
        <w:rPr>
          <w:rFonts w:ascii="Candara" w:hAnsi="Candara"/>
          <w:color w:val="000000"/>
          <w:sz w:val="22"/>
          <w:szCs w:val="22"/>
        </w:rPr>
        <w:t>REETS</w:t>
      </w:r>
      <w:r w:rsidRPr="00C25821">
        <w:rPr>
          <w:rFonts w:ascii="Candara" w:hAnsi="Candara"/>
          <w:color w:val="000000"/>
          <w:sz w:val="22"/>
          <w:szCs w:val="22"/>
        </w:rPr>
        <w:t xml:space="preserve">. </w:t>
      </w:r>
    </w:p>
    <w:p w14:paraId="24240958" w14:textId="77777777" w:rsidP="00D1733A" w:rsidR="00A9629A" w:rsidRDefault="00A9629A" w:rsidRPr="00C25821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15873C9A" w14:textId="77777777" w:rsidP="00D1733A" w:rsidR="00A9629A" w:rsidRDefault="00A9629A" w:rsidRPr="00C25821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C25821">
        <w:rPr>
          <w:rFonts w:ascii="Candara" w:hAnsi="Candara"/>
          <w:color w:val="000000"/>
          <w:sz w:val="22"/>
          <w:szCs w:val="22"/>
        </w:rPr>
        <w:t>Le présent accord pourra faire l’objet d’une révision dans le cadre des dispositions légales.</w:t>
      </w:r>
    </w:p>
    <w:p w14:paraId="5C118BA1" w14:textId="030513B0" w:rsidP="00D1733A" w:rsidR="00781EE2" w:rsidRDefault="00781EE2" w:rsidRPr="0056284F">
      <w:pPr>
        <w:jc w:val="both"/>
        <w:rPr>
          <w:rFonts w:ascii="Arial" w:cs="Arial" w:hAnsi="Arial"/>
          <w:sz w:val="22"/>
          <w:szCs w:val="22"/>
        </w:rPr>
      </w:pPr>
    </w:p>
    <w:p w14:paraId="3A382FB6" w14:textId="77777777" w:rsidP="00D1733A" w:rsidR="00973068" w:rsidRDefault="00973068" w:rsidRPr="0056284F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cs="Arial" w:hAnsi="Arial"/>
          <w:sz w:val="22"/>
          <w:szCs w:val="22"/>
        </w:rPr>
      </w:pPr>
    </w:p>
    <w:p w14:paraId="0D729B89" w14:textId="77777777" w:rsidP="007B7D9A" w:rsidR="007B7D9A" w:rsidRDefault="007B7D9A" w:rsidRPr="00F3711B">
      <w:pPr>
        <w:jc w:val="both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F3711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ARTICLE </w:t>
      </w:r>
      <w:r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9</w:t>
      </w:r>
      <w:r w:rsidRPr="00F3711B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 – DEPOT ET PUBLICITE </w:t>
      </w:r>
    </w:p>
    <w:p w14:paraId="00C59916" w14:textId="77777777" w:rsidP="007B7D9A" w:rsidR="007B7D9A" w:rsidRDefault="007B7D9A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378E8AF4" w14:textId="77777777" w:rsidP="007B7D9A" w:rsidR="007B7D9A" w:rsidRDefault="007B7D9A" w:rsidRPr="00F3711B">
      <w:pPr>
        <w:jc w:val="both"/>
        <w:rPr>
          <w:rFonts w:ascii="Candara" w:hAnsi="Candara"/>
          <w:color w:val="000000"/>
          <w:sz w:val="22"/>
          <w:szCs w:val="22"/>
        </w:rPr>
      </w:pPr>
      <w:r w:rsidRPr="00F3711B">
        <w:rPr>
          <w:rFonts w:ascii="Candara" w:hAnsi="Candara"/>
          <w:color w:val="000000"/>
          <w:sz w:val="22"/>
          <w:szCs w:val="22"/>
        </w:rPr>
        <w:t>Le présent accord sera envoyé par lettre recommandée avec demande d’avis de réception à la direction régionale de l'économie, de l'emploi, du travail et des solidarités (D</w:t>
      </w:r>
      <w:r>
        <w:rPr>
          <w:rFonts w:ascii="Candara" w:hAnsi="Candara"/>
          <w:color w:val="000000"/>
          <w:sz w:val="22"/>
          <w:szCs w:val="22"/>
        </w:rPr>
        <w:t>REETS</w:t>
      </w:r>
      <w:r w:rsidRPr="00F3711B">
        <w:rPr>
          <w:rFonts w:ascii="Candara" w:hAnsi="Candara"/>
          <w:color w:val="000000"/>
          <w:sz w:val="22"/>
          <w:szCs w:val="22"/>
        </w:rPr>
        <w:t xml:space="preserve">, ex-Direccte) et par voie électronique sur la plateforme en ligne </w:t>
      </w:r>
      <w:proofErr w:type="spellStart"/>
      <w:r w:rsidRPr="00F3711B">
        <w:rPr>
          <w:rFonts w:ascii="Candara" w:hAnsi="Candara"/>
          <w:color w:val="000000"/>
          <w:sz w:val="22"/>
          <w:szCs w:val="22"/>
        </w:rPr>
        <w:t>TéléAccords</w:t>
      </w:r>
      <w:proofErr w:type="spellEnd"/>
      <w:r w:rsidRPr="00F3711B">
        <w:rPr>
          <w:rFonts w:ascii="Candara" w:hAnsi="Candara"/>
          <w:color w:val="000000"/>
          <w:sz w:val="22"/>
          <w:szCs w:val="22"/>
        </w:rPr>
        <w:t>.</w:t>
      </w:r>
    </w:p>
    <w:p w14:paraId="727581B0" w14:textId="77777777" w:rsidP="007B7D9A" w:rsidR="007B7D9A" w:rsidRDefault="007B7D9A" w:rsidRPr="0056284F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14:paraId="2DB7E47B" w14:textId="4F569A32" w:rsidP="007B7D9A" w:rsidR="007B7D9A" w:rsidRDefault="007B7D9A" w:rsidRPr="00D41283">
      <w:pPr>
        <w:jc w:val="both"/>
        <w:rPr>
          <w:rFonts w:ascii="Candara" w:hAnsi="Candara"/>
          <w:color w:val="000000"/>
          <w:sz w:val="22"/>
          <w:szCs w:val="22"/>
        </w:rPr>
      </w:pPr>
      <w:r w:rsidRPr="00DB5EB9">
        <w:rPr>
          <w:rFonts w:ascii="Candara" w:hAnsi="Candara"/>
          <w:color w:val="000000"/>
          <w:sz w:val="22"/>
          <w:szCs w:val="22"/>
        </w:rPr>
        <w:t>L’accord sera également adressé en 1 exemplaire au greffe d</w:t>
      </w:r>
      <w:r>
        <w:rPr>
          <w:rFonts w:ascii="Candara" w:hAnsi="Candara"/>
          <w:color w:val="000000"/>
          <w:sz w:val="22"/>
          <w:szCs w:val="22"/>
        </w:rPr>
        <w:t>u Conseil de</w:t>
      </w:r>
      <w:r w:rsidRPr="00DB5EB9">
        <w:rPr>
          <w:rFonts w:ascii="Candara" w:hAnsi="Candara"/>
          <w:color w:val="000000"/>
          <w:sz w:val="22"/>
          <w:szCs w:val="22"/>
        </w:rPr>
        <w:t xml:space="preserve"> Prud’hommes sur initiative de la Direction à compter de la date de sa signature. </w:t>
      </w:r>
    </w:p>
    <w:p w14:paraId="02C51DF3" w14:textId="5F1AAFE5" w:rsidP="007B7D9A" w:rsidR="007B7D9A" w:rsidRDefault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DB5EB9">
        <w:rPr>
          <w:rFonts w:ascii="Candara" w:hAnsi="Candara"/>
          <w:color w:val="000000"/>
          <w:sz w:val="22"/>
          <w:szCs w:val="22"/>
        </w:rPr>
        <w:lastRenderedPageBreak/>
        <w:t>Les salariés sont informés de la signature du présent accord par voie d’affichage et peuvent en prendre connaissance auprès du service des Ressources Humaines où un exemplaire est tenu à leur disposition.</w:t>
      </w:r>
    </w:p>
    <w:p w14:paraId="1DDABC03" w14:textId="6B6B8512" w:rsidP="007B7D9A" w:rsidR="007B7D9A" w:rsidRDefault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16DCF668" w14:textId="77777777" w:rsidP="007B7D9A" w:rsidR="007B7D9A" w:rsidRDefault="007B7D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</w:p>
    <w:p w14:paraId="69C12C35" w14:textId="70B6A525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cstheme="minorBidi" w:eastAsiaTheme="minorHAnsi" w:hAnsi="Candara"/>
          <w:b/>
          <w:color w:val="0070C0"/>
          <w:u w:val="single"/>
          <w:lang w:eastAsia="en-US"/>
        </w:rPr>
      </w:pPr>
      <w:r w:rsidRPr="007B7D9A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ARTICLE </w:t>
      </w:r>
      <w:r w:rsidR="000549E5" w:rsidRPr="007B7D9A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>9</w:t>
      </w:r>
      <w:r w:rsidRPr="007B7D9A">
        <w:rPr>
          <w:rFonts w:ascii="Candara" w:cstheme="minorBidi" w:eastAsiaTheme="minorHAnsi" w:hAnsi="Candara"/>
          <w:b/>
          <w:color w:val="0070C0"/>
          <w:u w:val="single"/>
          <w:lang w:eastAsia="en-US"/>
        </w:rPr>
        <w:t xml:space="preserve"> : DUREE DE L’ACCORD</w:t>
      </w:r>
    </w:p>
    <w:p w14:paraId="32C9DF85" w14:textId="77777777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0590CB3C" w14:textId="234F2985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7B7D9A">
        <w:rPr>
          <w:rFonts w:ascii="Candara" w:hAnsi="Candara"/>
          <w:color w:val="000000"/>
          <w:sz w:val="22"/>
          <w:szCs w:val="22"/>
        </w:rPr>
        <w:t>Le présent accord est conclu pour une durée indéterminée</w:t>
      </w:r>
      <w:r w:rsidR="00170EE7" w:rsidRPr="007B7D9A">
        <w:rPr>
          <w:rFonts w:ascii="Candara" w:hAnsi="Candara"/>
          <w:color w:val="000000"/>
          <w:sz w:val="22"/>
          <w:szCs w:val="22"/>
        </w:rPr>
        <w:t>.</w:t>
      </w:r>
    </w:p>
    <w:p w14:paraId="639F012B" w14:textId="38E5D282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63C99D91" w14:textId="706D7F3A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  <w:r w:rsidRPr="007B7D9A">
        <w:rPr>
          <w:rFonts w:ascii="Candara" w:hAnsi="Candara"/>
          <w:color w:val="000000"/>
          <w:sz w:val="22"/>
          <w:szCs w:val="22"/>
        </w:rPr>
        <w:t xml:space="preserve">Tous les autres éléments acquis et non spécifiés dans cet accord sont par nature maintenus. </w:t>
      </w:r>
    </w:p>
    <w:p w14:paraId="33B6C510" w14:textId="77777777" w:rsidP="00D1733A" w:rsidR="00A9629A" w:rsidRDefault="00A9629A" w:rsidRPr="007B7D9A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ndara" w:hAnsi="Candara"/>
          <w:color w:val="000000"/>
          <w:sz w:val="22"/>
          <w:szCs w:val="22"/>
        </w:rPr>
      </w:pPr>
    </w:p>
    <w:p w14:paraId="110BC004" w14:textId="77777777" w:rsidP="00426B0B" w:rsidR="00781EE2" w:rsidRDefault="00781EE2" w:rsidRPr="00426B0B">
      <w:pPr>
        <w:jc w:val="right"/>
        <w:rPr>
          <w:rFonts w:ascii="Candara" w:cs="Arial" w:hAnsi="Candara"/>
          <w:b/>
          <w:i/>
          <w:sz w:val="20"/>
          <w:szCs w:val="20"/>
        </w:rPr>
      </w:pPr>
    </w:p>
    <w:p w14:paraId="6545DAD7" w14:textId="0869A821" w:rsidP="00426B0B" w:rsidR="00426B0B" w:rsidRDefault="00602F28" w:rsidRPr="00426B0B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right"/>
        <w:textAlignment w:val="baseline"/>
        <w:rPr>
          <w:rFonts w:ascii="Candara" w:cs="Arial" w:hAnsi="Candara"/>
          <w:b/>
          <w:i/>
          <w:sz w:val="20"/>
          <w:szCs w:val="20"/>
        </w:rPr>
      </w:pPr>
      <w:r w:rsidRPr="005733F5">
        <w:rPr>
          <w:rFonts w:ascii="Candara" w:cs="Arial" w:hAnsi="Candara"/>
          <w:b/>
          <w:i/>
          <w:sz w:val="20"/>
          <w:szCs w:val="20"/>
        </w:rPr>
        <w:t xml:space="preserve">Fait à Vironvay, le </w:t>
      </w:r>
      <w:r w:rsidR="00426B0B">
        <w:rPr>
          <w:rFonts w:ascii="Candara" w:cs="Arial" w:hAnsi="Candara"/>
          <w:b/>
          <w:i/>
          <w:sz w:val="20"/>
          <w:szCs w:val="20"/>
        </w:rPr>
        <w:t>22/11</w:t>
      </w:r>
      <w:r w:rsidRPr="005733F5">
        <w:rPr>
          <w:rFonts w:ascii="Candara" w:cs="Arial" w:hAnsi="Candara"/>
          <w:b/>
          <w:i/>
          <w:sz w:val="20"/>
          <w:szCs w:val="20"/>
        </w:rPr>
        <w:t>/2022</w:t>
      </w:r>
      <w:r w:rsidR="00426B0B">
        <w:rPr>
          <w:rFonts w:ascii="Candara" w:cs="Arial" w:hAnsi="Candara"/>
          <w:b/>
          <w:i/>
          <w:sz w:val="20"/>
          <w:szCs w:val="20"/>
        </w:rPr>
        <w:t xml:space="preserve"> </w:t>
      </w:r>
      <w:r w:rsidR="00426B0B" w:rsidRPr="00426B0B">
        <w:rPr>
          <w:rFonts w:ascii="Candara" w:cs="Arial" w:hAnsi="Candara"/>
          <w:b/>
          <w:i/>
          <w:sz w:val="20"/>
          <w:szCs w:val="20"/>
        </w:rPr>
        <w:t xml:space="preserve">en </w:t>
      </w:r>
      <w:r w:rsidR="0080301D">
        <w:rPr>
          <w:rFonts w:ascii="Candara" w:cs="Arial" w:hAnsi="Candara"/>
          <w:b/>
          <w:i/>
          <w:sz w:val="20"/>
          <w:szCs w:val="20"/>
        </w:rPr>
        <w:t>5</w:t>
      </w:r>
      <w:r w:rsidR="00426B0B" w:rsidRPr="00426B0B">
        <w:rPr>
          <w:rFonts w:ascii="Candara" w:cs="Arial" w:hAnsi="Candara"/>
          <w:b/>
          <w:i/>
          <w:sz w:val="20"/>
          <w:szCs w:val="20"/>
        </w:rPr>
        <w:t xml:space="preserve"> exemplaires originaux, remis à chaque interlocuteur désigné.</w:t>
      </w:r>
    </w:p>
    <w:p w14:paraId="1EB3063B" w14:textId="5863A765" w:rsidP="00602F28" w:rsidR="00602F28" w:rsidRDefault="00602F28">
      <w:pPr>
        <w:ind w:firstLine="708" w:left="5664"/>
        <w:jc w:val="both"/>
        <w:rPr>
          <w:rFonts w:ascii="Candara" w:cs="Arial" w:hAnsi="Candara"/>
          <w:b/>
          <w:i/>
          <w:sz w:val="20"/>
          <w:szCs w:val="20"/>
        </w:rPr>
      </w:pPr>
    </w:p>
    <w:p w14:paraId="0219AA62" w14:textId="0A35B8AA" w:rsidP="00602F28" w:rsidR="0080301D" w:rsidRDefault="0080301D">
      <w:pPr>
        <w:ind w:firstLine="708" w:left="5664"/>
        <w:jc w:val="both"/>
        <w:rPr>
          <w:rFonts w:ascii="Candara" w:cs="Arial" w:hAnsi="Candara"/>
          <w:b/>
          <w:i/>
          <w:sz w:val="20"/>
          <w:szCs w:val="20"/>
        </w:rPr>
      </w:pPr>
    </w:p>
    <w:p w14:paraId="49FA0289" w14:textId="77777777" w:rsidP="00602F28" w:rsidR="0080301D" w:rsidRDefault="0080301D" w:rsidRPr="005733F5">
      <w:pPr>
        <w:ind w:firstLine="708" w:left="5664"/>
        <w:jc w:val="both"/>
        <w:rPr>
          <w:rFonts w:ascii="Candara" w:cs="Arial" w:hAnsi="Candara"/>
          <w:b/>
          <w:i/>
          <w:sz w:val="20"/>
          <w:szCs w:val="20"/>
        </w:rPr>
      </w:pPr>
    </w:p>
    <w:p w14:paraId="5502C532" w14:textId="77777777" w:rsidP="00602F28" w:rsidR="00602F28" w:rsidRDefault="00602F28" w:rsidRPr="005733F5">
      <w:pPr>
        <w:jc w:val="both"/>
        <w:rPr>
          <w:rFonts w:ascii="Candara" w:cs="Arial" w:hAnsi="Candara"/>
          <w:b/>
          <w:color w:val="0070C0"/>
          <w:sz w:val="20"/>
          <w:szCs w:val="20"/>
          <w:u w:val="single"/>
        </w:rPr>
      </w:pPr>
    </w:p>
    <w:p w14:paraId="125E6EF9" w14:textId="47DB76B0" w:rsidP="00602F28" w:rsidR="0080301D" w:rsidRDefault="00602F28" w:rsidRPr="005733F5">
      <w:pPr>
        <w:jc w:val="both"/>
        <w:rPr>
          <w:rFonts w:ascii="Candara" w:cs="Arial" w:hAnsi="Candara"/>
          <w:b/>
          <w:color w:val="0070C0"/>
          <w:sz w:val="20"/>
          <w:szCs w:val="20"/>
          <w:u w:val="single"/>
        </w:rPr>
      </w:pPr>
      <w:r w:rsidRPr="005733F5">
        <w:rPr>
          <w:rFonts w:ascii="Candara" w:cs="Arial" w:hAnsi="Candara"/>
          <w:b/>
          <w:color w:val="0070C0"/>
          <w:sz w:val="20"/>
          <w:szCs w:val="20"/>
          <w:u w:val="single"/>
        </w:rPr>
        <w:t xml:space="preserve">Pour la Société Novadis : </w:t>
      </w:r>
    </w:p>
    <w:p w14:paraId="109F4168" w14:textId="6E99B9FF" w:rsidP="00602F28" w:rsidR="00602F28" w:rsidRDefault="00AE5540">
      <w:pPr>
        <w:jc w:val="both"/>
        <w:rPr>
          <w:rFonts w:ascii="Candara" w:cs="Arial" w:hAnsi="Candara"/>
          <w:sz w:val="20"/>
          <w:szCs w:val="20"/>
        </w:rPr>
      </w:pPr>
      <w:r>
        <w:rPr>
          <w:rFonts w:ascii="Candara" w:hAnsi="Candara"/>
          <w:color w:val="000000"/>
          <w:sz w:val="22"/>
          <w:szCs w:val="22"/>
        </w:rPr>
        <w:t>XXX</w:t>
      </w:r>
    </w:p>
    <w:p w14:paraId="71943680" w14:textId="5DFBBFF7" w:rsidP="00602F28" w:rsidR="0080301D" w:rsidRDefault="0080301D">
      <w:pPr>
        <w:jc w:val="both"/>
        <w:rPr>
          <w:rFonts w:ascii="Candara" w:cs="Arial" w:hAnsi="Candara"/>
          <w:sz w:val="20"/>
          <w:szCs w:val="20"/>
        </w:rPr>
      </w:pPr>
    </w:p>
    <w:p w14:paraId="1E003D20" w14:textId="77777777" w:rsidP="00602F28" w:rsidR="0080301D" w:rsidRDefault="0080301D" w:rsidRPr="005733F5">
      <w:pPr>
        <w:jc w:val="both"/>
        <w:rPr>
          <w:rFonts w:ascii="Candara" w:cs="Arial" w:hAnsi="Candara"/>
          <w:sz w:val="20"/>
          <w:szCs w:val="20"/>
        </w:rPr>
      </w:pPr>
    </w:p>
    <w:p w14:paraId="489CFC70" w14:textId="77777777" w:rsidP="00602F28" w:rsidR="00602F28" w:rsidRDefault="00602F28" w:rsidRPr="005733F5">
      <w:pPr>
        <w:jc w:val="both"/>
        <w:rPr>
          <w:rFonts w:ascii="Candara" w:cs="Arial" w:hAnsi="Candara"/>
          <w:sz w:val="20"/>
          <w:szCs w:val="20"/>
        </w:rPr>
      </w:pPr>
    </w:p>
    <w:p w14:paraId="498D1D5E" w14:textId="54116FF1" w:rsidP="00602F28" w:rsidR="00602F28" w:rsidRDefault="00602F28">
      <w:pPr>
        <w:jc w:val="both"/>
        <w:rPr>
          <w:rFonts w:ascii="Candara" w:cs="Arial" w:hAnsi="Candara"/>
          <w:b/>
          <w:color w:val="0070C0"/>
          <w:sz w:val="20"/>
          <w:szCs w:val="20"/>
          <w:u w:val="single"/>
        </w:rPr>
      </w:pPr>
      <w:r w:rsidRPr="005733F5">
        <w:rPr>
          <w:rFonts w:ascii="Candara" w:cs="Arial" w:hAnsi="Candara"/>
          <w:b/>
          <w:color w:val="0070C0"/>
          <w:sz w:val="20"/>
          <w:szCs w:val="20"/>
          <w:u w:val="single"/>
        </w:rPr>
        <w:t xml:space="preserve">Pour les organisations Syndicales : </w:t>
      </w:r>
    </w:p>
    <w:p w14:paraId="3C004A51" w14:textId="722FD020" w:rsidP="00602F28" w:rsidR="0080301D" w:rsidRDefault="0080301D">
      <w:pPr>
        <w:jc w:val="both"/>
        <w:rPr>
          <w:rFonts w:ascii="Candara" w:cs="Arial" w:hAnsi="Candara"/>
          <w:b/>
          <w:color w:val="0070C0"/>
          <w:sz w:val="20"/>
          <w:szCs w:val="20"/>
          <w:u w:val="single"/>
        </w:rPr>
      </w:pPr>
    </w:p>
    <w:p w14:paraId="2F505F80" w14:textId="77777777" w:rsidP="00602F28" w:rsidR="0080301D" w:rsidRDefault="0080301D" w:rsidRPr="005733F5">
      <w:pPr>
        <w:jc w:val="both"/>
        <w:rPr>
          <w:rFonts w:ascii="Candara" w:cs="Arial" w:hAnsi="Candara"/>
          <w:b/>
          <w:color w:val="0070C0"/>
          <w:sz w:val="20"/>
          <w:szCs w:val="20"/>
          <w:u w:val="single"/>
        </w:rPr>
      </w:pPr>
    </w:p>
    <w:p w14:paraId="12DD10EC" w14:textId="0087328E" w:rsidP="00602F28" w:rsidR="0080301D" w:rsidRDefault="00AE5540">
      <w:pPr>
        <w:jc w:val="both"/>
        <w:rPr>
          <w:rFonts w:ascii="Candara" w:cs="Arial" w:hAnsi="Candara"/>
          <w:b/>
          <w:sz w:val="20"/>
          <w:szCs w:val="20"/>
        </w:rPr>
      </w:pPr>
      <w:r>
        <w:rPr>
          <w:rFonts w:ascii="Candara" w:hAnsi="Candara"/>
          <w:color w:val="000000"/>
          <w:sz w:val="22"/>
          <w:szCs w:val="22"/>
        </w:rPr>
        <w:t>XXX</w:t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  <w:r w:rsidR="00602F28" w:rsidRPr="005733F5">
        <w:rPr>
          <w:rFonts w:ascii="Candara" w:cs="Arial" w:hAnsi="Candara"/>
          <w:b/>
          <w:sz w:val="20"/>
          <w:szCs w:val="20"/>
        </w:rPr>
        <w:tab/>
      </w:r>
    </w:p>
    <w:p w14:paraId="146F6F67" w14:textId="34AF2E5C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  <w:r w:rsidRPr="005733F5">
        <w:rPr>
          <w:rFonts w:ascii="Candara" w:cs="Arial" w:hAnsi="Candara"/>
          <w:b/>
          <w:sz w:val="20"/>
          <w:szCs w:val="20"/>
        </w:rPr>
        <w:t xml:space="preserve">Délégué Syndical CFDT </w:t>
      </w:r>
      <w:r w:rsidRPr="005733F5">
        <w:rPr>
          <w:rFonts w:ascii="Candara" w:cs="Arial" w:hAnsi="Candara"/>
          <w:b/>
          <w:sz w:val="20"/>
          <w:szCs w:val="20"/>
        </w:rPr>
        <w:tab/>
      </w:r>
    </w:p>
    <w:p w14:paraId="42BF458B" w14:textId="77777777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</w:p>
    <w:p w14:paraId="117E5E71" w14:textId="31616314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</w:p>
    <w:p w14:paraId="4DC02FB4" w14:textId="60F2EA46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</w:p>
    <w:p w14:paraId="6212701F" w14:textId="7864364A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</w:p>
    <w:p w14:paraId="3783BDB4" w14:textId="77777777" w:rsidP="00602F28" w:rsidR="0080301D" w:rsidRDefault="0080301D">
      <w:pPr>
        <w:jc w:val="both"/>
        <w:rPr>
          <w:rFonts w:ascii="Candara" w:cs="Arial" w:hAnsi="Candara"/>
          <w:b/>
          <w:sz w:val="20"/>
          <w:szCs w:val="20"/>
        </w:rPr>
      </w:pPr>
    </w:p>
    <w:p w14:paraId="34CD0296" w14:textId="77777777" w:rsidP="00602F28" w:rsidR="00AE5540" w:rsidRDefault="00AE5540">
      <w:pPr>
        <w:jc w:val="both"/>
        <w:rPr>
          <w:rFonts w:ascii="Candara" w:hAnsi="Candara"/>
          <w:color w:val="000000"/>
          <w:sz w:val="22"/>
          <w:szCs w:val="22"/>
        </w:rPr>
      </w:pPr>
      <w:r>
        <w:rPr>
          <w:rFonts w:ascii="Candara" w:hAnsi="Candara"/>
          <w:color w:val="000000"/>
          <w:sz w:val="22"/>
          <w:szCs w:val="22"/>
        </w:rPr>
        <w:t>XXX</w:t>
      </w:r>
      <w:r w:rsidRPr="0056284F">
        <w:rPr>
          <w:rFonts w:ascii="Candara" w:hAnsi="Candara"/>
          <w:color w:val="000000"/>
          <w:sz w:val="22"/>
          <w:szCs w:val="22"/>
        </w:rPr>
        <w:t xml:space="preserve"> </w:t>
      </w:r>
    </w:p>
    <w:p w14:paraId="05C406E9" w14:textId="3879D429" w:rsidP="00602F28" w:rsidR="00602F28" w:rsidRDefault="00602F28" w:rsidRPr="005733F5">
      <w:pPr>
        <w:jc w:val="both"/>
        <w:rPr>
          <w:rFonts w:ascii="Candara" w:cs="Arial" w:hAnsi="Candara"/>
          <w:b/>
          <w:sz w:val="20"/>
          <w:szCs w:val="20"/>
        </w:rPr>
      </w:pPr>
      <w:r w:rsidRPr="005733F5">
        <w:rPr>
          <w:rFonts w:ascii="Candara" w:cs="Arial" w:hAnsi="Candara"/>
          <w:b/>
          <w:sz w:val="20"/>
          <w:szCs w:val="20"/>
        </w:rPr>
        <w:t>Délégué Syndical CGT</w:t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  <w:r w:rsidRPr="005733F5">
        <w:rPr>
          <w:rFonts w:ascii="Candara" w:cs="Arial" w:hAnsi="Candara"/>
          <w:b/>
          <w:sz w:val="20"/>
          <w:szCs w:val="20"/>
        </w:rPr>
        <w:tab/>
      </w:r>
    </w:p>
    <w:p w14:paraId="4A791A84" w14:textId="77777777" w:rsidP="00602F28" w:rsidR="00476780" w:rsidRDefault="00476780" w:rsidRPr="0056284F">
      <w:pPr>
        <w:jc w:val="both"/>
        <w:rPr>
          <w:rFonts w:ascii="Arial" w:cs="Arial" w:hAnsi="Arial"/>
          <w:sz w:val="22"/>
          <w:szCs w:val="22"/>
        </w:rPr>
      </w:pPr>
    </w:p>
    <w:sectPr w:rsidR="00476780" w:rsidRPr="0056284F" w:rsidSect="004C6A9E">
      <w:footerReference r:id="rId13" w:type="default"/>
      <w:pgSz w:h="16838" w:w="11906"/>
      <w:pgMar w:bottom="360" w:footer="340" w:gutter="0" w:header="737" w:left="1417" w:right="991" w:top="9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2F978" w14:textId="77777777" w:rsidR="009119D7" w:rsidRDefault="009119D7">
      <w:r>
        <w:separator/>
      </w:r>
    </w:p>
  </w:endnote>
  <w:endnote w:type="continuationSeparator" w:id="0">
    <w:p w14:paraId="2BD7B740" w14:textId="77777777" w:rsidR="009119D7" w:rsidRDefault="009119D7">
      <w:r>
        <w:continuationSeparator/>
      </w:r>
    </w:p>
  </w:endnote>
  <w:endnote w:type="continuationNotice" w:id="1">
    <w:p w14:paraId="7D23CF49" w14:textId="77777777" w:rsidR="009119D7" w:rsidRDefault="00911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A988BE0" w14:textId="77777777" w:rsidP="00E84614" w:rsidR="00E84614" w:rsidRDefault="00E84614">
    <w:pPr>
      <w:pStyle w:val="Pieddepage"/>
      <w:jc w:val="center"/>
      <w:rPr>
        <w:i/>
        <w:sz w:val="18"/>
      </w:rPr>
    </w:pPr>
    <w:r>
      <w:rPr>
        <w:i/>
        <w:sz w:val="18"/>
      </w:rPr>
      <w:t>RC Chartres 479 801 177 – Code NAF 631 D – SNC au capital de 5 000 000 €</w:t>
    </w:r>
  </w:p>
  <w:p w14:paraId="1ABAACC9" w14:textId="03B9E3AF" w:rsidP="003569D1" w:rsidR="008A0B47" w:rsidRDefault="008A0B47" w:rsidRPr="00DD1818">
    <w:pPr>
      <w:pStyle w:val="Pieddepage"/>
      <w:pBdr>
        <w:top w:color="0070C0" w:space="6" w:sz="4" w:val="dotDotDash"/>
      </w:pBdr>
      <w:spacing w:line="200" w:lineRule="atLeast"/>
      <w:ind w:right="-2"/>
      <w:jc w:val="both"/>
      <w:rPr>
        <w:rFonts w:ascii="Arial" w:hAnsi="Arial"/>
        <w:color w:val="00519E"/>
        <w:sz w:val="14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B51EE7E" w14:textId="77777777" w:rsidR="009119D7" w:rsidRDefault="009119D7">
      <w:r>
        <w:separator/>
      </w:r>
    </w:p>
  </w:footnote>
  <w:footnote w:id="0" w:type="continuationSeparator">
    <w:p w14:paraId="145656A3" w14:textId="77777777" w:rsidR="009119D7" w:rsidRDefault="009119D7">
      <w:r>
        <w:continuationSeparator/>
      </w:r>
    </w:p>
  </w:footnote>
  <w:footnote w:id="1" w:type="continuationNotice">
    <w:p w14:paraId="5C2101A6" w14:textId="77777777" w:rsidR="009119D7" w:rsidRDefault="009119D7"/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64B24CA"/>
    <w:multiLevelType w:val="hybridMultilevel"/>
    <w:tmpl w:val="8D5A4DFA"/>
    <w:lvl w:ilvl="0" w:tplc="040C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29304952"/>
    <w:multiLevelType w:val="hybridMultilevel"/>
    <w:tmpl w:val="188C21F2"/>
    <w:lvl w:ilvl="0" w:tplc="35E85F1C">
      <w:start w:val="28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4005B1E"/>
    <w:multiLevelType w:val="hybridMultilevel"/>
    <w:tmpl w:val="BDA4CD84"/>
    <w:lvl w:ilvl="0" w:tplc="CCD21046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AED0D020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0AD4E97A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82AC93F0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DB7E0DE8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D5CEE24C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FBCEBBBA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72A6C982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0D32786E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3">
    <w:nsid w:val="70787D92"/>
    <w:multiLevelType w:val="hybridMultilevel"/>
    <w:tmpl w:val="CE2C01EA"/>
    <w:lvl w:ilvl="0" w:tplc="AE10379C">
      <w:numFmt w:val="bullet"/>
      <w:lvlText w:val="-"/>
      <w:lvlJc w:val="left"/>
      <w:pPr>
        <w:ind w:hanging="360" w:left="1065"/>
      </w:pPr>
      <w:rPr>
        <w:rFonts w:ascii="Calibri" w:cs="Times New Roman" w:eastAsia="Times New Roman" w:hAnsi="Calibri" w:hint="default"/>
        <w:color w:val="000000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4">
    <w:nsid w:val="7B164B25"/>
    <w:multiLevelType w:val="hybridMultilevel"/>
    <w:tmpl w:val="32902C4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12"/>
    <w:rsid w:val="00001776"/>
    <w:rsid w:val="00013F65"/>
    <w:rsid w:val="0001486B"/>
    <w:rsid w:val="000228C5"/>
    <w:rsid w:val="00033ACE"/>
    <w:rsid w:val="0004094A"/>
    <w:rsid w:val="000410E4"/>
    <w:rsid w:val="0004683F"/>
    <w:rsid w:val="00046920"/>
    <w:rsid w:val="00046928"/>
    <w:rsid w:val="000549E5"/>
    <w:rsid w:val="00056EFA"/>
    <w:rsid w:val="000612AF"/>
    <w:rsid w:val="00063F1A"/>
    <w:rsid w:val="00064600"/>
    <w:rsid w:val="000756A1"/>
    <w:rsid w:val="00076C51"/>
    <w:rsid w:val="00082182"/>
    <w:rsid w:val="000854A4"/>
    <w:rsid w:val="00085F10"/>
    <w:rsid w:val="00092601"/>
    <w:rsid w:val="000A1E00"/>
    <w:rsid w:val="000A408C"/>
    <w:rsid w:val="000B0824"/>
    <w:rsid w:val="000B4B6C"/>
    <w:rsid w:val="000B4D50"/>
    <w:rsid w:val="000D0093"/>
    <w:rsid w:val="000E0677"/>
    <w:rsid w:val="000E1722"/>
    <w:rsid w:val="000E63AD"/>
    <w:rsid w:val="000E7714"/>
    <w:rsid w:val="000F3E1C"/>
    <w:rsid w:val="000F4827"/>
    <w:rsid w:val="0010266E"/>
    <w:rsid w:val="00102A69"/>
    <w:rsid w:val="00114F9A"/>
    <w:rsid w:val="0012263F"/>
    <w:rsid w:val="00126C8A"/>
    <w:rsid w:val="0013236C"/>
    <w:rsid w:val="00135847"/>
    <w:rsid w:val="001375D3"/>
    <w:rsid w:val="001426A8"/>
    <w:rsid w:val="00142FE6"/>
    <w:rsid w:val="001530A7"/>
    <w:rsid w:val="00156C89"/>
    <w:rsid w:val="00160D46"/>
    <w:rsid w:val="00170EE7"/>
    <w:rsid w:val="001939F8"/>
    <w:rsid w:val="00194CDC"/>
    <w:rsid w:val="001B07CF"/>
    <w:rsid w:val="001B54D0"/>
    <w:rsid w:val="001C518A"/>
    <w:rsid w:val="001C59A5"/>
    <w:rsid w:val="001D4892"/>
    <w:rsid w:val="001E541A"/>
    <w:rsid w:val="0020283B"/>
    <w:rsid w:val="002148EC"/>
    <w:rsid w:val="00222696"/>
    <w:rsid w:val="002275A7"/>
    <w:rsid w:val="002370B6"/>
    <w:rsid w:val="00251B17"/>
    <w:rsid w:val="00253BD1"/>
    <w:rsid w:val="002574BC"/>
    <w:rsid w:val="0026488D"/>
    <w:rsid w:val="00267C41"/>
    <w:rsid w:val="00277DE7"/>
    <w:rsid w:val="002A7A9D"/>
    <w:rsid w:val="002B1B9C"/>
    <w:rsid w:val="002B30F4"/>
    <w:rsid w:val="002D1D73"/>
    <w:rsid w:val="002E06FF"/>
    <w:rsid w:val="002E7DE7"/>
    <w:rsid w:val="002F1905"/>
    <w:rsid w:val="002F7DD3"/>
    <w:rsid w:val="00300A2B"/>
    <w:rsid w:val="00307A30"/>
    <w:rsid w:val="003201A1"/>
    <w:rsid w:val="00321350"/>
    <w:rsid w:val="00325101"/>
    <w:rsid w:val="003302D8"/>
    <w:rsid w:val="00335931"/>
    <w:rsid w:val="00340967"/>
    <w:rsid w:val="00350AA5"/>
    <w:rsid w:val="00351A84"/>
    <w:rsid w:val="00352456"/>
    <w:rsid w:val="0035362D"/>
    <w:rsid w:val="003569D1"/>
    <w:rsid w:val="00356B50"/>
    <w:rsid w:val="00373744"/>
    <w:rsid w:val="00390FF0"/>
    <w:rsid w:val="0039792E"/>
    <w:rsid w:val="003A74A1"/>
    <w:rsid w:val="003B040F"/>
    <w:rsid w:val="003B2758"/>
    <w:rsid w:val="003B406F"/>
    <w:rsid w:val="003B60F5"/>
    <w:rsid w:val="003C6C9D"/>
    <w:rsid w:val="003C6DB7"/>
    <w:rsid w:val="003D566B"/>
    <w:rsid w:val="003F6EDB"/>
    <w:rsid w:val="00402C94"/>
    <w:rsid w:val="00404B14"/>
    <w:rsid w:val="0041784C"/>
    <w:rsid w:val="00426B0B"/>
    <w:rsid w:val="00430044"/>
    <w:rsid w:val="00434758"/>
    <w:rsid w:val="004349FB"/>
    <w:rsid w:val="0043564D"/>
    <w:rsid w:val="0043604D"/>
    <w:rsid w:val="0044674B"/>
    <w:rsid w:val="00457365"/>
    <w:rsid w:val="004579DF"/>
    <w:rsid w:val="00457EE6"/>
    <w:rsid w:val="004634BD"/>
    <w:rsid w:val="00466251"/>
    <w:rsid w:val="00466CB8"/>
    <w:rsid w:val="00470555"/>
    <w:rsid w:val="00471D29"/>
    <w:rsid w:val="00472572"/>
    <w:rsid w:val="00476780"/>
    <w:rsid w:val="00476FF1"/>
    <w:rsid w:val="00477355"/>
    <w:rsid w:val="00484A3A"/>
    <w:rsid w:val="00496AE7"/>
    <w:rsid w:val="004A6B35"/>
    <w:rsid w:val="004B4FA0"/>
    <w:rsid w:val="004B61A9"/>
    <w:rsid w:val="004C08A2"/>
    <w:rsid w:val="004C6099"/>
    <w:rsid w:val="004C6A9E"/>
    <w:rsid w:val="004D515F"/>
    <w:rsid w:val="004E157F"/>
    <w:rsid w:val="004F2509"/>
    <w:rsid w:val="004F3CB6"/>
    <w:rsid w:val="004F5AB0"/>
    <w:rsid w:val="004F62B5"/>
    <w:rsid w:val="005003F9"/>
    <w:rsid w:val="00500CA7"/>
    <w:rsid w:val="005031B4"/>
    <w:rsid w:val="00503697"/>
    <w:rsid w:val="005142C3"/>
    <w:rsid w:val="00515A56"/>
    <w:rsid w:val="005215C6"/>
    <w:rsid w:val="00526819"/>
    <w:rsid w:val="00534D91"/>
    <w:rsid w:val="00540852"/>
    <w:rsid w:val="00542544"/>
    <w:rsid w:val="00553290"/>
    <w:rsid w:val="0055340B"/>
    <w:rsid w:val="00557939"/>
    <w:rsid w:val="0056284F"/>
    <w:rsid w:val="00565198"/>
    <w:rsid w:val="00570E73"/>
    <w:rsid w:val="0057237A"/>
    <w:rsid w:val="0057289F"/>
    <w:rsid w:val="00573F7A"/>
    <w:rsid w:val="005775E7"/>
    <w:rsid w:val="0058705D"/>
    <w:rsid w:val="0058706E"/>
    <w:rsid w:val="00590761"/>
    <w:rsid w:val="00591367"/>
    <w:rsid w:val="00593896"/>
    <w:rsid w:val="005A375A"/>
    <w:rsid w:val="005A6785"/>
    <w:rsid w:val="005B177C"/>
    <w:rsid w:val="005C044F"/>
    <w:rsid w:val="005D0B88"/>
    <w:rsid w:val="005D5303"/>
    <w:rsid w:val="005E493B"/>
    <w:rsid w:val="005F0B8E"/>
    <w:rsid w:val="00602F28"/>
    <w:rsid w:val="00603953"/>
    <w:rsid w:val="00607246"/>
    <w:rsid w:val="00615BC5"/>
    <w:rsid w:val="00620F88"/>
    <w:rsid w:val="00624A23"/>
    <w:rsid w:val="006257DC"/>
    <w:rsid w:val="0063461C"/>
    <w:rsid w:val="0063465C"/>
    <w:rsid w:val="00644AD3"/>
    <w:rsid w:val="0064636E"/>
    <w:rsid w:val="00650F45"/>
    <w:rsid w:val="00653CBA"/>
    <w:rsid w:val="00656077"/>
    <w:rsid w:val="006718F4"/>
    <w:rsid w:val="00673901"/>
    <w:rsid w:val="00676A8F"/>
    <w:rsid w:val="0068129B"/>
    <w:rsid w:val="00681478"/>
    <w:rsid w:val="006859F4"/>
    <w:rsid w:val="00696114"/>
    <w:rsid w:val="00697F45"/>
    <w:rsid w:val="006A395D"/>
    <w:rsid w:val="006A7582"/>
    <w:rsid w:val="006A7D74"/>
    <w:rsid w:val="006B479E"/>
    <w:rsid w:val="006B4E4D"/>
    <w:rsid w:val="006D36BF"/>
    <w:rsid w:val="006D46F0"/>
    <w:rsid w:val="006E0451"/>
    <w:rsid w:val="006E40F8"/>
    <w:rsid w:val="006E5914"/>
    <w:rsid w:val="006E7B56"/>
    <w:rsid w:val="006F747C"/>
    <w:rsid w:val="00701C62"/>
    <w:rsid w:val="00714516"/>
    <w:rsid w:val="00724C5A"/>
    <w:rsid w:val="007263E4"/>
    <w:rsid w:val="00727E21"/>
    <w:rsid w:val="00757A65"/>
    <w:rsid w:val="00763773"/>
    <w:rsid w:val="00767986"/>
    <w:rsid w:val="00780299"/>
    <w:rsid w:val="00781EE2"/>
    <w:rsid w:val="00785130"/>
    <w:rsid w:val="00785FDE"/>
    <w:rsid w:val="007918F5"/>
    <w:rsid w:val="007A53A9"/>
    <w:rsid w:val="007A7C97"/>
    <w:rsid w:val="007B7D9A"/>
    <w:rsid w:val="007C27B7"/>
    <w:rsid w:val="007C4101"/>
    <w:rsid w:val="007D70B8"/>
    <w:rsid w:val="007E185B"/>
    <w:rsid w:val="007F0FE2"/>
    <w:rsid w:val="007F2048"/>
    <w:rsid w:val="007F61FF"/>
    <w:rsid w:val="00801982"/>
    <w:rsid w:val="0080301D"/>
    <w:rsid w:val="0080430A"/>
    <w:rsid w:val="0081270B"/>
    <w:rsid w:val="00813F6C"/>
    <w:rsid w:val="00836741"/>
    <w:rsid w:val="008474D0"/>
    <w:rsid w:val="008626E3"/>
    <w:rsid w:val="00863067"/>
    <w:rsid w:val="00873665"/>
    <w:rsid w:val="00874257"/>
    <w:rsid w:val="00874C9C"/>
    <w:rsid w:val="00882D12"/>
    <w:rsid w:val="00883009"/>
    <w:rsid w:val="00883EAD"/>
    <w:rsid w:val="008858CA"/>
    <w:rsid w:val="008937A4"/>
    <w:rsid w:val="00893FC8"/>
    <w:rsid w:val="00895D78"/>
    <w:rsid w:val="008A0B47"/>
    <w:rsid w:val="008C72B2"/>
    <w:rsid w:val="008D0FA9"/>
    <w:rsid w:val="008D62AD"/>
    <w:rsid w:val="008D6BC9"/>
    <w:rsid w:val="008E0EF5"/>
    <w:rsid w:val="008E3C1A"/>
    <w:rsid w:val="008E4F54"/>
    <w:rsid w:val="008E7091"/>
    <w:rsid w:val="008E7425"/>
    <w:rsid w:val="008F16A6"/>
    <w:rsid w:val="008F63A5"/>
    <w:rsid w:val="008F7F1A"/>
    <w:rsid w:val="00903990"/>
    <w:rsid w:val="009119D7"/>
    <w:rsid w:val="009145DF"/>
    <w:rsid w:val="00917F07"/>
    <w:rsid w:val="00934814"/>
    <w:rsid w:val="009409FA"/>
    <w:rsid w:val="00942E66"/>
    <w:rsid w:val="00943F84"/>
    <w:rsid w:val="0094529A"/>
    <w:rsid w:val="00952C5B"/>
    <w:rsid w:val="0095529D"/>
    <w:rsid w:val="00960C98"/>
    <w:rsid w:val="009615EA"/>
    <w:rsid w:val="00965AC7"/>
    <w:rsid w:val="009671E9"/>
    <w:rsid w:val="00973068"/>
    <w:rsid w:val="00973CF6"/>
    <w:rsid w:val="00976AEC"/>
    <w:rsid w:val="00980A43"/>
    <w:rsid w:val="0098175D"/>
    <w:rsid w:val="00981890"/>
    <w:rsid w:val="009836F6"/>
    <w:rsid w:val="009868E4"/>
    <w:rsid w:val="00991A89"/>
    <w:rsid w:val="00992794"/>
    <w:rsid w:val="0099339D"/>
    <w:rsid w:val="009A071C"/>
    <w:rsid w:val="009A0877"/>
    <w:rsid w:val="009A41B0"/>
    <w:rsid w:val="009B4996"/>
    <w:rsid w:val="009B543A"/>
    <w:rsid w:val="009C50CA"/>
    <w:rsid w:val="009D48FA"/>
    <w:rsid w:val="009D5224"/>
    <w:rsid w:val="009D74C7"/>
    <w:rsid w:val="009E3B4A"/>
    <w:rsid w:val="009E55BE"/>
    <w:rsid w:val="009E5F5A"/>
    <w:rsid w:val="009E6B9C"/>
    <w:rsid w:val="009E72B1"/>
    <w:rsid w:val="009F7CF5"/>
    <w:rsid w:val="00A019D8"/>
    <w:rsid w:val="00A0416F"/>
    <w:rsid w:val="00A14AFC"/>
    <w:rsid w:val="00A241C0"/>
    <w:rsid w:val="00A362DC"/>
    <w:rsid w:val="00A37C73"/>
    <w:rsid w:val="00A41BA7"/>
    <w:rsid w:val="00A50C18"/>
    <w:rsid w:val="00A65071"/>
    <w:rsid w:val="00A74BF9"/>
    <w:rsid w:val="00A77852"/>
    <w:rsid w:val="00A84C32"/>
    <w:rsid w:val="00A94051"/>
    <w:rsid w:val="00A9556E"/>
    <w:rsid w:val="00A9629A"/>
    <w:rsid w:val="00AA1855"/>
    <w:rsid w:val="00AB388A"/>
    <w:rsid w:val="00AC2C3C"/>
    <w:rsid w:val="00AC5F4E"/>
    <w:rsid w:val="00AC6A3E"/>
    <w:rsid w:val="00AD086D"/>
    <w:rsid w:val="00AD5E8A"/>
    <w:rsid w:val="00AE5540"/>
    <w:rsid w:val="00AF0140"/>
    <w:rsid w:val="00B02B1A"/>
    <w:rsid w:val="00B02DFF"/>
    <w:rsid w:val="00B25A54"/>
    <w:rsid w:val="00B345E5"/>
    <w:rsid w:val="00B501F1"/>
    <w:rsid w:val="00B657EC"/>
    <w:rsid w:val="00B70B30"/>
    <w:rsid w:val="00B76127"/>
    <w:rsid w:val="00B85482"/>
    <w:rsid w:val="00B9206D"/>
    <w:rsid w:val="00BA610D"/>
    <w:rsid w:val="00BA740B"/>
    <w:rsid w:val="00BD5963"/>
    <w:rsid w:val="00C02568"/>
    <w:rsid w:val="00C15F26"/>
    <w:rsid w:val="00C24CA0"/>
    <w:rsid w:val="00C25821"/>
    <w:rsid w:val="00C25E9D"/>
    <w:rsid w:val="00C30302"/>
    <w:rsid w:val="00C32D32"/>
    <w:rsid w:val="00C357C6"/>
    <w:rsid w:val="00C37CEA"/>
    <w:rsid w:val="00C4667D"/>
    <w:rsid w:val="00C51BEE"/>
    <w:rsid w:val="00C55B0F"/>
    <w:rsid w:val="00C60A16"/>
    <w:rsid w:val="00C64C39"/>
    <w:rsid w:val="00C66EAF"/>
    <w:rsid w:val="00C92E7B"/>
    <w:rsid w:val="00CA4B6F"/>
    <w:rsid w:val="00CA655C"/>
    <w:rsid w:val="00CA6F6C"/>
    <w:rsid w:val="00CC5321"/>
    <w:rsid w:val="00CE78FD"/>
    <w:rsid w:val="00CF1F8E"/>
    <w:rsid w:val="00CF630D"/>
    <w:rsid w:val="00CF69FC"/>
    <w:rsid w:val="00D0160E"/>
    <w:rsid w:val="00D118CC"/>
    <w:rsid w:val="00D1733A"/>
    <w:rsid w:val="00D2156A"/>
    <w:rsid w:val="00D2294B"/>
    <w:rsid w:val="00D237BC"/>
    <w:rsid w:val="00D25611"/>
    <w:rsid w:val="00D26DCE"/>
    <w:rsid w:val="00D30288"/>
    <w:rsid w:val="00D40583"/>
    <w:rsid w:val="00D40E8D"/>
    <w:rsid w:val="00D41283"/>
    <w:rsid w:val="00D5655B"/>
    <w:rsid w:val="00D61ED0"/>
    <w:rsid w:val="00D62758"/>
    <w:rsid w:val="00D7209C"/>
    <w:rsid w:val="00D856CA"/>
    <w:rsid w:val="00D92A59"/>
    <w:rsid w:val="00DB047B"/>
    <w:rsid w:val="00DB059A"/>
    <w:rsid w:val="00DB2C0D"/>
    <w:rsid w:val="00DB5EB9"/>
    <w:rsid w:val="00DC2F95"/>
    <w:rsid w:val="00DC63B2"/>
    <w:rsid w:val="00DD1818"/>
    <w:rsid w:val="00DD4AE7"/>
    <w:rsid w:val="00DE0345"/>
    <w:rsid w:val="00DE2979"/>
    <w:rsid w:val="00DF5244"/>
    <w:rsid w:val="00DF7633"/>
    <w:rsid w:val="00DF77C6"/>
    <w:rsid w:val="00E01496"/>
    <w:rsid w:val="00E16544"/>
    <w:rsid w:val="00E26F36"/>
    <w:rsid w:val="00E275DF"/>
    <w:rsid w:val="00E32337"/>
    <w:rsid w:val="00E3737B"/>
    <w:rsid w:val="00E37692"/>
    <w:rsid w:val="00E51AD7"/>
    <w:rsid w:val="00E55AF4"/>
    <w:rsid w:val="00E57EFB"/>
    <w:rsid w:val="00E613D3"/>
    <w:rsid w:val="00E64FF0"/>
    <w:rsid w:val="00E73030"/>
    <w:rsid w:val="00E7797B"/>
    <w:rsid w:val="00E83B4D"/>
    <w:rsid w:val="00E843EB"/>
    <w:rsid w:val="00E84614"/>
    <w:rsid w:val="00E92AB4"/>
    <w:rsid w:val="00E93925"/>
    <w:rsid w:val="00E94126"/>
    <w:rsid w:val="00E96573"/>
    <w:rsid w:val="00EA1D7B"/>
    <w:rsid w:val="00EA1FC2"/>
    <w:rsid w:val="00EA7307"/>
    <w:rsid w:val="00EB003A"/>
    <w:rsid w:val="00EB07F2"/>
    <w:rsid w:val="00EB342A"/>
    <w:rsid w:val="00EB3D93"/>
    <w:rsid w:val="00EB5A0F"/>
    <w:rsid w:val="00EC7230"/>
    <w:rsid w:val="00ED0D80"/>
    <w:rsid w:val="00ED4038"/>
    <w:rsid w:val="00ED78FF"/>
    <w:rsid w:val="00EE040C"/>
    <w:rsid w:val="00EE271C"/>
    <w:rsid w:val="00EE2D28"/>
    <w:rsid w:val="00EE70A7"/>
    <w:rsid w:val="00EE73BB"/>
    <w:rsid w:val="00EF0C0E"/>
    <w:rsid w:val="00EF2355"/>
    <w:rsid w:val="00F00868"/>
    <w:rsid w:val="00F0418F"/>
    <w:rsid w:val="00F0590E"/>
    <w:rsid w:val="00F07052"/>
    <w:rsid w:val="00F07307"/>
    <w:rsid w:val="00F16002"/>
    <w:rsid w:val="00F275C7"/>
    <w:rsid w:val="00F3711B"/>
    <w:rsid w:val="00F37121"/>
    <w:rsid w:val="00F42D19"/>
    <w:rsid w:val="00F569C0"/>
    <w:rsid w:val="00F57434"/>
    <w:rsid w:val="00F65DBE"/>
    <w:rsid w:val="00F67E27"/>
    <w:rsid w:val="00F8358A"/>
    <w:rsid w:val="00F849A4"/>
    <w:rsid w:val="00F85050"/>
    <w:rsid w:val="00F90B00"/>
    <w:rsid w:val="00F93AF2"/>
    <w:rsid w:val="00F94D98"/>
    <w:rsid w:val="00FA12D8"/>
    <w:rsid w:val="00FA1645"/>
    <w:rsid w:val="00FA6816"/>
    <w:rsid w:val="00FA722C"/>
    <w:rsid w:val="00FC0FD9"/>
    <w:rsid w:val="00FC2741"/>
    <w:rsid w:val="00FD5E3C"/>
    <w:rsid w:val="00FD5EC8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4097" v:ext="edit"/>
    <o:shapelayout v:ext="edit">
      <o:idmap data="1" v:ext="edit"/>
    </o:shapelayout>
  </w:shapeDefaults>
  <w:decimalSymbol w:val=","/>
  <w:listSeparator w:val=";"/>
  <w14:docId w14:val="6D2A13E3"/>
  <w15:chartTrackingRefBased/>
  <w15:docId w15:val="{88B72208-69EF-46E5-87FB-B7FAEEA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9629A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rsid w:val="009615EA"/>
    <w:rPr>
      <w:color w:val="0000FF"/>
      <w:u w:val="single"/>
    </w:rPr>
  </w:style>
  <w:style w:styleId="En-tte" w:type="paragraph">
    <w:name w:val="header"/>
    <w:basedOn w:val="Normal"/>
    <w:link w:val="En-tteCar"/>
    <w:uiPriority w:val="99"/>
    <w:rsid w:val="009C50CA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9C50CA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link w:val="TextedebullesCar"/>
    <w:rsid w:val="008E4F54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rsid w:val="008E4F54"/>
    <w:rPr>
      <w:rFonts w:ascii="Segoe UI" w:cs="Segoe UI" w:hAnsi="Segoe UI"/>
      <w:sz w:val="18"/>
      <w:szCs w:val="18"/>
    </w:rPr>
  </w:style>
  <w:style w:customStyle="1" w:styleId="PieddepageCar" w:type="character">
    <w:name w:val="Pied de page Car"/>
    <w:link w:val="Pieddepage"/>
    <w:uiPriority w:val="99"/>
    <w:rsid w:val="009671E9"/>
    <w:rPr>
      <w:sz w:val="24"/>
      <w:szCs w:val="24"/>
    </w:rPr>
  </w:style>
  <w:style w:styleId="Textedelespacerserv" w:type="character">
    <w:name w:val="Placeholder Text"/>
    <w:basedOn w:val="Policepardfaut"/>
    <w:uiPriority w:val="99"/>
    <w:semiHidden/>
    <w:rsid w:val="003201A1"/>
    <w:rPr>
      <w:color w:val="808080"/>
    </w:rPr>
  </w:style>
  <w:style w:customStyle="1" w:styleId="Style1" w:type="character">
    <w:name w:val="Style1"/>
    <w:basedOn w:val="Policepardfaut"/>
    <w:rsid w:val="003201A1"/>
    <w:rPr>
      <w:i/>
    </w:rPr>
  </w:style>
  <w:style w:customStyle="1" w:styleId="Style2" w:type="character">
    <w:name w:val="Style2"/>
    <w:basedOn w:val="Policepardfaut"/>
    <w:rsid w:val="003201A1"/>
    <w:rPr>
      <w:i/>
    </w:rPr>
  </w:style>
  <w:style w:customStyle="1" w:styleId="Style3" w:type="character">
    <w:name w:val="Style3"/>
    <w:basedOn w:val="Policepardfaut"/>
    <w:uiPriority w:val="1"/>
    <w:rsid w:val="00EA1FC2"/>
  </w:style>
  <w:style w:styleId="Paragraphedeliste" w:type="paragraph">
    <w:name w:val="List Paragraph"/>
    <w:basedOn w:val="Normal"/>
    <w:uiPriority w:val="34"/>
    <w:qFormat/>
    <w:rsid w:val="0010266E"/>
    <w:pPr>
      <w:ind w:left="720"/>
      <w:contextualSpacing/>
    </w:pPr>
  </w:style>
  <w:style w:styleId="lev" w:type="character">
    <w:name w:val="Strong"/>
    <w:qFormat/>
    <w:rsid w:val="00B9206D"/>
    <w:rPr>
      <w:b/>
      <w:bCs/>
    </w:rPr>
  </w:style>
  <w:style w:styleId="Marquedecommentaire" w:type="character">
    <w:name w:val="annotation reference"/>
    <w:basedOn w:val="Policepardfaut"/>
    <w:rsid w:val="00650F45"/>
    <w:rPr>
      <w:sz w:val="16"/>
      <w:szCs w:val="16"/>
    </w:rPr>
  </w:style>
  <w:style w:styleId="Commentaire" w:type="paragraph">
    <w:name w:val="annotation text"/>
    <w:basedOn w:val="Normal"/>
    <w:link w:val="CommentaireCar"/>
    <w:rsid w:val="00650F45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650F45"/>
  </w:style>
  <w:style w:styleId="Objetducommentaire" w:type="paragraph">
    <w:name w:val="annotation subject"/>
    <w:basedOn w:val="Commentaire"/>
    <w:next w:val="Commentaire"/>
    <w:link w:val="ObjetducommentaireCar"/>
    <w:rsid w:val="00650F4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rsid w:val="00650F45"/>
    <w:rPr>
      <w:b/>
      <w:bCs/>
    </w:rPr>
  </w:style>
  <w:style w:styleId="Mentionnonrsolue" w:type="character">
    <w:name w:val="Unresolved Mention"/>
    <w:basedOn w:val="Policepardfaut"/>
    <w:uiPriority w:val="99"/>
    <w:semiHidden/>
    <w:unhideWhenUsed/>
    <w:rsid w:val="004634BD"/>
    <w:rPr>
      <w:color w:val="605E5C"/>
      <w:shd w:color="auto" w:fill="E1DFDD" w:val="clear"/>
    </w:rPr>
  </w:style>
  <w:style w:styleId="Rvision" w:type="paragraph">
    <w:name w:val="Revision"/>
    <w:hidden/>
    <w:uiPriority w:val="99"/>
    <w:semiHidden/>
    <w:rsid w:val="00D1733A"/>
    <w:rPr>
      <w:sz w:val="24"/>
      <w:szCs w:val="24"/>
    </w:rPr>
  </w:style>
  <w:style w:styleId="TableauGrille4-Accentuation1" w:type="table">
    <w:name w:val="Grid Table 4 Accent 1"/>
    <w:basedOn w:val="TableauNormal"/>
    <w:uiPriority w:val="49"/>
    <w:rsid w:val="00952C5B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Borders>
        <w:top w:color="8EAADB" w:space="0" w:sz="4" w:themeColor="accent1" w:themeTint="99" w:val="single"/>
        <w:left w:color="8EAADB" w:space="0" w:sz="4" w:themeColor="accent1" w:themeTint="99" w:val="single"/>
        <w:bottom w:color="8EAADB" w:space="0" w:sz="4" w:themeColor="accent1" w:themeTint="99" w:val="single"/>
        <w:right w:color="8EAADB" w:space="0" w:sz="4" w:themeColor="accent1" w:themeTint="99" w:val="single"/>
        <w:insideH w:color="8EAADB" w:space="0" w:sz="4" w:themeColor="accent1" w:themeTint="99" w:val="single"/>
        <w:insideV w:color="8EAADB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val="nil"/>
          <w:insideV w:val="nil"/>
        </w:tcBorders>
        <w:shd w:color="auto" w:fill="4472C4" w:themeFill="accent1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1" w:themeFillTint="33" w:val="clear"/>
      </w:tcPr>
    </w:tblStylePr>
    <w:tblStylePr w:type="band1Horz">
      <w:tblPr/>
      <w:tcPr>
        <w:shd w:color="auto" w:fill="D9E2F3" w:themeFill="accent1" w:themeFillTint="33" w:val="clear"/>
      </w:tcPr>
    </w:tblStylePr>
  </w:style>
  <w:style w:customStyle="1" w:styleId="En-tteCar" w:type="character">
    <w:name w:val="En-tête Car"/>
    <w:basedOn w:val="Policepardfaut"/>
    <w:link w:val="En-tte"/>
    <w:uiPriority w:val="99"/>
    <w:rsid w:val="003569D1"/>
    <w:rPr>
      <w:sz w:val="24"/>
      <w:szCs w:val="24"/>
    </w:rPr>
  </w:style>
  <w:style w:styleId="NormalWeb" w:type="paragraph">
    <w:name w:val="Normal (Web)"/>
    <w:basedOn w:val="Normal"/>
    <w:uiPriority w:val="99"/>
    <w:unhideWhenUsed/>
    <w:rsid w:val="00697F45"/>
    <w:pPr>
      <w:spacing w:after="100" w:afterAutospacing="1"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media/image1.png" Type="http://schemas.openxmlformats.org/officeDocument/2006/relationships/image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?mso-contentType ?>
<SharedContentType xmlns="Microsoft.SharePoint.Taxonomy.ContentTypeSync" SourceId="80f16e7b-3dad-4e76-95bd-24ba869350f3" ContentTypeId="0x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6d0f58-b582-4b04-b138-e91d105ca36a" xsi:nil="true"/>
    <lcf76f155ced4ddcb4097134ff3c332f xmlns="71c8f285-d8d2-4c01-a2a3-42c99c159d8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A263CC81E40468C01A8FF79B1827E" ma:contentTypeVersion="" ma:contentTypeDescription="Crée un document." ma:contentTypeScope="" ma:versionID="abb555eed8c63f17d2fda48fdee7b2ed">
  <xsd:schema xmlns:xsd="http://www.w3.org/2001/XMLSchema" xmlns:xs="http://www.w3.org/2001/XMLSchema" xmlns:p="http://schemas.microsoft.com/office/2006/metadata/properties" xmlns:ns2="71c8f285-d8d2-4c01-a2a3-42c99c159d8a" xmlns:ns3="bd21dda0-f372-4069-a857-a60ca470ee0b" xmlns:ns4="1a6d0f58-b582-4b04-b138-e91d105ca36a" targetNamespace="http://schemas.microsoft.com/office/2006/metadata/properties" ma:root="true" ma:fieldsID="1b30f7507e511316c1b7ed6c777da703" ns2:_="" ns3:_="" ns4:_="">
    <xsd:import namespace="71c8f285-d8d2-4c01-a2a3-42c99c159d8a"/>
    <xsd:import namespace="bd21dda0-f372-4069-a857-a60ca470ee0b"/>
    <xsd:import namespace="1a6d0f58-b582-4b04-b138-e91d105ca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8f285-d8d2-4c01-a2a3-42c99c159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80f16e7b-3dad-4e76-95bd-24ba869350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1dda0-f372-4069-a857-a60ca470ee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d0f58-b582-4b04-b138-e91d105ca36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44849A2-A899-4D1A-839B-1B267F963F18}" ma:internalName="TaxCatchAll" ma:showField="CatchAllData" ma:web="{bd21dda0-f372-4069-a857-a60ca470ee0b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6A988-AF49-4A4A-B352-18E23B77C09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5E12B27-EB8C-4D96-8D7E-6574AA01D0D7}">
  <ds:schemaRefs>
    <ds:schemaRef ds:uri="http://schemas.microsoft.com/office/2006/metadata/properties"/>
    <ds:schemaRef ds:uri="http://schemas.microsoft.com/office/infopath/2007/PartnerControls"/>
    <ds:schemaRef ds:uri="1a6d0f58-b582-4b04-b138-e91d105ca36a"/>
    <ds:schemaRef ds:uri="71c8f285-d8d2-4c01-a2a3-42c99c159d8a"/>
  </ds:schemaRefs>
</ds:datastoreItem>
</file>

<file path=customXml/itemProps3.xml><?xml version="1.0" encoding="utf-8"?>
<ds:datastoreItem xmlns:ds="http://schemas.openxmlformats.org/officeDocument/2006/customXml" ds:itemID="{E6A65D66-B1C5-4446-9230-793DE185F5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5AE31D-5ED1-4550-A312-2C20E65C7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8f285-d8d2-4c01-a2a3-42c99c159d8a"/>
    <ds:schemaRef ds:uri="bd21dda0-f372-4069-a857-a60ca470ee0b"/>
    <ds:schemaRef ds:uri="1a6d0f58-b582-4b04-b138-e91d105ca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5347F0-7982-4480-9988-8E2249A91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6277</Characters>
  <Application>Microsoft Office Word</Application>
  <DocSecurity>0</DocSecurity>
  <Lines>52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 </vt:lpstr>
    </vt:vector>
  </TitlesOfParts>
  <Company/>
  <LinksUpToDate>false</LinksUpToDate>
  <CharactersWithSpaces>7457</CharactersWithSpaces>
  <SharedDoc>false</SharedDoc>
  <HLinks>
    <vt:vector baseType="variant" size="6">
      <vt:variant>
        <vt:i4>8126481</vt:i4>
      </vt:variant>
      <vt:variant>
        <vt:i4>-1</vt:i4>
      </vt:variant>
      <vt:variant>
        <vt:i4>1026</vt:i4>
      </vt:variant>
      <vt:variant>
        <vt:i4>1</vt:i4>
      </vt:variant>
      <vt:variant>
        <vt:lpwstr>cid:image002.jpg@01C70ED7.0D3B3510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2022-11-18T16:34:00Z</dcterms:created>
  <cp:lastPrinted>2021-12-02T12:13:00Z</cp:lastPrinted>
  <dcterms:modified xsi:type="dcterms:W3CDTF">2022-11-23T10:43:00Z</dcterms:modified>
  <cp:revision>63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2a5b38f5-dce1-40db-a33c-303f2dfb669e_Enabled" pid="2">
    <vt:lpwstr>true</vt:lpwstr>
  </property>
  <property fmtid="{D5CDD505-2E9C-101B-9397-08002B2CF9AE}" name="MSIP_Label_2a5b38f5-dce1-40db-a33c-303f2dfb669e_SetDate" pid="3">
    <vt:lpwstr>2021-12-02T08:08:01Z</vt:lpwstr>
  </property>
  <property fmtid="{D5CDD505-2E9C-101B-9397-08002B2CF9AE}" name="MSIP_Label_2a5b38f5-dce1-40db-a33c-303f2dfb669e_Method" pid="4">
    <vt:lpwstr>Privileged</vt:lpwstr>
  </property>
  <property fmtid="{D5CDD505-2E9C-101B-9397-08002B2CF9AE}" name="MSIP_Label_2a5b38f5-dce1-40db-a33c-303f2dfb669e_Name" pid="5">
    <vt:lpwstr>2a5b38f5-dce1-40db-a33c-303f2dfb669e</vt:lpwstr>
  </property>
  <property fmtid="{D5CDD505-2E9C-101B-9397-08002B2CF9AE}" name="MSIP_Label_2a5b38f5-dce1-40db-a33c-303f2dfb669e_SiteId" pid="6">
    <vt:lpwstr>f1a067bb-a10a-4f3a-acca-46fdfd6431b1</vt:lpwstr>
  </property>
  <property fmtid="{D5CDD505-2E9C-101B-9397-08002B2CF9AE}" name="MSIP_Label_2a5b38f5-dce1-40db-a33c-303f2dfb669e_ActionId" pid="7">
    <vt:lpwstr>639f2d1a-213c-4a69-b108-750bf477ed1c</vt:lpwstr>
  </property>
  <property fmtid="{D5CDD505-2E9C-101B-9397-08002B2CF9AE}" name="MSIP_Label_2a5b38f5-dce1-40db-a33c-303f2dfb669e_ContentBits" pid="8">
    <vt:lpwstr>0</vt:lpwstr>
  </property>
  <property fmtid="{D5CDD505-2E9C-101B-9397-08002B2CF9AE}" name="Order" pid="9">
    <vt:r8>671600</vt:r8>
  </property>
  <property fmtid="{D5CDD505-2E9C-101B-9397-08002B2CF9AE}" name="ContentTypeId" pid="10">
    <vt:lpwstr>0x010100E3F02407723A4444B71207081393A314</vt:lpwstr>
  </property>
  <property fmtid="{D5CDD505-2E9C-101B-9397-08002B2CF9AE}" name="MediaServiceImageTags" pid="11">
    <vt:lpwstr/>
  </property>
</Properties>
</file>