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nil" w:sz="4" w:space="1" w:color="000000"/>
          <w:left w:val="nil" w:sz="4" w:space="4" w:color="000000"/>
          <w:bottom w:val="nil" w:sz="4" w:space="1" w:color="000000"/>
          <w:right w:val="nil" w:sz="4" w:space="4" w:color="000000"/>
        </w:pBdr>
        <w:ind w:left="1620" w:right="1512" w:hanging="0"/>
        <w:jc w:val="center"/>
        <w:rPr>
          <w:rFonts w:ascii="Arial" w:hAnsi="Arial" w:cs="Arial"/>
          <w:b/>
          <w:b/>
          <w:sz w:val="32"/>
          <w:szCs w:val="32"/>
        </w:rPr>
      </w:pPr>
      <w:r>
        <w:rPr>
          <w:rFonts w:cs="Arial" w:ascii="Arial" w:hAnsi="Arial"/>
          <w:b/>
          <w:sz w:val="32"/>
          <w:szCs w:val="32"/>
        </w:rPr>
        <w:t>Accord d’entreprise</w:t>
      </w:r>
    </w:p>
    <w:p>
      <w:pPr>
        <w:pStyle w:val="Normal"/>
        <w:pBdr>
          <w:top w:val="nil" w:sz="4" w:space="1" w:color="000000"/>
          <w:left w:val="nil" w:sz="4" w:space="4" w:color="000000"/>
          <w:bottom w:val="nil" w:sz="4" w:space="1" w:color="000000"/>
          <w:right w:val="nil" w:sz="4" w:space="4" w:color="000000"/>
        </w:pBdr>
        <w:ind w:left="1620" w:right="1512" w:hanging="0"/>
        <w:jc w:val="center"/>
        <w:rPr>
          <w:rFonts w:ascii="Arial" w:hAnsi="Arial" w:cs="Arial"/>
          <w:b/>
          <w:b/>
          <w:sz w:val="32"/>
          <w:szCs w:val="32"/>
          <w:u w:val="single"/>
        </w:rPr>
      </w:pPr>
      <w:r>
        <w:rPr>
          <w:rFonts w:cs="Arial" w:ascii="Arial" w:hAnsi="Arial"/>
          <w:b/>
          <w:sz w:val="32"/>
          <w:szCs w:val="32"/>
        </w:rPr>
        <w:t>portant sur les négociations annuelles obligatoires 2022</w:t>
      </w:r>
    </w:p>
    <w:p>
      <w:pPr>
        <w:pStyle w:val="Normal"/>
        <w:rPr>
          <w:rFonts w:ascii="Arial" w:hAnsi="Arial" w:cs="Arial"/>
          <w:b/>
          <w:b/>
          <w:sz w:val="22"/>
          <w:szCs w:val="22"/>
          <w:u w:val="single"/>
        </w:rPr>
      </w:pPr>
      <w:r>
        <w:rPr>
          <w:rFonts w:cs="Arial" w:ascii="Arial" w:hAnsi="Arial"/>
          <w:b/>
          <w:sz w:val="22"/>
          <w:szCs w:val="22"/>
          <w:u w:val="single"/>
        </w:rPr>
      </w:r>
    </w:p>
    <w:p>
      <w:pPr>
        <w:pStyle w:val="Normal"/>
        <w:rPr/>
      </w:pPr>
      <w:r>
        <w:rPr>
          <w:rFonts w:cs="Arial" w:ascii="Arial" w:hAnsi="Arial"/>
          <w:b/>
          <w:sz w:val="22"/>
          <w:szCs w:val="22"/>
        </w:rPr>
        <w:t>Entre</w:t>
      </w:r>
      <w:r>
        <w:rPr>
          <w:rFonts w:cs="Arial" w:ascii="Arial" w:hAnsi="Arial"/>
          <w:sz w:val="22"/>
          <w:szCs w:val="22"/>
        </w:rPr>
        <w:t> :</w:t>
      </w:r>
    </w:p>
    <w:p>
      <w:pPr>
        <w:pStyle w:val="Normal"/>
        <w:rPr/>
      </w:pPr>
      <w:r>
        <w:rPr>
          <w:rFonts w:cs="Arial" w:ascii="Arial" w:hAnsi="Arial"/>
          <w:sz w:val="22"/>
          <w:szCs w:val="22"/>
        </w:rPr>
        <w:t xml:space="preserve">La Société Publique Locale Chartres métropole transports, représentée par son Directeur général,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b/>
          <w:sz w:val="22"/>
          <w:szCs w:val="22"/>
        </w:rPr>
        <w:t>Et</w:t>
      </w:r>
      <w:r>
        <w:rPr>
          <w:rFonts w:cs="Arial" w:ascii="Arial" w:hAnsi="Arial"/>
          <w:sz w:val="22"/>
          <w:szCs w:val="22"/>
        </w:rPr>
        <w:t xml:space="preserve"> </w:t>
      </w:r>
    </w:p>
    <w:p>
      <w:pPr>
        <w:pStyle w:val="Normal"/>
        <w:rPr/>
      </w:pPr>
      <w:r>
        <w:rPr>
          <w:rFonts w:cs="Arial" w:ascii="Arial" w:hAnsi="Arial"/>
          <w:sz w:val="22"/>
          <w:szCs w:val="22"/>
        </w:rPr>
        <w:t>Les Déléguées Syndicales,</w:t>
      </w:r>
    </w:p>
    <w:p>
      <w:pPr>
        <w:pStyle w:val="Normal"/>
        <w:rPr>
          <w:rFonts w:ascii="Arial" w:hAnsi="Arial" w:cs="Arial"/>
          <w:sz w:val="22"/>
          <w:szCs w:val="22"/>
        </w:rPr>
      </w:pPr>
      <w:r>
        <w:rPr>
          <w:rFonts w:cs="Arial" w:ascii="Arial" w:hAnsi="Arial"/>
          <w:sz w:val="22"/>
          <w:szCs w:val="22"/>
        </w:rPr>
      </w:r>
    </w:p>
    <w:p>
      <w:pPr>
        <w:pStyle w:val="Normal"/>
        <w:ind w:firstLine="708"/>
        <w:rPr>
          <w:rFonts w:ascii="Arial" w:hAnsi="Arial" w:cs="Arial"/>
          <w:sz w:val="22"/>
          <w:szCs w:val="22"/>
          <w:lang w:val="en-US"/>
        </w:rPr>
      </w:pPr>
      <w:r>
        <w:rPr>
          <w:rFonts w:cs="Arial" w:ascii="Arial" w:hAnsi="Arial"/>
          <w:sz w:val="22"/>
          <w:szCs w:val="22"/>
          <w:lang w:val="en-US"/>
        </w:rPr>
      </w:r>
    </w:p>
    <w:p>
      <w:pPr>
        <w:pStyle w:val="Normal"/>
        <w:rPr>
          <w:rFonts w:ascii="Arial" w:hAnsi="Arial" w:cs="Arial"/>
          <w:sz w:val="22"/>
          <w:szCs w:val="22"/>
          <w:lang w:val="en-US"/>
        </w:rPr>
      </w:pPr>
      <w:r>
        <w:rPr>
          <w:rFonts w:cs="Arial" w:ascii="Arial" w:hAnsi="Arial"/>
          <w:sz w:val="22"/>
          <w:szCs w:val="22"/>
          <w:lang w:val="en-US"/>
        </w:rPr>
      </w:r>
    </w:p>
    <w:p>
      <w:pPr>
        <w:pStyle w:val="Normal"/>
        <w:rPr>
          <w:rFonts w:ascii="Arial" w:hAnsi="Arial" w:cs="Arial"/>
          <w:sz w:val="22"/>
          <w:szCs w:val="22"/>
        </w:rPr>
      </w:pPr>
      <w:r>
        <w:rPr>
          <w:rFonts w:cs="Arial" w:ascii="Arial" w:hAnsi="Arial"/>
          <w:sz w:val="22"/>
          <w:szCs w:val="22"/>
        </w:rPr>
        <w:t>Il a été convenu ce qui suit :</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 xml:space="preserve">Article 1 : Evolution des salaires </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i/>
          <w:i/>
          <w:sz w:val="22"/>
          <w:szCs w:val="22"/>
        </w:rPr>
      </w:pPr>
      <w:r>
        <w:rPr>
          <w:rFonts w:cs="Arial" w:ascii="Arial" w:hAnsi="Arial"/>
          <w:b/>
          <w:i/>
          <w:sz w:val="22"/>
          <w:szCs w:val="22"/>
        </w:rPr>
        <w:t xml:space="preserve">Valeur du Point : </w:t>
      </w:r>
    </w:p>
    <w:p>
      <w:pPr>
        <w:pStyle w:val="Normal"/>
        <w:rPr>
          <w:rFonts w:ascii="Arial" w:hAnsi="Arial" w:cs="Arial"/>
          <w:b/>
          <w:b/>
          <w:i/>
          <w:i/>
          <w:sz w:val="22"/>
          <w:szCs w:val="22"/>
        </w:rPr>
      </w:pPr>
      <w:r>
        <w:rPr>
          <w:rFonts w:cs="Arial" w:ascii="Arial" w:hAnsi="Arial"/>
          <w:b/>
          <w:i/>
          <w:sz w:val="22"/>
          <w:szCs w:val="22"/>
        </w:rPr>
      </w:r>
    </w:p>
    <w:p>
      <w:pPr>
        <w:pStyle w:val="Normal"/>
        <w:jc w:val="both"/>
        <w:rPr/>
      </w:pPr>
      <w:r>
        <w:rPr>
          <w:rFonts w:cs="Arial" w:ascii="Arial" w:hAnsi="Arial"/>
          <w:sz w:val="22"/>
          <w:szCs w:val="22"/>
        </w:rPr>
        <w:t xml:space="preserve">Augmentation de la valeur du point 100 pour l’ensemble des salaires de </w:t>
      </w:r>
      <w:r>
        <w:rPr>
          <w:rFonts w:cs="Arial" w:ascii="Arial" w:hAnsi="Arial"/>
          <w:b/>
          <w:sz w:val="22"/>
          <w:szCs w:val="22"/>
        </w:rPr>
        <w:t>3 %</w:t>
      </w:r>
      <w:r>
        <w:rPr>
          <w:rFonts w:cs="Arial" w:ascii="Arial" w:hAnsi="Arial"/>
          <w:sz w:val="22"/>
          <w:szCs w:val="22"/>
        </w:rPr>
        <w:t xml:space="preserve"> au 1</w:t>
      </w:r>
      <w:r>
        <w:rPr>
          <w:rFonts w:cs="Arial" w:ascii="Arial" w:hAnsi="Arial"/>
          <w:sz w:val="22"/>
          <w:szCs w:val="22"/>
          <w:vertAlign w:val="superscript"/>
        </w:rPr>
        <w:t>er</w:t>
      </w:r>
      <w:r>
        <w:rPr>
          <w:rFonts w:cs="Arial" w:ascii="Arial" w:hAnsi="Arial"/>
          <w:sz w:val="22"/>
          <w:szCs w:val="22"/>
        </w:rPr>
        <w:t xml:space="preserve"> mars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sz w:val="22"/>
          <w:szCs w:val="22"/>
        </w:rPr>
        <w:t xml:space="preserve">Celui-ci passe de </w:t>
      </w:r>
      <w:r>
        <w:rPr>
          <w:rFonts w:cs="Arial" w:ascii="Arial" w:hAnsi="Arial"/>
          <w:bCs/>
          <w:sz w:val="22"/>
          <w:szCs w:val="22"/>
        </w:rPr>
        <w:t>9,3027</w:t>
      </w:r>
      <w:r>
        <w:rPr>
          <w:rFonts w:cs="Arial" w:ascii="Arial" w:hAnsi="Arial"/>
          <w:sz w:val="22"/>
          <w:szCs w:val="22"/>
        </w:rPr>
        <w:t xml:space="preserve"> € fin février 2021 à </w:t>
      </w:r>
      <w:r>
        <w:rPr>
          <w:rFonts w:cs="Arial" w:ascii="Arial" w:hAnsi="Arial"/>
          <w:b/>
          <w:sz w:val="22"/>
          <w:szCs w:val="22"/>
        </w:rPr>
        <w:t>9,</w:t>
      </w:r>
      <w:r>
        <w:rPr>
          <w:rFonts w:cs="Arial" w:ascii="Arial" w:hAnsi="Arial"/>
          <w:b/>
          <w:bCs/>
          <w:sz w:val="22"/>
          <w:szCs w:val="22"/>
        </w:rPr>
        <w:t>5818</w:t>
      </w:r>
      <w:r>
        <w:rPr>
          <w:rFonts w:cs="Arial" w:ascii="Arial" w:hAnsi="Arial"/>
          <w:sz w:val="22"/>
          <w:szCs w:val="22"/>
        </w:rPr>
        <w:t xml:space="preserve"> € au 1</w:t>
      </w:r>
      <w:r>
        <w:rPr>
          <w:rFonts w:cs="Arial" w:ascii="Arial" w:hAnsi="Arial"/>
          <w:sz w:val="22"/>
          <w:szCs w:val="22"/>
          <w:vertAlign w:val="superscript"/>
        </w:rPr>
        <w:t>er</w:t>
      </w:r>
      <w:r>
        <w:rPr>
          <w:rFonts w:cs="Arial" w:ascii="Arial" w:hAnsi="Arial"/>
          <w:sz w:val="22"/>
          <w:szCs w:val="22"/>
        </w:rPr>
        <w:t xml:space="preserve"> mars 2022.</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Clause de sauvegarde : les parties signataires conviennent de se revoir en octobre 2022 si l’évolution de l’indice des prix à la consommation publié par l’INSEE (série Hors tabac – ensemble des ménages), présente une progression supérieure à 2,8 % sur les neuf premiers mois de l’année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u w:val="single"/>
        </w:rPr>
      </w:pPr>
      <w:r>
        <w:rPr>
          <w:rFonts w:cs="Arial" w:ascii="Arial" w:hAnsi="Arial"/>
          <w:b/>
          <w:sz w:val="22"/>
          <w:szCs w:val="22"/>
          <w:u w:val="single"/>
        </w:rPr>
        <w:t>Indemnités circuit boucle et repas décalé</w:t>
      </w:r>
    </w:p>
    <w:p>
      <w:pPr>
        <w:pStyle w:val="Normal"/>
        <w:jc w:val="both"/>
        <w:rPr>
          <w:rFonts w:ascii="Arial" w:hAnsi="Arial" w:cs="Arial"/>
          <w:b/>
          <w:b/>
          <w:sz w:val="22"/>
          <w:szCs w:val="22"/>
          <w:u w:val="single"/>
        </w:rPr>
      </w:pPr>
      <w:r>
        <w:rPr>
          <w:rFonts w:cs="Arial" w:ascii="Arial" w:hAnsi="Arial"/>
          <w:b/>
          <w:sz w:val="22"/>
          <w:szCs w:val="22"/>
          <w:u w:val="single"/>
        </w:rPr>
      </w:r>
    </w:p>
    <w:p>
      <w:pPr>
        <w:pStyle w:val="Normal"/>
        <w:rPr>
          <w:rFonts w:ascii="Arial" w:hAnsi="Arial" w:cs="Arial"/>
          <w:sz w:val="22"/>
          <w:szCs w:val="22"/>
        </w:rPr>
      </w:pPr>
      <w:r>
        <w:rPr>
          <w:rFonts w:cs="Arial" w:ascii="Arial" w:hAnsi="Arial"/>
          <w:sz w:val="22"/>
          <w:szCs w:val="22"/>
        </w:rPr>
        <w:t xml:space="preserve">Circuit boucle : de 2.9843€ à </w:t>
      </w:r>
      <w:r>
        <w:rPr>
          <w:rFonts w:cs="Arial" w:ascii="Arial" w:hAnsi="Arial"/>
          <w:b/>
          <w:bCs/>
          <w:sz w:val="22"/>
          <w:szCs w:val="22"/>
        </w:rPr>
        <w:t>3.0738€</w:t>
      </w:r>
      <w:r>
        <w:rPr>
          <w:rFonts w:cs="Arial" w:ascii="Arial" w:hAnsi="Arial"/>
          <w:sz w:val="22"/>
          <w:szCs w:val="22"/>
        </w:rPr>
        <w:t xml:space="preserve"> au 1</w:t>
      </w:r>
      <w:r>
        <w:rPr>
          <w:rFonts w:cs="Arial" w:ascii="Arial" w:hAnsi="Arial"/>
          <w:sz w:val="22"/>
          <w:szCs w:val="22"/>
          <w:vertAlign w:val="superscript"/>
        </w:rPr>
        <w:t>er</w:t>
      </w:r>
      <w:r>
        <w:rPr>
          <w:rFonts w:cs="Arial" w:ascii="Arial" w:hAnsi="Arial"/>
          <w:sz w:val="22"/>
          <w:szCs w:val="22"/>
        </w:rPr>
        <w:t xml:space="preserve"> mars 2022</w:t>
      </w:r>
    </w:p>
    <w:p>
      <w:pPr>
        <w:pStyle w:val="Normal"/>
        <w:rPr>
          <w:rFonts w:ascii="Arial" w:hAnsi="Arial" w:cs="Arial"/>
          <w:sz w:val="22"/>
          <w:szCs w:val="22"/>
        </w:rPr>
      </w:pPr>
      <w:r>
        <w:rPr>
          <w:rFonts w:cs="Arial" w:ascii="Arial" w:hAnsi="Arial"/>
          <w:sz w:val="22"/>
          <w:szCs w:val="22"/>
        </w:rPr>
        <w:t>Repas décalé : de 7.3768€</w:t>
      </w:r>
      <w:r>
        <w:rPr>
          <w:rFonts w:cs="Arial" w:ascii="Arial" w:hAnsi="Arial"/>
          <w:bCs/>
          <w:sz w:val="22"/>
          <w:szCs w:val="22"/>
        </w:rPr>
        <w:t xml:space="preserve"> </w:t>
      </w:r>
      <w:r>
        <w:rPr>
          <w:rFonts w:cs="Arial" w:ascii="Arial" w:hAnsi="Arial"/>
          <w:sz w:val="22"/>
          <w:szCs w:val="22"/>
        </w:rPr>
        <w:t xml:space="preserve">à </w:t>
      </w:r>
      <w:r>
        <w:rPr>
          <w:rFonts w:cs="Arial" w:ascii="Arial" w:hAnsi="Arial"/>
          <w:b/>
          <w:bCs/>
          <w:sz w:val="22"/>
          <w:szCs w:val="22"/>
        </w:rPr>
        <w:t>7.5981€</w:t>
      </w:r>
      <w:r>
        <w:rPr>
          <w:rFonts w:cs="Arial" w:ascii="Arial" w:hAnsi="Arial"/>
          <w:sz w:val="22"/>
          <w:szCs w:val="22"/>
        </w:rPr>
        <w:t xml:space="preserve"> au 1</w:t>
      </w:r>
      <w:r>
        <w:rPr>
          <w:rFonts w:cs="Arial" w:ascii="Arial" w:hAnsi="Arial"/>
          <w:sz w:val="22"/>
          <w:szCs w:val="22"/>
          <w:vertAlign w:val="superscript"/>
        </w:rPr>
        <w:t>er</w:t>
      </w:r>
      <w:r>
        <w:rPr>
          <w:rFonts w:cs="Arial" w:ascii="Arial" w:hAnsi="Arial"/>
          <w:sz w:val="22"/>
          <w:szCs w:val="22"/>
        </w:rPr>
        <w:t xml:space="preserve"> mars 2022</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u w:val="single"/>
        </w:rPr>
      </w:pPr>
      <w:r>
        <w:rPr>
          <w:rFonts w:cs="Arial" w:ascii="Arial" w:hAnsi="Arial"/>
          <w:b/>
          <w:sz w:val="22"/>
          <w:szCs w:val="22"/>
          <w:u w:val="single"/>
        </w:rPr>
        <w:t>Article 2 : panier et prime dimanche et jour férié</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pPr>
      <w:r>
        <w:rPr>
          <w:rFonts w:cs="Arial" w:ascii="Arial" w:hAnsi="Arial"/>
          <w:bCs/>
          <w:sz w:val="22"/>
          <w:szCs w:val="22"/>
        </w:rPr>
        <w:t>L’accord de NAO 2013 prévoit qu’un panier de 8,95€ et une prime de dimanche de 21,10 € soient attribués pour chaque dimanche et/ou jour férié travaillé.</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t xml:space="preserve">A compter de janvier 2022, le panier de 8,95€ et la prime de dimanche de 21,10€ sont fusionnés en un seul montant. La prime de dimanche et jour férié passe ainsi de 21,10€ à </w:t>
      </w:r>
      <w:r>
        <w:rPr>
          <w:rFonts w:cs="Arial" w:ascii="Arial" w:hAnsi="Arial"/>
          <w:b/>
          <w:sz w:val="22"/>
          <w:szCs w:val="22"/>
        </w:rPr>
        <w:t>31,00€.</w:t>
      </w:r>
    </w:p>
    <w:p>
      <w:pPr>
        <w:pStyle w:val="Normal"/>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u w:val="single"/>
        </w:rPr>
      </w:pPr>
      <w:bookmarkStart w:id="0" w:name="_Hlk95752744"/>
      <w:bookmarkEnd w:id="0"/>
      <w:r>
        <w:rPr>
          <w:rFonts w:cs="Arial" w:ascii="Arial" w:hAnsi="Arial"/>
          <w:b/>
          <w:sz w:val="22"/>
          <w:szCs w:val="22"/>
          <w:u w:val="single"/>
        </w:rPr>
        <w:t>Article 3 : création d’un poste de vérificateur titulaire supplémentaire</w:t>
      </w:r>
    </w:p>
    <w:p>
      <w:pPr>
        <w:pStyle w:val="Normal"/>
        <w:jc w:val="both"/>
        <w:rPr>
          <w:rFonts w:ascii="Arial" w:hAnsi="Arial" w:cs="Arial"/>
          <w:b/>
          <w:b/>
          <w:sz w:val="22"/>
          <w:szCs w:val="22"/>
          <w:u w:val="single"/>
        </w:rPr>
      </w:pPr>
      <w:bookmarkStart w:id="1" w:name="_Hlk95752744"/>
      <w:bookmarkStart w:id="2" w:name="_Hlk95752744"/>
      <w:bookmarkEnd w:id="2"/>
      <w:r>
        <w:rPr>
          <w:rFonts w:cs="Arial" w:ascii="Arial" w:hAnsi="Arial"/>
          <w:b/>
          <w:sz w:val="22"/>
          <w:szCs w:val="22"/>
          <w:u w:val="single"/>
        </w:rPr>
      </w:r>
    </w:p>
    <w:p>
      <w:pPr>
        <w:pStyle w:val="Normal"/>
        <w:jc w:val="both"/>
        <w:rPr>
          <w:rFonts w:ascii="Arial" w:hAnsi="Arial" w:cs="Arial"/>
          <w:bCs/>
          <w:sz w:val="22"/>
          <w:szCs w:val="22"/>
        </w:rPr>
      </w:pPr>
      <w:r>
        <w:rPr>
          <w:rFonts w:cs="Arial" w:ascii="Arial" w:hAnsi="Arial"/>
          <w:bCs/>
          <w:sz w:val="22"/>
          <w:szCs w:val="22"/>
        </w:rPr>
        <w:t>La direction s’engage à créer un poste de vérificateur titulaire supplémentaire d’ici la fin de l’année 2022.</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sz w:val="22"/>
          <w:szCs w:val="22"/>
          <w:u w:val="single"/>
        </w:rPr>
      </w:pPr>
      <w:r>
        <w:rPr>
          <w:rFonts w:cs="Arial" w:ascii="Arial" w:hAnsi="Arial"/>
          <w:b/>
          <w:sz w:val="22"/>
          <w:szCs w:val="22"/>
          <w:u w:val="single"/>
        </w:rPr>
        <w:t>Article 4 : poursuite du programme de rénovation et d’installation de sanitaires en terminus de lignes.</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Cs/>
          <w:sz w:val="22"/>
          <w:szCs w:val="22"/>
        </w:rPr>
        <w:t>La direction s’engage à poursuivre, en collaboration de la collectivité, l’étude d’implantation de sanitaires à chaque terminus. La priorité sera donnée au terminus des lignes 2 et 8 sur le parking de l’hôpital.</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sz w:val="22"/>
          <w:szCs w:val="22"/>
          <w:u w:val="single"/>
        </w:rPr>
      </w:pPr>
      <w:r>
        <w:rPr>
          <w:rFonts w:cs="Arial" w:ascii="Arial" w:hAnsi="Arial"/>
          <w:b/>
          <w:sz w:val="22"/>
          <w:szCs w:val="22"/>
          <w:u w:val="single"/>
        </w:rPr>
        <w:t>Article 5 : Permis de conduire et carte conducteur</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Cs/>
          <w:sz w:val="22"/>
          <w:szCs w:val="22"/>
        </w:rPr>
      </w:pPr>
      <w:r>
        <w:rPr>
          <w:rFonts w:cs="Arial" w:ascii="Arial" w:hAnsi="Arial"/>
          <w:bCs/>
          <w:sz w:val="22"/>
          <w:szCs w:val="22"/>
        </w:rPr>
        <w:t>La prise en charge du renouvellement de permis de conduire intègre le coût de la visite médicale et les 12.50€ pour les frais de photographie.</w:t>
      </w:r>
    </w:p>
    <w:p>
      <w:pPr>
        <w:pStyle w:val="Normal"/>
        <w:jc w:val="both"/>
        <w:rPr>
          <w:rFonts w:ascii="Arial" w:hAnsi="Arial" w:cs="Arial"/>
          <w:bCs/>
          <w:sz w:val="22"/>
          <w:szCs w:val="22"/>
        </w:rPr>
      </w:pPr>
      <w:r>
        <w:rPr>
          <w:rFonts w:cs="Arial" w:ascii="Arial" w:hAnsi="Arial"/>
          <w:bCs/>
          <w:sz w:val="22"/>
          <w:szCs w:val="22"/>
        </w:rPr>
        <w:t xml:space="preserve">Le coût de conception de la carte chronotachygraphe ainsi que les frais de photographie s’élevant à 12,50€ seront remboursés au salarié sur justificatif. </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sz w:val="22"/>
          <w:szCs w:val="22"/>
          <w:u w:val="single"/>
        </w:rPr>
      </w:pPr>
      <w:r>
        <w:rPr>
          <w:rFonts w:cs="Arial" w:ascii="Arial" w:hAnsi="Arial"/>
          <w:b/>
          <w:sz w:val="22"/>
          <w:szCs w:val="22"/>
          <w:u w:val="single"/>
        </w:rPr>
        <w:t>Article 6 : Coefficient conventionnel</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Cs/>
          <w:sz w:val="22"/>
          <w:szCs w:val="22"/>
        </w:rPr>
      </w:pPr>
      <w:r>
        <w:rPr>
          <w:rFonts w:cs="Arial" w:ascii="Arial" w:hAnsi="Arial"/>
          <w:bCs/>
          <w:sz w:val="22"/>
          <w:szCs w:val="22"/>
        </w:rPr>
        <w:t>La Direction et les organisations syndicales s’engagent à étudier la possibilité de revoir les coefficients en vigueur dans l’entreprise afin que ceux-ci soient en adéquation avec la convention collective applicable à notre activité.</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sz w:val="22"/>
          <w:szCs w:val="22"/>
          <w:u w:val="single"/>
        </w:rPr>
      </w:pPr>
      <w:bookmarkStart w:id="3" w:name="_Hlk10203062"/>
      <w:bookmarkEnd w:id="3"/>
      <w:r>
        <w:rPr>
          <w:rFonts w:cs="Arial" w:ascii="Arial" w:hAnsi="Arial"/>
          <w:b/>
          <w:sz w:val="22"/>
          <w:szCs w:val="22"/>
          <w:u w:val="single"/>
        </w:rPr>
        <w:t>Article 7 : égalité professionnelle entre les hommes et les femmes</w:t>
      </w:r>
    </w:p>
    <w:p>
      <w:pPr>
        <w:pStyle w:val="Normal"/>
        <w:jc w:val="both"/>
        <w:rPr>
          <w:rFonts w:ascii="Arial" w:hAnsi="Arial" w:cs="Arial"/>
          <w:b/>
          <w:b/>
          <w:sz w:val="22"/>
          <w:szCs w:val="22"/>
          <w:u w:val="single"/>
        </w:rPr>
      </w:pPr>
      <w:bookmarkStart w:id="4" w:name="_Hlk10203062"/>
      <w:bookmarkStart w:id="5" w:name="_Hlk10203062"/>
      <w:bookmarkEnd w:id="5"/>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Les parties conviennent que le processus de recrutement est unique et se déroule exactement de la même manière pour les femmes et pour les hommes, les critères de sélection étant identiques. En effet, les recrutements sont basés sur les seules compétences et expériences professionnelles des candidat(e)s.</w:t>
      </w:r>
    </w:p>
    <w:p>
      <w:pPr>
        <w:pStyle w:val="Normal"/>
        <w:jc w:val="both"/>
        <w:rPr>
          <w:rFonts w:ascii="Arial" w:hAnsi="Arial" w:cs="Arial"/>
          <w:sz w:val="22"/>
          <w:szCs w:val="22"/>
        </w:rPr>
      </w:pPr>
      <w:r>
        <w:rPr>
          <w:rFonts w:cs="Arial" w:ascii="Arial" w:hAnsi="Arial"/>
          <w:sz w:val="22"/>
          <w:szCs w:val="22"/>
        </w:rPr>
        <w:t>L’égalité salariale étant une composante essentielle de l’égalité professionnelle, la Direction garantit à l’embauche un niveau de classification et un niveau de salaire identiques entre les hommes et les femmes pour un même métier, un même niveau de responsabilité et de qualification.</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
          <w:sz w:val="22"/>
          <w:szCs w:val="22"/>
          <w:u w:val="single"/>
        </w:rPr>
        <w:t>Article 8 : Durée de l’accord</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L’application de cet accord est à durée indéterminée.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sz w:val="22"/>
          <w:szCs w:val="22"/>
          <w:u w:val="single"/>
        </w:rPr>
        <w:t>Article 9 : Dépôt</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Un exemplaire du présent accord est remis à chacune des organisations représentatives dans l’entreprise.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présent procès-verbal sera soumis aux formalités de dépôt à la Direction Départementale du Travail et au Greffe du Conseil des Prud’hommes de Chartres.</w:t>
      </w:r>
    </w:p>
    <w:p>
      <w:pPr>
        <w:pStyle w:val="Normal"/>
        <w:jc w:val="both"/>
        <w:rPr>
          <w:rFonts w:ascii="Arial" w:hAnsi="Arial" w:cs="Arial"/>
          <w:sz w:val="22"/>
          <w:szCs w:val="22"/>
        </w:rPr>
      </w:pPr>
      <w:r>
        <w:rPr>
          <w:rFonts w:cs="Arial" w:ascii="Arial" w:hAnsi="Arial"/>
          <w:sz w:val="22"/>
          <w:szCs w:val="22"/>
        </w:rPr>
      </w:r>
    </w:p>
    <w:p>
      <w:pPr>
        <w:pStyle w:val="Normal"/>
        <w:tabs>
          <w:tab w:val="left" w:pos="1134" w:leader="none"/>
        </w:tabs>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Fait à Lucé, le : 08 mars 2022</w:t>
      </w:r>
    </w:p>
    <w:p>
      <w:pPr>
        <w:pStyle w:val="Normal"/>
        <w:jc w:val="both"/>
        <w:rPr>
          <w:rFonts w:ascii="Arial" w:hAnsi="Arial" w:eastAsia="Arial" w:cs="Arial"/>
          <w:sz w:val="22"/>
          <w:szCs w:val="22"/>
        </w:rPr>
      </w:pPr>
      <w:r>
        <w:rPr>
          <w:rFonts w:eastAsia="Arial" w:cs="Arial" w:ascii="Arial" w:hAnsi="Arial"/>
          <w:sz w:val="22"/>
          <w:szCs w:val="22"/>
        </w:rPr>
        <w:t xml:space="preserve">       </w:t>
      </w:r>
    </w:p>
    <w:p>
      <w:pPr>
        <w:pStyle w:val="Normal"/>
        <w:jc w:val="both"/>
        <w:rPr>
          <w:rFonts w:ascii="Arial" w:hAnsi="Arial" w:cs="Arial"/>
          <w:sz w:val="22"/>
          <w:szCs w:val="22"/>
        </w:rPr>
      </w:pPr>
      <w:r>
        <w:rPr>
          <w:rFonts w:cs="Arial" w:ascii="Arial" w:hAnsi="Arial"/>
          <w:sz w:val="22"/>
          <w:szCs w:val="22"/>
          <w:u w:val="single"/>
        </w:rPr>
        <w:t>Le Directeur général SPL Chartres métropole transports,</w:t>
      </w:r>
    </w:p>
    <w:p>
      <w:pPr>
        <w:pStyle w:val="Normal"/>
        <w:tabs>
          <w:tab w:val="left" w:pos="0" w:leader="none"/>
        </w:tabs>
        <w:jc w:val="both"/>
        <w:rPr>
          <w:rFonts w:ascii="Arial" w:hAnsi="Arial" w:cs="Arial"/>
          <w:sz w:val="22"/>
          <w:szCs w:val="22"/>
        </w:rPr>
      </w:pPr>
      <w:r>
        <w:rPr>
          <w:rFonts w:cs="Arial" w:ascii="Arial" w:hAnsi="Arial"/>
          <w:sz w:val="22"/>
          <w:szCs w:val="22"/>
        </w:rPr>
        <w:tab/>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tabs>
          <w:tab w:val="left" w:pos="3060" w:leader="none"/>
          <w:tab w:val="left" w:pos="6120" w:leader="none"/>
        </w:tabs>
        <w:jc w:val="both"/>
        <w:rPr>
          <w:rFonts w:ascii="Arial" w:hAnsi="Arial" w:cs="Arial"/>
          <w:sz w:val="22"/>
          <w:szCs w:val="22"/>
        </w:rPr>
      </w:pPr>
      <w:r>
        <w:rPr>
          <w:rFonts w:cs="Arial" w:ascii="Arial" w:hAnsi="Arial"/>
          <w:sz w:val="22"/>
          <w:szCs w:val="22"/>
          <w:u w:val="single"/>
        </w:rPr>
        <w:t>Déléguée Syndicale FNCR</w:t>
      </w:r>
      <w:r>
        <w:rPr>
          <w:rFonts w:cs="Arial" w:ascii="Arial" w:hAnsi="Arial"/>
          <w:sz w:val="22"/>
          <w:szCs w:val="22"/>
        </w:rPr>
        <w:t>,</w:t>
        <w:tab/>
        <w:t xml:space="preserve">   </w:t>
      </w:r>
      <w:r>
        <w:rPr>
          <w:rFonts w:cs="Arial" w:ascii="Arial" w:hAnsi="Arial"/>
          <w:sz w:val="22"/>
          <w:szCs w:val="22"/>
          <w:u w:val="single"/>
        </w:rPr>
        <w:t>Déléguée Syndicale FO,</w:t>
      </w:r>
      <w:r>
        <w:rPr>
          <w:rFonts w:cs="Arial" w:ascii="Arial" w:hAnsi="Arial"/>
          <w:sz w:val="22"/>
          <w:szCs w:val="22"/>
        </w:rPr>
        <w:t xml:space="preserve">          </w:t>
      </w:r>
      <w:r>
        <w:rPr>
          <w:rFonts w:cs="Arial" w:ascii="Arial" w:hAnsi="Arial"/>
          <w:sz w:val="22"/>
          <w:szCs w:val="22"/>
          <w:u w:val="single"/>
        </w:rPr>
        <w:t>Déléguée Syndicale CFDT-SNTU,</w:t>
      </w:r>
    </w:p>
    <w:p>
      <w:pPr>
        <w:pStyle w:val="Normal"/>
        <w:tabs>
          <w:tab w:val="left" w:pos="3060" w:leader="none"/>
          <w:tab w:val="left" w:pos="6120" w:leader="none"/>
        </w:tabs>
        <w:jc w:val="both"/>
        <w:rPr>
          <w:rFonts w:ascii="Arial" w:hAnsi="Arial" w:cs="Arial"/>
          <w:sz w:val="22"/>
          <w:szCs w:val="22"/>
        </w:rPr>
      </w:pPr>
      <w:r>
        <w:rPr>
          <w:rFonts w:cs="Arial" w:ascii="Arial" w:hAnsi="Arial"/>
          <w:sz w:val="22"/>
          <w:szCs w:val="22"/>
        </w:rPr>
      </w:r>
    </w:p>
    <w:sectPr>
      <w:headerReference w:type="default" r:id="rId2"/>
      <w:headerReference w:type="first" r:id="rId3"/>
      <w:footerReference w:type="default" r:id="rId4"/>
      <w:footerReference w:type="first" r:id="rId5"/>
      <w:type w:val="nextPage"/>
      <w:pgSz w:w="11906" w:h="16838"/>
      <w:pgMar w:left="1134" w:right="1134" w:header="709" w:top="765"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tabs>
        <w:tab w:val="center" w:pos="4536" w:leader="none"/>
        <w:tab w:val="right" w:pos="9540" w:leader="none"/>
      </w:tabs>
      <w:ind w:left="-720" w:right="-468" w:hanging="0"/>
      <w:rPr>
        <w:rFonts w:ascii="Verdana" w:hAnsi="Verdana" w:cs="Verdana"/>
        <w:sz w:val="13"/>
        <w:szCs w:val="13"/>
      </w:rPr>
    </w:pPr>
    <w:r>
      <w:rPr>
        <w:rFonts w:cs="Verdana" w:ascii="Verdana" w:hAnsi="Verdana"/>
        <w:sz w:val="13"/>
        <w:szCs w:val="13"/>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18"/>
        <w:szCs w:val="18"/>
      </w:rPr>
    </w:pPr>
    <w:r>
      <w:rPr>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rFonts w:ascii="Symbol" w:hAnsi="Symbol" w:cs="Symbol"/>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Policepardfaut">
    <w:name w:val="Police par défaut"/>
    <w:qFormat/>
    <w:rPr/>
  </w:style>
  <w:style w:type="character" w:styleId="PieddepageCar">
    <w:name w:val="Pied de page Car"/>
    <w:qFormat/>
    <w:rPr>
      <w:sz w:val="24"/>
      <w:szCs w:val="24"/>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HeaderLeft">
    <w:name w:val="Header Left"/>
    <w:basedOn w:val="Normal"/>
    <w:qFormat/>
    <w:pPr>
      <w:suppressLineNumbers/>
      <w:tabs>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2022-03-11T10:40:00Z</dcterms:created>
  <dc:creator/>
  <dc:description/>
  <dc:language>en-GB</dc:language>
  <cp:lastModifiedBy/>
  <cp:lastPrinted>2022-03-08T10:18:00Z</cp:lastPrinted>
  <dcterms:modified xsi:type="dcterms:W3CDTF">2022-03-11T10:40:00Z</dcterms:modified>
  <cp:revision>2</cp:revision>
  <dc:subject/>
  <dc:title/>
</cp:coreProperties>
</file>