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783620" w:rsidRDefault="00783620">
      <w:pPr>
        <w:jc w:val="center"/>
        <w:rPr>
          <w:rFonts w:ascii="Verdana" w:cs="Verdana" w:eastAsia="Verdana" w:hAnsi="Verdana"/>
          <w:b/>
          <w:smallCaps/>
          <w:sz w:val="30"/>
          <w:szCs w:val="30"/>
        </w:rPr>
      </w:pPr>
      <w:bookmarkStart w:id="0" w:name="_GoBack"/>
      <w:bookmarkEnd w:id="0"/>
    </w:p>
    <w:p w:rsidR="00783620" w:rsidRDefault="00783620">
      <w:pPr>
        <w:pBdr>
          <w:top w:color="000000" w:space="0" w:sz="4" w:val="single"/>
          <w:left w:color="000000" w:space="4" w:sz="4" w:val="single"/>
          <w:bottom w:color="000000" w:space="1" w:sz="4" w:val="single"/>
          <w:right w:color="000000" w:space="4" w:sz="4" w:val="single"/>
        </w:pBdr>
        <w:jc w:val="center"/>
        <w:rPr>
          <w:rFonts w:ascii="Verdana" w:cs="Verdana" w:eastAsia="Verdana" w:hAnsi="Verdana"/>
          <w:b/>
          <w:smallCaps/>
          <w:sz w:val="20"/>
          <w:szCs w:val="20"/>
        </w:rPr>
      </w:pPr>
    </w:p>
    <w:p w:rsidR="00783620" w:rsidRDefault="001465A9">
      <w:pPr>
        <w:pBdr>
          <w:top w:color="000000" w:space="0" w:sz="4" w:val="single"/>
          <w:left w:color="000000" w:space="4" w:sz="4" w:val="single"/>
          <w:bottom w:color="000000" w:space="1" w:sz="4" w:val="single"/>
          <w:right w:color="000000" w:space="4" w:sz="4" w:val="single"/>
        </w:pBdr>
        <w:jc w:val="center"/>
        <w:rPr>
          <w:rFonts w:ascii="Verdana" w:cs="Verdana" w:eastAsia="Verdana" w:hAnsi="Verdana"/>
          <w:b/>
          <w:smallCaps/>
          <w:sz w:val="28"/>
          <w:szCs w:val="28"/>
        </w:rPr>
      </w:pPr>
      <w:r>
        <w:rPr>
          <w:rFonts w:ascii="Verdana" w:cs="Verdana" w:eastAsia="Verdana" w:hAnsi="Verdana"/>
          <w:b/>
          <w:smallCaps/>
          <w:sz w:val="28"/>
          <w:szCs w:val="28"/>
        </w:rPr>
        <w:t>Procès-verbal d’accord sur la négociation annuelle obligatoire de l’</w:t>
      </w:r>
      <w:proofErr w:type="spellStart"/>
      <w:r>
        <w:rPr>
          <w:rFonts w:ascii="Verdana" w:cs="Verdana" w:eastAsia="Verdana" w:hAnsi="Verdana"/>
          <w:b/>
          <w:smallCaps/>
          <w:sz w:val="28"/>
          <w:szCs w:val="28"/>
        </w:rPr>
        <w:t>ues</w:t>
      </w:r>
      <w:proofErr w:type="spellEnd"/>
      <w:r>
        <w:rPr>
          <w:rFonts w:ascii="Verdana" w:cs="Verdana" w:eastAsia="Verdana" w:hAnsi="Verdana"/>
          <w:b/>
          <w:smallCaps/>
          <w:sz w:val="28"/>
          <w:szCs w:val="28"/>
        </w:rPr>
        <w:t xml:space="preserve"> </w:t>
      </w:r>
      <w:proofErr w:type="spellStart"/>
      <w:r>
        <w:rPr>
          <w:rFonts w:ascii="Verdana" w:cs="Verdana" w:eastAsia="Verdana" w:hAnsi="Verdana"/>
          <w:b/>
          <w:smallCaps/>
          <w:sz w:val="28"/>
          <w:szCs w:val="28"/>
        </w:rPr>
        <w:t>eureden</w:t>
      </w:r>
      <w:proofErr w:type="spellEnd"/>
      <w:r>
        <w:rPr>
          <w:rFonts w:ascii="Verdana" w:cs="Verdana" w:eastAsia="Verdana" w:hAnsi="Verdana"/>
          <w:b/>
          <w:smallCaps/>
          <w:sz w:val="28"/>
          <w:szCs w:val="28"/>
        </w:rPr>
        <w:t xml:space="preserve"> agriculture de l'année 2022</w:t>
      </w:r>
    </w:p>
    <w:p w:rsidR="00783620" w:rsidRDefault="00783620">
      <w:pPr>
        <w:pBdr>
          <w:top w:color="000000" w:space="0" w:sz="4" w:val="single"/>
          <w:left w:color="000000" w:space="4" w:sz="4" w:val="single"/>
          <w:bottom w:color="000000" w:space="1" w:sz="4" w:val="single"/>
          <w:right w:color="000000" w:space="4" w:sz="4" w:val="single"/>
        </w:pBdr>
        <w:jc w:val="center"/>
        <w:rPr>
          <w:rFonts w:ascii="Verdana" w:cs="Verdana" w:eastAsia="Verdana" w:hAnsi="Verdana"/>
          <w:b/>
          <w:smallCaps/>
          <w:sz w:val="20"/>
          <w:szCs w:val="20"/>
        </w:rPr>
      </w:pPr>
    </w:p>
    <w:sdt>
      <w:sdtPr>
        <w:id w:val="-1536500494"/>
        <w:docPartObj>
          <w:docPartGallery w:val="Table of Contents"/>
          <w:docPartUnique/>
        </w:docPartObj>
      </w:sdtPr>
      <w:sdtEndPr/>
      <w:sdtContent>
        <w:p w:rsidR="00783620" w:rsidRDefault="001465A9">
          <w:pPr>
            <w:widowControl w:val="0"/>
            <w:rPr>
              <w:rFonts w:ascii="Verdana" w:cs="Verdana" w:eastAsia="Verdana" w:hAnsi="Verdana"/>
              <w:sz w:val="20"/>
              <w:szCs w:val="20"/>
            </w:rPr>
          </w:pPr>
          <w:r>
            <w:fldChar w:fldCharType="begin"/>
          </w:r>
          <w:r>
            <w:instrText xml:space="preserve"> TOC \h \u \z </w:instrText>
          </w:r>
          <w:r>
            <w:fldChar w:fldCharType="end"/>
          </w:r>
        </w:p>
      </w:sdtContent>
    </w:sdt>
    <w:p w:rsidR="00783620" w:rsidRDefault="00783620">
      <w:pPr>
        <w:widowControl w:val="0"/>
        <w:rPr>
          <w:rFonts w:ascii="Verdana" w:cs="Verdana" w:eastAsia="Verdana" w:hAnsi="Verdana"/>
          <w:sz w:val="20"/>
          <w:szCs w:val="20"/>
        </w:rPr>
      </w:pPr>
    </w:p>
    <w:sdt>
      <w:sdtPr>
        <w:id w:val="-1781950688"/>
        <w:docPartObj>
          <w:docPartGallery w:val="Table of Contents"/>
          <w:docPartUnique/>
        </w:docPartObj>
      </w:sdtPr>
      <w:sdtEndPr/>
      <w:sdtContent>
        <w:p w:rsidR="00783620" w:rsidRDefault="001465A9">
          <w:pPr>
            <w:widowControl w:val="0"/>
            <w:rPr>
              <w:rFonts w:ascii="Verdana" w:cs="Verdana" w:eastAsia="Verdana" w:hAnsi="Verdana"/>
              <w:sz w:val="20"/>
              <w:szCs w:val="20"/>
            </w:rPr>
          </w:pPr>
          <w:r>
            <w:fldChar w:fldCharType="begin"/>
          </w:r>
          <w:r>
            <w:instrText xml:space="preserve"> TOC \h \u \z </w:instrText>
          </w:r>
          <w:r>
            <w:fldChar w:fldCharType="end"/>
          </w:r>
        </w:p>
      </w:sdtContent>
    </w:sdt>
    <w:p w:rsidR="00783620" w:rsidRDefault="00783620">
      <w:pPr>
        <w:pBdr>
          <w:bottom w:color="000000" w:space="1" w:sz="4" w:val="single"/>
        </w:pBdr>
        <w:jc w:val="both"/>
        <w:rPr>
          <w:rFonts w:ascii="Verdana" w:cs="Verdana" w:eastAsia="Verdana" w:hAnsi="Verdana"/>
          <w:sz w:val="20"/>
          <w:szCs w:val="20"/>
        </w:rPr>
      </w:pPr>
    </w:p>
    <w:p w:rsidR="00783620" w:rsidRDefault="001465A9">
      <w:pPr>
        <w:pBdr>
          <w:bottom w:color="000000" w:space="1" w:sz="4" w:val="single"/>
        </w:pBdr>
        <w:jc w:val="both"/>
        <w:rPr>
          <w:rFonts w:ascii="Verdana" w:cs="Verdana" w:eastAsia="Verdana" w:hAnsi="Verdana"/>
          <w:sz w:val="20"/>
          <w:szCs w:val="20"/>
        </w:rPr>
      </w:pPr>
      <w:r>
        <w:rPr>
          <w:rFonts w:ascii="Verdana" w:cs="Verdana" w:eastAsia="Verdana" w:hAnsi="Verdana"/>
          <w:b/>
          <w:sz w:val="20"/>
          <w:szCs w:val="20"/>
        </w:rPr>
        <w:t>ENTRE LES SOUSSIGNÉES</w:t>
      </w:r>
    </w:p>
    <w:p w:rsidR="00783620" w:rsidRDefault="00783620">
      <w:pPr>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1465A9">
      <w:pPr>
        <w:keepLines/>
        <w:jc w:val="both"/>
        <w:rPr>
          <w:rFonts w:ascii="Verdana" w:cs="Verdana" w:eastAsia="Verdana" w:hAnsi="Verdana"/>
          <w:sz w:val="20"/>
          <w:szCs w:val="20"/>
        </w:rPr>
      </w:pPr>
      <w:r>
        <w:rPr>
          <w:rFonts w:ascii="Verdana" w:cs="Verdana" w:eastAsia="Verdana" w:hAnsi="Verdana"/>
          <w:sz w:val="20"/>
          <w:szCs w:val="20"/>
        </w:rPr>
        <w:t xml:space="preserve">La Direction des sociétés de l'UES </w:t>
      </w:r>
      <w:proofErr w:type="spellStart"/>
      <w:r>
        <w:rPr>
          <w:rFonts w:ascii="Verdana" w:cs="Verdana" w:eastAsia="Verdana" w:hAnsi="Verdana"/>
          <w:sz w:val="20"/>
          <w:szCs w:val="20"/>
        </w:rPr>
        <w:t>Eureden</w:t>
      </w:r>
      <w:proofErr w:type="spellEnd"/>
      <w:r>
        <w:rPr>
          <w:rFonts w:ascii="Verdana" w:cs="Verdana" w:eastAsia="Verdana" w:hAnsi="Verdana"/>
          <w:sz w:val="20"/>
          <w:szCs w:val="20"/>
        </w:rPr>
        <w:t xml:space="preserve"> agriculture, représentée par la Coopérative EUREDEN dont le siège social est situé 34 rue Ferdinand Buisson à MELLAC (29300), immatriculée au RCS de Quimper, sous le numéro 841 645 690, dénommée ci-après « la soci</w:t>
      </w:r>
      <w:r>
        <w:rPr>
          <w:rFonts w:ascii="Verdana" w:cs="Verdana" w:eastAsia="Verdana" w:hAnsi="Verdana"/>
          <w:sz w:val="20"/>
          <w:szCs w:val="20"/>
        </w:rPr>
        <w:t>été »,</w:t>
      </w:r>
    </w:p>
    <w:p w:rsidR="00783620" w:rsidRDefault="00783620">
      <w:pPr>
        <w:jc w:val="both"/>
        <w:rPr>
          <w:rFonts w:ascii="Verdana" w:cs="Verdana" w:eastAsia="Verdana" w:hAnsi="Verdana"/>
          <w:sz w:val="20"/>
          <w:szCs w:val="20"/>
        </w:rPr>
      </w:pPr>
    </w:p>
    <w:p w:rsidR="00783620" w:rsidRDefault="001465A9">
      <w:pPr>
        <w:jc w:val="right"/>
        <w:rPr>
          <w:rFonts w:ascii="Verdana" w:cs="Verdana" w:eastAsia="Verdana" w:hAnsi="Verdana"/>
          <w:sz w:val="20"/>
          <w:szCs w:val="20"/>
        </w:rPr>
      </w:pPr>
      <w:r>
        <w:rPr>
          <w:rFonts w:ascii="Verdana" w:cs="Verdana" w:eastAsia="Verdana" w:hAnsi="Verdana"/>
          <w:b/>
          <w:sz w:val="20"/>
          <w:szCs w:val="20"/>
        </w:rPr>
        <w:t>d'une part,</w:t>
      </w:r>
    </w:p>
    <w:p w:rsidR="00783620" w:rsidRDefault="00783620">
      <w:pPr>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1465A9">
      <w:pPr>
        <w:pBdr>
          <w:bottom w:color="000000" w:space="1" w:sz="4" w:val="single"/>
        </w:pBdr>
        <w:jc w:val="both"/>
        <w:rPr>
          <w:rFonts w:ascii="Verdana" w:cs="Verdana" w:eastAsia="Verdana" w:hAnsi="Verdana"/>
          <w:sz w:val="20"/>
          <w:szCs w:val="20"/>
        </w:rPr>
      </w:pPr>
      <w:r>
        <w:rPr>
          <w:rFonts w:ascii="Verdana" w:cs="Verdana" w:eastAsia="Verdana" w:hAnsi="Verdana"/>
          <w:b/>
          <w:sz w:val="20"/>
          <w:szCs w:val="20"/>
        </w:rPr>
        <w:t>ET</w:t>
      </w:r>
    </w:p>
    <w:p w:rsidR="00783620" w:rsidRDefault="00783620">
      <w:pPr>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1465A9">
      <w:pPr>
        <w:widowControl w:val="0"/>
        <w:spacing w:after="240"/>
        <w:jc w:val="both"/>
        <w:rPr>
          <w:rFonts w:ascii="Verdana" w:cs="Verdana" w:eastAsia="Verdana" w:hAnsi="Verdana"/>
          <w:sz w:val="20"/>
          <w:szCs w:val="20"/>
        </w:rPr>
      </w:pPr>
      <w:r>
        <w:rPr>
          <w:rFonts w:ascii="Verdana" w:cs="Verdana" w:eastAsia="Verdana" w:hAnsi="Verdana"/>
          <w:sz w:val="20"/>
          <w:szCs w:val="20"/>
        </w:rPr>
        <w:t>L’Organisation Syndicale CFDT représentative,</w:t>
      </w:r>
    </w:p>
    <w:p w:rsidR="00783620" w:rsidRDefault="00783620">
      <w:pPr>
        <w:jc w:val="both"/>
        <w:rPr>
          <w:rFonts w:ascii="Verdana" w:cs="Verdana" w:eastAsia="Verdana" w:hAnsi="Verdana"/>
          <w:sz w:val="20"/>
          <w:szCs w:val="20"/>
        </w:rPr>
      </w:pPr>
    </w:p>
    <w:p w:rsidR="00783620" w:rsidRDefault="001465A9">
      <w:pPr>
        <w:jc w:val="right"/>
        <w:rPr>
          <w:rFonts w:ascii="Verdana" w:cs="Verdana" w:eastAsia="Verdana" w:hAnsi="Verdana"/>
          <w:sz w:val="20"/>
          <w:szCs w:val="20"/>
        </w:rPr>
      </w:pPr>
      <w:r>
        <w:rPr>
          <w:rFonts w:ascii="Verdana" w:cs="Verdana" w:eastAsia="Verdana" w:hAnsi="Verdana"/>
          <w:b/>
          <w:sz w:val="20"/>
          <w:szCs w:val="20"/>
        </w:rPr>
        <w:t>d'autre part.</w:t>
      </w:r>
    </w:p>
    <w:p w:rsidR="00783620" w:rsidRDefault="00783620">
      <w:pPr>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783620">
      <w:pPr>
        <w:jc w:val="right"/>
        <w:rPr>
          <w:rFonts w:ascii="Verdana" w:cs="Verdana" w:eastAsia="Verdana" w:hAnsi="Verdana"/>
          <w:b/>
          <w:sz w:val="20"/>
          <w:szCs w:val="20"/>
        </w:rPr>
      </w:pPr>
    </w:p>
    <w:p w:rsidR="00783620" w:rsidRDefault="001465A9">
      <w:pPr>
        <w:jc w:val="both"/>
        <w:rPr>
          <w:rFonts w:ascii="Verdana" w:cs="Verdana" w:eastAsia="Verdana" w:hAnsi="Verdana"/>
          <w:b/>
          <w:sz w:val="20"/>
          <w:szCs w:val="20"/>
        </w:rPr>
      </w:pPr>
      <w:r>
        <w:rPr>
          <w:rFonts w:ascii="Verdana" w:cs="Verdana" w:eastAsia="Verdana" w:hAnsi="Verdana"/>
          <w:b/>
          <w:sz w:val="20"/>
          <w:szCs w:val="20"/>
        </w:rPr>
        <w:t>Préambule</w:t>
      </w:r>
    </w:p>
    <w:p w:rsidR="00783620" w:rsidRDefault="00783620">
      <w:pPr>
        <w:rPr>
          <w:rFonts w:ascii="Verdana" w:cs="Verdana" w:eastAsia="Verdana" w:hAnsi="Verdana"/>
          <w:sz w:val="20"/>
          <w:szCs w:val="20"/>
        </w:rPr>
      </w:pPr>
    </w:p>
    <w:p w:rsidR="00783620" w:rsidRDefault="001465A9">
      <w:pPr>
        <w:jc w:val="both"/>
        <w:rPr>
          <w:rFonts w:ascii="Verdana" w:cs="Verdana" w:eastAsia="Verdana" w:hAnsi="Verdana"/>
          <w:sz w:val="20"/>
          <w:szCs w:val="20"/>
        </w:rPr>
      </w:pPr>
      <w:r>
        <w:rPr>
          <w:rFonts w:ascii="Verdana" w:cs="Verdana" w:eastAsia="Verdana" w:hAnsi="Verdana"/>
          <w:sz w:val="20"/>
          <w:szCs w:val="20"/>
        </w:rPr>
        <w:t>Le contexte exceptionnel de forte inflation a amené les parties à ouvrir les négociations annuelles sur les salaires 2022 par anticipation. Aussi, conformément aux articles L.2242-1 et suivants du Code du travail, les parties ont engagé la négociation annu</w:t>
      </w:r>
      <w:r>
        <w:rPr>
          <w:rFonts w:ascii="Verdana" w:cs="Verdana" w:eastAsia="Verdana" w:hAnsi="Verdana"/>
          <w:sz w:val="20"/>
          <w:szCs w:val="20"/>
        </w:rPr>
        <w:t>elle obligatoire sur les thèmes mentionnés par la loi, étant précisé que la durée du travail, les congés spéciaux, les forfaits-jours font l’objet de négociations d’accords spécifiques.</w:t>
      </w:r>
    </w:p>
    <w:p w:rsidR="00783620" w:rsidRDefault="00783620">
      <w:pPr>
        <w:jc w:val="both"/>
        <w:rPr>
          <w:rFonts w:ascii="Verdana" w:cs="Verdana" w:eastAsia="Verdana" w:hAnsi="Verdana"/>
          <w:sz w:val="20"/>
          <w:szCs w:val="20"/>
        </w:rPr>
      </w:pPr>
    </w:p>
    <w:p w:rsidR="00783620" w:rsidRDefault="001465A9">
      <w:pPr>
        <w:jc w:val="both"/>
        <w:rPr>
          <w:rFonts w:ascii="Verdana" w:cs="Verdana" w:eastAsia="Verdana" w:hAnsi="Verdana"/>
          <w:sz w:val="20"/>
          <w:szCs w:val="20"/>
        </w:rPr>
      </w:pPr>
      <w:r>
        <w:rPr>
          <w:rFonts w:ascii="Verdana" w:cs="Verdana" w:eastAsia="Verdana" w:hAnsi="Verdana"/>
          <w:sz w:val="20"/>
          <w:szCs w:val="20"/>
        </w:rPr>
        <w:t>En outre, le suivi de la mise en œuvre des mesures visant à supprimer</w:t>
      </w:r>
      <w:r>
        <w:rPr>
          <w:rFonts w:ascii="Verdana" w:cs="Verdana" w:eastAsia="Verdana" w:hAnsi="Verdana"/>
          <w:sz w:val="20"/>
          <w:szCs w:val="20"/>
        </w:rPr>
        <w:t xml:space="preserve"> les écarts de rémunération et les différences de déroulement de carrière entre les femmes et les hommes est assuré dans le cadre de l’index égalité professionnelle entre les Femmes et les Hommes.</w:t>
      </w:r>
    </w:p>
    <w:p w:rsidR="00783620" w:rsidRDefault="00783620">
      <w:pPr>
        <w:jc w:val="both"/>
        <w:rPr>
          <w:rFonts w:ascii="Verdana" w:cs="Verdana" w:eastAsia="Verdana" w:hAnsi="Verdana"/>
          <w:sz w:val="20"/>
          <w:szCs w:val="20"/>
        </w:rPr>
      </w:pPr>
    </w:p>
    <w:p w:rsidR="00783620" w:rsidRDefault="001465A9">
      <w:pPr>
        <w:jc w:val="both"/>
        <w:rPr>
          <w:rFonts w:ascii="Verdana" w:cs="Verdana" w:eastAsia="Verdana" w:hAnsi="Verdana"/>
          <w:sz w:val="20"/>
          <w:szCs w:val="20"/>
        </w:rPr>
      </w:pPr>
      <w:r>
        <w:rPr>
          <w:rFonts w:ascii="Verdana" w:cs="Verdana" w:eastAsia="Verdana" w:hAnsi="Verdana"/>
          <w:sz w:val="20"/>
          <w:szCs w:val="20"/>
        </w:rPr>
        <w:t>Les parties se sont rencontrées à 4 reprises les 14, 21, 2</w:t>
      </w:r>
      <w:r>
        <w:rPr>
          <w:rFonts w:ascii="Verdana" w:cs="Verdana" w:eastAsia="Verdana" w:hAnsi="Verdana"/>
          <w:sz w:val="20"/>
          <w:szCs w:val="20"/>
        </w:rPr>
        <w:t xml:space="preserve">8 octobre 2021 et le 9 novembre 2021. </w:t>
      </w:r>
    </w:p>
    <w:p w:rsidR="00783620" w:rsidRDefault="00783620">
      <w:pPr>
        <w:jc w:val="both"/>
        <w:rPr>
          <w:rFonts w:ascii="Verdana" w:cs="Verdana" w:eastAsia="Verdana" w:hAnsi="Verdana"/>
          <w:sz w:val="20"/>
          <w:szCs w:val="20"/>
        </w:rPr>
      </w:pPr>
    </w:p>
    <w:p w:rsidR="00783620" w:rsidRDefault="001465A9">
      <w:pPr>
        <w:jc w:val="both"/>
        <w:rPr>
          <w:rFonts w:ascii="Verdana" w:cs="Verdana" w:eastAsia="Verdana" w:hAnsi="Verdana"/>
          <w:sz w:val="20"/>
          <w:szCs w:val="20"/>
        </w:rPr>
      </w:pPr>
      <w:r>
        <w:rPr>
          <w:rFonts w:ascii="Verdana" w:cs="Verdana" w:eastAsia="Verdana" w:hAnsi="Verdana"/>
          <w:sz w:val="20"/>
          <w:szCs w:val="20"/>
        </w:rPr>
        <w:t>Elles sont convenues d’établir le présent accord.</w:t>
      </w:r>
    </w:p>
    <w:p w:rsidR="00783620" w:rsidRDefault="00783620">
      <w:pPr>
        <w:jc w:val="center"/>
        <w:rPr>
          <w:b/>
        </w:rPr>
      </w:pPr>
    </w:p>
    <w:p w:rsidR="00783620" w:rsidRDefault="001465A9">
      <w:pPr>
        <w:jc w:val="both"/>
        <w:rPr>
          <w:b/>
          <w:sz w:val="24"/>
          <w:szCs w:val="24"/>
        </w:rPr>
      </w:pPr>
      <w:r>
        <w:rPr>
          <w:b/>
          <w:sz w:val="24"/>
          <w:szCs w:val="24"/>
        </w:rPr>
        <w:t>1 - Personnel non cadres</w:t>
      </w:r>
    </w:p>
    <w:p w:rsidR="00783620" w:rsidRDefault="00783620">
      <w:pPr>
        <w:jc w:val="both"/>
        <w:rPr>
          <w:sz w:val="24"/>
          <w:szCs w:val="24"/>
        </w:rPr>
      </w:pPr>
    </w:p>
    <w:p w:rsidR="00783620" w:rsidRDefault="001465A9">
      <w:pPr>
        <w:jc w:val="both"/>
        <w:rPr>
          <w:rFonts w:ascii="Verdana" w:cs="Verdana" w:eastAsia="Verdana" w:hAnsi="Verdana"/>
          <w:sz w:val="20"/>
          <w:szCs w:val="20"/>
        </w:rPr>
      </w:pPr>
      <w:r>
        <w:rPr>
          <w:rFonts w:ascii="Verdana" w:cs="Verdana" w:eastAsia="Verdana" w:hAnsi="Verdana"/>
          <w:sz w:val="20"/>
          <w:szCs w:val="20"/>
        </w:rPr>
        <w:t>Les parties sont convenues des dispositions suivantes pour les salariés non-cadres :</w:t>
      </w:r>
    </w:p>
    <w:p w:rsidR="00783620" w:rsidRDefault="00783620">
      <w:pPr>
        <w:jc w:val="both"/>
        <w:rPr>
          <w:rFonts w:ascii="Verdana" w:cs="Verdana" w:eastAsia="Verdana" w:hAnsi="Verdana"/>
          <w:sz w:val="20"/>
          <w:szCs w:val="20"/>
        </w:rPr>
      </w:pPr>
    </w:p>
    <w:p w:rsidR="00783620" w:rsidRDefault="001465A9">
      <w:pPr>
        <w:numPr>
          <w:ilvl w:val="0"/>
          <w:numId w:val="3"/>
        </w:numPr>
        <w:jc w:val="both"/>
        <w:rPr>
          <w:sz w:val="24"/>
          <w:szCs w:val="24"/>
        </w:rPr>
      </w:pPr>
      <w:r>
        <w:rPr>
          <w:rFonts w:ascii="Verdana" w:cs="Verdana" w:eastAsia="Verdana" w:hAnsi="Verdana"/>
          <w:sz w:val="20"/>
          <w:szCs w:val="20"/>
        </w:rPr>
        <w:t>une augmentation générale de 2,2% s’appliquera rétroactivement au 01/10/2021 aux salariés non-cadres présents sur le mois de novembre 2021. Cette augmentation apparaîtra sur le bulletin de salaire du mois de novembre 2021,</w:t>
      </w:r>
    </w:p>
    <w:p w:rsidR="00783620" w:rsidRDefault="00783620">
      <w:pPr>
        <w:ind w:left="1440"/>
        <w:jc w:val="both"/>
        <w:rPr>
          <w:rFonts w:ascii="Verdana" w:cs="Verdana" w:eastAsia="Verdana" w:hAnsi="Verdana"/>
          <w:sz w:val="20"/>
          <w:szCs w:val="20"/>
        </w:rPr>
      </w:pPr>
    </w:p>
    <w:p w:rsidR="00783620" w:rsidRDefault="001465A9">
      <w:pPr>
        <w:numPr>
          <w:ilvl w:val="0"/>
          <w:numId w:val="3"/>
        </w:numPr>
        <w:jc w:val="both"/>
        <w:rPr>
          <w:sz w:val="24"/>
          <w:szCs w:val="24"/>
        </w:rPr>
      </w:pPr>
      <w:r>
        <w:rPr>
          <w:rFonts w:ascii="Verdana" w:cs="Verdana" w:eastAsia="Verdana" w:hAnsi="Verdana"/>
          <w:sz w:val="20"/>
          <w:szCs w:val="20"/>
        </w:rPr>
        <w:t>une augmentation générale de 0,4</w:t>
      </w:r>
      <w:r>
        <w:rPr>
          <w:rFonts w:ascii="Verdana" w:cs="Verdana" w:eastAsia="Verdana" w:hAnsi="Verdana"/>
          <w:sz w:val="20"/>
          <w:szCs w:val="20"/>
        </w:rPr>
        <w:t>% s’appliquera au 01/01/2022 aux salariés non cadres présents sur le mois de janvier 2022. Cette augmentation apparaîtra sur le salaire du mois de janvier 2022,</w:t>
      </w:r>
    </w:p>
    <w:p w:rsidR="00783620" w:rsidRDefault="00783620">
      <w:pPr>
        <w:ind w:left="1440"/>
        <w:jc w:val="both"/>
        <w:rPr>
          <w:rFonts w:ascii="Verdana" w:cs="Verdana" w:eastAsia="Verdana" w:hAnsi="Verdana"/>
          <w:sz w:val="20"/>
          <w:szCs w:val="20"/>
        </w:rPr>
      </w:pPr>
    </w:p>
    <w:p w:rsidR="00783620" w:rsidRDefault="001465A9">
      <w:pPr>
        <w:numPr>
          <w:ilvl w:val="0"/>
          <w:numId w:val="3"/>
        </w:numPr>
        <w:jc w:val="both"/>
        <w:rPr>
          <w:sz w:val="24"/>
          <w:szCs w:val="24"/>
        </w:rPr>
      </w:pPr>
      <w:r>
        <w:rPr>
          <w:rFonts w:ascii="Verdana" w:cs="Verdana" w:eastAsia="Verdana" w:hAnsi="Verdana"/>
          <w:sz w:val="20"/>
          <w:szCs w:val="20"/>
        </w:rPr>
        <w:t>une enveloppe d’augmentation individuelle de 0,4% à répartir en juillet 2022 entre les salariés non cadres présents à cette date.</w:t>
      </w:r>
    </w:p>
    <w:p w:rsidR="00783620" w:rsidRDefault="00783620">
      <w:p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spacing w:line="240" w:lineRule="auto"/>
        <w:jc w:val="both"/>
        <w:rPr>
          <w:rFonts w:ascii="Verdana" w:cs="Verdana" w:eastAsia="Verdana" w:hAnsi="Verdana"/>
          <w:sz w:val="20"/>
          <w:szCs w:val="20"/>
        </w:rPr>
      </w:pPr>
    </w:p>
    <w:p w:rsidR="00783620" w:rsidRDefault="001465A9">
      <w:p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spacing w:line="240" w:lineRule="auto"/>
        <w:jc w:val="both"/>
        <w:rPr>
          <w:rFonts w:ascii="Verdana" w:cs="Verdana" w:eastAsia="Verdana" w:hAnsi="Verdana"/>
          <w:sz w:val="20"/>
          <w:szCs w:val="20"/>
        </w:rPr>
      </w:pPr>
      <w:r>
        <w:rPr>
          <w:rFonts w:ascii="Verdana" w:cs="Verdana" w:eastAsia="Verdana" w:hAnsi="Verdana"/>
          <w:sz w:val="20"/>
          <w:szCs w:val="20"/>
        </w:rPr>
        <w:t>En application de ces dispositions, les valeurs du point “non-cadre ex-</w:t>
      </w:r>
      <w:proofErr w:type="spellStart"/>
      <w:r>
        <w:rPr>
          <w:rFonts w:ascii="Verdana" w:cs="Verdana" w:eastAsia="Verdana" w:hAnsi="Verdana"/>
          <w:sz w:val="20"/>
          <w:szCs w:val="20"/>
        </w:rPr>
        <w:t>Triskalia</w:t>
      </w:r>
      <w:proofErr w:type="spellEnd"/>
      <w:r>
        <w:rPr>
          <w:rFonts w:ascii="Verdana" w:cs="Verdana" w:eastAsia="Verdana" w:hAnsi="Verdana"/>
          <w:sz w:val="20"/>
          <w:szCs w:val="20"/>
        </w:rPr>
        <w:t>” s’établissent comme suit :</w:t>
      </w:r>
    </w:p>
    <w:p w:rsidR="00783620" w:rsidRDefault="00783620">
      <w:pPr>
        <w:spacing w:line="240" w:lineRule="auto"/>
        <w:rPr>
          <w:sz w:val="24"/>
          <w:szCs w:val="24"/>
        </w:rPr>
      </w:pPr>
    </w:p>
    <w:tbl>
      <w:tblPr>
        <w:tblStyle w:val="a"/>
        <w:tblW w:type="dxa" w:w="9025"/>
        <w:jc w:val="cente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2285"/>
        <w:gridCol w:w="3370"/>
        <w:gridCol w:w="3370"/>
      </w:tblGrid>
      <w:tr w:rsidR="00783620">
        <w:trPr>
          <w:trHeight w:val="840"/>
          <w:jc w:val="center"/>
        </w:trPr>
        <w:tc>
          <w:tcPr>
            <w:tcW w:type="dxa" w:w="2285"/>
            <w:tcBorders>
              <w:top w:val="nil"/>
              <w:left w:val="nil"/>
              <w:bottom w:color="000000" w:space="0" w:sz="4" w:val="single"/>
            </w:tcBorders>
          </w:tcPr>
          <w:p w:rsidR="00783620" w:rsidRDefault="00783620">
            <w:pPr>
              <w:spacing w:line="240" w:lineRule="auto"/>
              <w:jc w:val="center"/>
              <w:rPr>
                <w:rFonts w:ascii="Verdana" w:cs="Verdana" w:eastAsia="Verdana" w:hAnsi="Verdana"/>
                <w:sz w:val="20"/>
                <w:szCs w:val="20"/>
              </w:rPr>
            </w:pPr>
          </w:p>
          <w:p w:rsidR="00783620" w:rsidRDefault="00783620">
            <w:pPr>
              <w:spacing w:line="240" w:lineRule="auto"/>
              <w:jc w:val="center"/>
              <w:rPr>
                <w:rFonts w:ascii="Verdana" w:cs="Verdana" w:eastAsia="Verdana" w:hAnsi="Verdana"/>
                <w:sz w:val="20"/>
                <w:szCs w:val="20"/>
              </w:rPr>
            </w:pPr>
          </w:p>
        </w:tc>
        <w:tc>
          <w:tcPr>
            <w:tcW w:type="dxa" w:w="3370"/>
            <w:shd w:color="auto" w:fill="E6E6E6" w:val="clear"/>
          </w:tcPr>
          <w:p w:rsidR="00783620" w:rsidRDefault="00783620">
            <w:pPr>
              <w:spacing w:line="240" w:lineRule="auto"/>
              <w:jc w:val="center"/>
              <w:rPr>
                <w:rFonts w:ascii="Verdana" w:cs="Verdana" w:eastAsia="Verdana" w:hAnsi="Verdana"/>
                <w:sz w:val="20"/>
                <w:szCs w:val="20"/>
              </w:rPr>
            </w:pP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1</w:t>
            </w:r>
            <w:r>
              <w:rPr>
                <w:rFonts w:ascii="Verdana" w:cs="Verdana" w:eastAsia="Verdana" w:hAnsi="Verdana"/>
                <w:b/>
                <w:sz w:val="20"/>
                <w:szCs w:val="20"/>
                <w:vertAlign w:val="superscript"/>
              </w:rPr>
              <w:t>er</w:t>
            </w:r>
            <w:r>
              <w:rPr>
                <w:rFonts w:ascii="Verdana" w:cs="Verdana" w:eastAsia="Verdana" w:hAnsi="Verdana"/>
                <w:b/>
                <w:sz w:val="20"/>
                <w:szCs w:val="20"/>
              </w:rPr>
              <w:t xml:space="preserve"> octobre </w:t>
            </w:r>
            <w:r>
              <w:rPr>
                <w:rFonts w:ascii="Verdana" w:cs="Verdana" w:eastAsia="Verdana" w:hAnsi="Verdana"/>
                <w:b/>
                <w:sz w:val="20"/>
                <w:szCs w:val="20"/>
              </w:rPr>
              <w:t>2021</w:t>
            </w:r>
          </w:p>
          <w:p w:rsidR="00783620" w:rsidRDefault="00783620">
            <w:pPr>
              <w:spacing w:line="240" w:lineRule="auto"/>
              <w:jc w:val="center"/>
              <w:rPr>
                <w:rFonts w:ascii="Verdana" w:cs="Verdana" w:eastAsia="Verdana" w:hAnsi="Verdana"/>
                <w:sz w:val="20"/>
                <w:szCs w:val="20"/>
              </w:rPr>
            </w:pPr>
          </w:p>
        </w:tc>
        <w:tc>
          <w:tcPr>
            <w:tcW w:type="dxa" w:w="3370"/>
            <w:shd w:color="auto" w:fill="E6E6E6" w:val="clear"/>
          </w:tcPr>
          <w:p w:rsidR="00783620" w:rsidRDefault="00783620">
            <w:pPr>
              <w:spacing w:line="240" w:lineRule="auto"/>
              <w:jc w:val="center"/>
              <w:rPr>
                <w:rFonts w:ascii="Verdana" w:cs="Verdana" w:eastAsia="Verdana" w:hAnsi="Verdana"/>
                <w:b/>
                <w:sz w:val="20"/>
                <w:szCs w:val="20"/>
              </w:rPr>
            </w:pP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1</w:t>
            </w:r>
            <w:r>
              <w:rPr>
                <w:rFonts w:ascii="Verdana" w:cs="Verdana" w:eastAsia="Verdana" w:hAnsi="Verdana"/>
                <w:b/>
                <w:sz w:val="20"/>
                <w:szCs w:val="20"/>
                <w:vertAlign w:val="superscript"/>
              </w:rPr>
              <w:t>er</w:t>
            </w:r>
            <w:r>
              <w:rPr>
                <w:rFonts w:ascii="Verdana" w:cs="Verdana" w:eastAsia="Verdana" w:hAnsi="Verdana"/>
                <w:b/>
                <w:sz w:val="20"/>
                <w:szCs w:val="20"/>
              </w:rPr>
              <w:t xml:space="preserve"> janvier 2022</w:t>
            </w:r>
          </w:p>
        </w:tc>
      </w:tr>
      <w:tr w:rsidR="00783620">
        <w:trPr>
          <w:trHeight w:val="320"/>
          <w:jc w:val="center"/>
        </w:trPr>
        <w:tc>
          <w:tcPr>
            <w:tcW w:type="dxa" w:w="2285"/>
            <w:shd w:color="auto" w:fill="E6E6E6" w:val="clear"/>
          </w:tcPr>
          <w:p w:rsidR="00783620" w:rsidRDefault="00783620">
            <w:pPr>
              <w:spacing w:line="240" w:lineRule="auto"/>
              <w:jc w:val="center"/>
              <w:rPr>
                <w:rFonts w:ascii="Verdana" w:cs="Verdana" w:eastAsia="Verdana" w:hAnsi="Verdana"/>
                <w:sz w:val="20"/>
                <w:szCs w:val="20"/>
              </w:rPr>
            </w:pP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Valeur du point</w:t>
            </w:r>
          </w:p>
          <w:p w:rsidR="00783620" w:rsidRDefault="00783620">
            <w:pPr>
              <w:spacing w:line="240" w:lineRule="auto"/>
              <w:rPr>
                <w:rFonts w:ascii="Verdana" w:cs="Verdana" w:eastAsia="Verdana" w:hAnsi="Verdana"/>
                <w:sz w:val="20"/>
                <w:szCs w:val="20"/>
              </w:rPr>
            </w:pPr>
          </w:p>
        </w:tc>
        <w:tc>
          <w:tcPr>
            <w:tcW w:type="dxa" w:w="3370"/>
            <w:vAlign w:val="center"/>
          </w:tcPr>
          <w:p w:rsidR="00783620" w:rsidRDefault="001465A9">
            <w:pPr>
              <w:spacing w:line="240" w:lineRule="auto"/>
              <w:ind w:right="454"/>
              <w:jc w:val="center"/>
              <w:rPr>
                <w:rFonts w:ascii="Verdana" w:cs="Verdana" w:eastAsia="Verdana" w:hAnsi="Verdana"/>
                <w:sz w:val="20"/>
                <w:szCs w:val="20"/>
              </w:rPr>
            </w:pPr>
            <w:r>
              <w:rPr>
                <w:rFonts w:ascii="Verdana" w:cs="Verdana" w:eastAsia="Verdana" w:hAnsi="Verdana"/>
                <w:sz w:val="20"/>
                <w:szCs w:val="20"/>
              </w:rPr>
              <w:t xml:space="preserve">    5,2014 €</w:t>
            </w:r>
          </w:p>
        </w:tc>
        <w:tc>
          <w:tcPr>
            <w:tcW w:type="dxa" w:w="3370"/>
            <w:vAlign w:val="center"/>
          </w:tcPr>
          <w:p w:rsidR="00783620" w:rsidRDefault="001465A9">
            <w:pPr>
              <w:spacing w:line="240" w:lineRule="auto"/>
              <w:jc w:val="center"/>
              <w:rPr>
                <w:rFonts w:ascii="Verdana" w:cs="Verdana" w:eastAsia="Verdana" w:hAnsi="Verdana"/>
                <w:sz w:val="20"/>
                <w:szCs w:val="20"/>
              </w:rPr>
            </w:pPr>
            <w:r>
              <w:rPr>
                <w:rFonts w:ascii="Verdana" w:cs="Verdana" w:eastAsia="Verdana" w:hAnsi="Verdana"/>
                <w:sz w:val="20"/>
                <w:szCs w:val="20"/>
              </w:rPr>
              <w:t>5,2222 €</w:t>
            </w:r>
          </w:p>
        </w:tc>
      </w:tr>
      <w:tr w:rsidR="00783620">
        <w:trPr>
          <w:trHeight w:val="1170"/>
          <w:jc w:val="center"/>
        </w:trPr>
        <w:tc>
          <w:tcPr>
            <w:tcW w:type="dxa" w:w="2285"/>
            <w:shd w:color="auto" w:fill="E6E6E6" w:val="clear"/>
          </w:tcPr>
          <w:p w:rsidR="00783620" w:rsidRDefault="00783620">
            <w:pPr>
              <w:spacing w:line="240" w:lineRule="auto"/>
              <w:jc w:val="center"/>
              <w:rPr>
                <w:rFonts w:ascii="Verdana" w:cs="Verdana" w:eastAsia="Verdana" w:hAnsi="Verdana"/>
                <w:b/>
                <w:sz w:val="20"/>
                <w:szCs w:val="20"/>
              </w:rPr>
            </w:pP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Valeur du complément</w:t>
            </w: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pondérateur</w:t>
            </w:r>
          </w:p>
        </w:tc>
        <w:tc>
          <w:tcPr>
            <w:tcW w:type="dxa" w:w="3370"/>
            <w:vAlign w:val="center"/>
          </w:tcPr>
          <w:p w:rsidR="00783620" w:rsidRDefault="001465A9">
            <w:pPr>
              <w:spacing w:line="240" w:lineRule="auto"/>
              <w:jc w:val="center"/>
              <w:rPr>
                <w:rFonts w:ascii="Verdana" w:cs="Verdana" w:eastAsia="Verdana" w:hAnsi="Verdana"/>
                <w:sz w:val="20"/>
                <w:szCs w:val="20"/>
              </w:rPr>
            </w:pPr>
            <w:r>
              <w:rPr>
                <w:rFonts w:ascii="Verdana" w:cs="Verdana" w:eastAsia="Verdana" w:hAnsi="Verdana"/>
                <w:sz w:val="20"/>
                <w:szCs w:val="20"/>
              </w:rPr>
              <w:t>713,44 €</w:t>
            </w:r>
          </w:p>
        </w:tc>
        <w:tc>
          <w:tcPr>
            <w:tcW w:type="dxa" w:w="3370"/>
            <w:vAlign w:val="center"/>
          </w:tcPr>
          <w:p w:rsidR="00783620" w:rsidRDefault="001465A9">
            <w:pPr>
              <w:spacing w:line="240" w:lineRule="auto"/>
              <w:jc w:val="center"/>
              <w:rPr>
                <w:rFonts w:ascii="Verdana" w:cs="Verdana" w:eastAsia="Verdana" w:hAnsi="Verdana"/>
                <w:sz w:val="20"/>
                <w:szCs w:val="20"/>
              </w:rPr>
            </w:pPr>
            <w:r>
              <w:rPr>
                <w:rFonts w:ascii="Verdana" w:cs="Verdana" w:eastAsia="Verdana" w:hAnsi="Verdana"/>
                <w:sz w:val="20"/>
                <w:szCs w:val="20"/>
              </w:rPr>
              <w:t>716,29 €</w:t>
            </w:r>
          </w:p>
        </w:tc>
      </w:tr>
    </w:tbl>
    <w:p w:rsidR="00783620" w:rsidRDefault="00783620">
      <w:pPr>
        <w:spacing w:line="240" w:lineRule="auto"/>
        <w:ind w:right="284"/>
        <w:jc w:val="both"/>
        <w:rPr>
          <w:sz w:val="24"/>
          <w:szCs w:val="24"/>
        </w:rPr>
      </w:pPr>
    </w:p>
    <w:p w:rsidR="00783620" w:rsidRDefault="001465A9">
      <w:p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sz w:val="24"/>
          <w:szCs w:val="24"/>
        </w:rPr>
      </w:pPr>
      <w:r>
        <w:rPr>
          <w:rFonts w:ascii="Verdana" w:cs="Verdana" w:eastAsia="Verdana" w:hAnsi="Verdana"/>
          <w:sz w:val="20"/>
          <w:szCs w:val="20"/>
        </w:rPr>
        <w:t>Les partenaires sociaux sont convenus d’ouvrir de nouvelles négociations en octobre 2022 si l’évolution de l’indice INSEE (Ensemble des ménages - hors tabac) sur la période août 2021 à août 2022 devait atteindre 1,7%.</w:t>
      </w:r>
    </w:p>
    <w:p w:rsidR="00783620" w:rsidRDefault="00783620">
      <w:pPr>
        <w:widowControl w:val="0"/>
        <w:spacing w:line="240" w:lineRule="auto"/>
        <w:rPr>
          <w:rFonts w:ascii="Nunito Sans" w:cs="Nunito Sans" w:eastAsia="Nunito Sans" w:hAnsi="Nunito Sans"/>
          <w:sz w:val="24"/>
          <w:szCs w:val="24"/>
        </w:rPr>
      </w:pPr>
    </w:p>
    <w:p w:rsidR="00783620" w:rsidRDefault="00783620">
      <w:pPr>
        <w:jc w:val="both"/>
        <w:rPr>
          <w:b/>
          <w:sz w:val="24"/>
          <w:szCs w:val="24"/>
        </w:rPr>
      </w:pPr>
    </w:p>
    <w:p w:rsidR="00783620" w:rsidRDefault="001465A9">
      <w:pPr>
        <w:jc w:val="both"/>
        <w:rPr>
          <w:b/>
          <w:sz w:val="24"/>
          <w:szCs w:val="24"/>
        </w:rPr>
      </w:pPr>
      <w:r>
        <w:rPr>
          <w:b/>
          <w:sz w:val="24"/>
          <w:szCs w:val="24"/>
        </w:rPr>
        <w:t>2 - Personnel cadres</w:t>
      </w:r>
    </w:p>
    <w:p w:rsidR="00783620" w:rsidRDefault="00783620">
      <w:pPr>
        <w:jc w:val="both"/>
        <w:rPr>
          <w:sz w:val="24"/>
          <w:szCs w:val="24"/>
        </w:rPr>
      </w:pPr>
    </w:p>
    <w:p w:rsidR="00783620" w:rsidRDefault="001465A9">
      <w:pPr>
        <w:jc w:val="both"/>
        <w:rPr>
          <w:rFonts w:ascii="Verdana" w:cs="Verdana" w:eastAsia="Verdana" w:hAnsi="Verdana"/>
          <w:sz w:val="20"/>
          <w:szCs w:val="20"/>
        </w:rPr>
      </w:pPr>
      <w:r>
        <w:rPr>
          <w:rFonts w:ascii="Verdana" w:cs="Verdana" w:eastAsia="Verdana" w:hAnsi="Verdana"/>
          <w:sz w:val="20"/>
          <w:szCs w:val="20"/>
        </w:rPr>
        <w:t>Pour les salariés relevant du statut cadre, la direction a fait part de sa décision de les exclure du bénéfice des augmentations générales, et de leur faire bénéficier exclusivement d’une enveloppe d’augmentations individuelles. Les parties n’ayant pu trou</w:t>
      </w:r>
      <w:r>
        <w:rPr>
          <w:rFonts w:ascii="Verdana" w:cs="Verdana" w:eastAsia="Verdana" w:hAnsi="Verdana"/>
          <w:sz w:val="20"/>
          <w:szCs w:val="20"/>
        </w:rPr>
        <w:t>ver un accord sur ce point spécifique applicable au personnel cadre, il est convenu que les dispositions les concernant feront l’objet d’une annexe 1 spécifique, jointe au présent accord, portant la décision unilatérale de la direction à leur égard.</w:t>
      </w:r>
    </w:p>
    <w:p w:rsidR="00783620" w:rsidRDefault="00783620">
      <w:pPr>
        <w:jc w:val="both"/>
        <w:rPr>
          <w:rFonts w:ascii="Verdana" w:cs="Verdana" w:eastAsia="Verdana" w:hAnsi="Verdana"/>
          <w:sz w:val="20"/>
          <w:szCs w:val="20"/>
        </w:rPr>
      </w:pPr>
    </w:p>
    <w:p w:rsidR="00783620" w:rsidRDefault="001465A9">
      <w:pPr>
        <w:jc w:val="both"/>
        <w:rPr>
          <w:rFonts w:ascii="Verdana" w:cs="Verdana" w:eastAsia="Verdana" w:hAnsi="Verdana"/>
          <w:sz w:val="20"/>
          <w:szCs w:val="20"/>
        </w:rPr>
      </w:pPr>
      <w:r>
        <w:rPr>
          <w:rFonts w:ascii="Verdana" w:cs="Verdana" w:eastAsia="Verdana" w:hAnsi="Verdana"/>
          <w:sz w:val="20"/>
          <w:szCs w:val="20"/>
        </w:rPr>
        <w:t>Il en</w:t>
      </w:r>
      <w:r>
        <w:rPr>
          <w:rFonts w:ascii="Verdana" w:cs="Verdana" w:eastAsia="Verdana" w:hAnsi="Verdana"/>
          <w:sz w:val="20"/>
          <w:szCs w:val="20"/>
        </w:rPr>
        <w:t xml:space="preserve"> résulte que le personnel cadre ex-</w:t>
      </w:r>
      <w:proofErr w:type="spellStart"/>
      <w:r>
        <w:rPr>
          <w:rFonts w:ascii="Verdana" w:cs="Verdana" w:eastAsia="Verdana" w:hAnsi="Verdana"/>
          <w:sz w:val="20"/>
          <w:szCs w:val="20"/>
        </w:rPr>
        <w:t>Triskalia</w:t>
      </w:r>
      <w:proofErr w:type="spellEnd"/>
      <w:r>
        <w:rPr>
          <w:rFonts w:ascii="Verdana" w:cs="Verdana" w:eastAsia="Verdana" w:hAnsi="Verdana"/>
          <w:sz w:val="20"/>
          <w:szCs w:val="20"/>
        </w:rPr>
        <w:t xml:space="preserve"> bénéficiera d’une valeur de point et d’une valeur du complément pondérateur distinctes de celles applicables au personnel non cadre. Les montants applicables au personnel cadre sont précisés dans l’annexe 1 join</w:t>
      </w:r>
      <w:r>
        <w:rPr>
          <w:rFonts w:ascii="Verdana" w:cs="Verdana" w:eastAsia="Verdana" w:hAnsi="Verdana"/>
          <w:sz w:val="20"/>
          <w:szCs w:val="20"/>
        </w:rPr>
        <w:t>te au présent accord. Les parties en prennent acte par le présent accord.</w:t>
      </w:r>
    </w:p>
    <w:p w:rsidR="00783620" w:rsidRDefault="00783620">
      <w:pPr>
        <w:jc w:val="both"/>
        <w:rPr>
          <w:rFonts w:ascii="Verdana" w:cs="Verdana" w:eastAsia="Verdana" w:hAnsi="Verdana"/>
          <w:sz w:val="20"/>
          <w:szCs w:val="20"/>
        </w:rPr>
      </w:pPr>
    </w:p>
    <w:p w:rsidR="00783620" w:rsidRDefault="001465A9">
      <w:pPr>
        <w:jc w:val="both"/>
        <w:rPr>
          <w:rFonts w:ascii="Verdana" w:cs="Verdana" w:eastAsia="Verdana" w:hAnsi="Verdana"/>
          <w:sz w:val="20"/>
          <w:szCs w:val="20"/>
        </w:rPr>
      </w:pPr>
      <w:r>
        <w:rPr>
          <w:rFonts w:ascii="Verdana" w:cs="Verdana" w:eastAsia="Verdana" w:hAnsi="Verdana"/>
          <w:sz w:val="20"/>
          <w:szCs w:val="20"/>
        </w:rPr>
        <w:t>A titre dérogatoire, compte tenu des spécificités des emplois occupés par les commerciaux et technico-commerciaux, il est convenu que cette population bénéficiera des dispositions a</w:t>
      </w:r>
      <w:r>
        <w:rPr>
          <w:rFonts w:ascii="Verdana" w:cs="Verdana" w:eastAsia="Verdana" w:hAnsi="Verdana"/>
          <w:sz w:val="20"/>
          <w:szCs w:val="20"/>
        </w:rPr>
        <w:t xml:space="preserve">pplicables au personnel non cadre issues du présent accord, et ce </w:t>
      </w:r>
      <w:proofErr w:type="spellStart"/>
      <w:r>
        <w:rPr>
          <w:rFonts w:ascii="Verdana" w:cs="Verdana" w:eastAsia="Verdana" w:hAnsi="Verdana"/>
          <w:sz w:val="20"/>
          <w:szCs w:val="20"/>
        </w:rPr>
        <w:t>quelque</w:t>
      </w:r>
      <w:proofErr w:type="spellEnd"/>
      <w:r>
        <w:rPr>
          <w:rFonts w:ascii="Verdana" w:cs="Verdana" w:eastAsia="Verdana" w:hAnsi="Verdana"/>
          <w:sz w:val="20"/>
          <w:szCs w:val="20"/>
        </w:rPr>
        <w:t xml:space="preserve"> soit le statut cadre ou non cadre des salariés occupant ces emplois. Cette disposition dérogatoire s’applique aux technico-commerciaux en productions végétale et  animale et aux tech</w:t>
      </w:r>
      <w:r>
        <w:rPr>
          <w:rFonts w:ascii="Verdana" w:cs="Verdana" w:eastAsia="Verdana" w:hAnsi="Verdana"/>
          <w:sz w:val="20"/>
          <w:szCs w:val="20"/>
        </w:rPr>
        <w:t xml:space="preserve">niciens en </w:t>
      </w:r>
      <w:proofErr w:type="spellStart"/>
      <w:r>
        <w:rPr>
          <w:rFonts w:ascii="Verdana" w:cs="Verdana" w:eastAsia="Verdana" w:hAnsi="Verdana"/>
          <w:sz w:val="20"/>
          <w:szCs w:val="20"/>
        </w:rPr>
        <w:t>agro-environnement</w:t>
      </w:r>
      <w:proofErr w:type="spellEnd"/>
      <w:r>
        <w:rPr>
          <w:rFonts w:ascii="Verdana" w:cs="Verdana" w:eastAsia="Verdana" w:hAnsi="Verdana"/>
          <w:sz w:val="20"/>
          <w:szCs w:val="20"/>
        </w:rPr>
        <w:t>.</w:t>
      </w:r>
    </w:p>
    <w:p w:rsidR="00783620" w:rsidRDefault="00783620">
      <w:pPr>
        <w:jc w:val="both"/>
        <w:rPr>
          <w:rFonts w:ascii="Verdana" w:cs="Verdana" w:eastAsia="Verdana" w:hAnsi="Verdana"/>
          <w:sz w:val="20"/>
          <w:szCs w:val="20"/>
        </w:rPr>
      </w:pPr>
    </w:p>
    <w:p w:rsidR="00783620" w:rsidRDefault="001465A9">
      <w:pPr>
        <w:jc w:val="both"/>
        <w:rPr>
          <w:rFonts w:ascii="Verdana" w:cs="Verdana" w:eastAsia="Verdana" w:hAnsi="Verdana"/>
          <w:sz w:val="20"/>
          <w:szCs w:val="20"/>
        </w:rPr>
      </w:pPr>
      <w:r>
        <w:rPr>
          <w:rFonts w:ascii="Verdana" w:cs="Verdana" w:eastAsia="Verdana" w:hAnsi="Verdana"/>
          <w:sz w:val="20"/>
          <w:szCs w:val="20"/>
        </w:rPr>
        <w:t>Par ailleurs, les parties s’engagent à ouvrir des discussions sur les indicateurs de suivi à mettre en œuvre sur la répartition des enveloppes augmentations individuelles.</w:t>
      </w:r>
    </w:p>
    <w:p w:rsidR="00783620" w:rsidRDefault="00783620">
      <w:pPr>
        <w:jc w:val="both"/>
        <w:rPr>
          <w:rFonts w:ascii="Verdana" w:cs="Verdana" w:eastAsia="Verdana" w:hAnsi="Verdana"/>
          <w:sz w:val="20"/>
          <w:szCs w:val="20"/>
        </w:rPr>
      </w:pPr>
    </w:p>
    <w:p w:rsidR="00783620" w:rsidRDefault="001465A9">
      <w:p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spacing w:line="240" w:lineRule="auto"/>
        <w:jc w:val="both"/>
        <w:rPr>
          <w:b/>
          <w:sz w:val="24"/>
          <w:szCs w:val="24"/>
        </w:rPr>
      </w:pPr>
      <w:r>
        <w:rPr>
          <w:b/>
          <w:sz w:val="24"/>
          <w:szCs w:val="24"/>
        </w:rPr>
        <w:t xml:space="preserve">3 - Durée de l’accord </w:t>
      </w:r>
    </w:p>
    <w:p w:rsidR="00783620" w:rsidRDefault="00783620">
      <w:p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b/>
          <w:sz w:val="24"/>
          <w:szCs w:val="24"/>
        </w:rPr>
      </w:pPr>
    </w:p>
    <w:p w:rsidR="00783620" w:rsidRDefault="001465A9">
      <w:p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jc w:val="both"/>
        <w:rPr>
          <w:rFonts w:ascii="Verdana" w:cs="Verdana" w:eastAsia="Verdana" w:hAnsi="Verdana"/>
          <w:sz w:val="20"/>
          <w:szCs w:val="20"/>
        </w:rPr>
      </w:pPr>
      <w:r>
        <w:rPr>
          <w:rFonts w:ascii="Verdana" w:cs="Verdana" w:eastAsia="Verdana" w:hAnsi="Verdana"/>
          <w:sz w:val="20"/>
          <w:szCs w:val="20"/>
        </w:rPr>
        <w:t>Le présent accord collectif</w:t>
      </w:r>
      <w:r>
        <w:rPr>
          <w:rFonts w:ascii="Verdana" w:cs="Verdana" w:eastAsia="Verdana" w:hAnsi="Verdana"/>
          <w:sz w:val="20"/>
          <w:szCs w:val="20"/>
        </w:rPr>
        <w:t xml:space="preserve"> est conclu pour une durée déterminée, et cessera de produire effet le 31/12/2022. En effet, pour tenir compte de la situation exceptionnelle et de l’anticipation des négociations obligatoires au titre de l’année 2022, il est convenu entre les parties que,</w:t>
      </w:r>
      <w:r>
        <w:rPr>
          <w:rFonts w:ascii="Verdana" w:cs="Verdana" w:eastAsia="Verdana" w:hAnsi="Verdana"/>
          <w:sz w:val="20"/>
          <w:szCs w:val="20"/>
        </w:rPr>
        <w:t xml:space="preserve"> conformément à l’article L2242-10 du code du travail, la prochaine négociation obligatoire portant sur les salaires et le partage de la valeur ajoutée aura lieu au titre de l’année 2023.</w:t>
      </w:r>
    </w:p>
    <w:p w:rsidR="00783620" w:rsidRDefault="00783620">
      <w:pPr>
        <w:widowControl w:val="0"/>
        <w:rPr>
          <w:rFonts w:ascii="Verdana" w:cs="Verdana" w:eastAsia="Verdana" w:hAnsi="Verdana"/>
          <w:sz w:val="20"/>
          <w:szCs w:val="20"/>
        </w:rPr>
      </w:pPr>
    </w:p>
    <w:p w:rsidR="00783620" w:rsidRDefault="001465A9">
      <w:pPr>
        <w:widowControl w:val="0"/>
        <w:rPr>
          <w:b/>
          <w:sz w:val="24"/>
          <w:szCs w:val="24"/>
        </w:rPr>
      </w:pPr>
      <w:r>
        <w:rPr>
          <w:b/>
          <w:sz w:val="24"/>
          <w:szCs w:val="24"/>
        </w:rPr>
        <w:t>4 - Publicité - Dépôt</w:t>
      </w:r>
    </w:p>
    <w:p w:rsidR="00783620" w:rsidRDefault="00783620">
      <w:pPr>
        <w:widowControl w:val="0"/>
        <w:rPr>
          <w:b/>
          <w:sz w:val="24"/>
          <w:szCs w:val="24"/>
        </w:rPr>
      </w:pPr>
    </w:p>
    <w:p w:rsidR="00783620" w:rsidRDefault="001465A9">
      <w:pPr>
        <w:widowControl w:val="0"/>
        <w:jc w:val="both"/>
      </w:pPr>
      <w:r>
        <w:rPr>
          <w:rFonts w:ascii="Verdana" w:cs="Verdana" w:eastAsia="Verdana" w:hAnsi="Verdana"/>
          <w:sz w:val="20"/>
          <w:szCs w:val="20"/>
        </w:rPr>
        <w:t xml:space="preserve">Le présent accord sera déposé par la Direction de la Société sur la plateforme de </w:t>
      </w:r>
      <w:proofErr w:type="spellStart"/>
      <w:r>
        <w:rPr>
          <w:rFonts w:ascii="Verdana" w:cs="Verdana" w:eastAsia="Verdana" w:hAnsi="Verdana"/>
          <w:sz w:val="20"/>
          <w:szCs w:val="20"/>
        </w:rPr>
        <w:t>téléprocédure</w:t>
      </w:r>
      <w:proofErr w:type="spellEnd"/>
      <w:r>
        <w:rPr>
          <w:rFonts w:ascii="Verdana" w:cs="Verdana" w:eastAsia="Verdana" w:hAnsi="Verdana"/>
          <w:sz w:val="20"/>
          <w:szCs w:val="20"/>
        </w:rPr>
        <w:t xml:space="preserve"> “</w:t>
      </w:r>
      <w:proofErr w:type="spellStart"/>
      <w:r>
        <w:rPr>
          <w:rFonts w:ascii="Verdana" w:cs="Verdana" w:eastAsia="Verdana" w:hAnsi="Verdana"/>
          <w:sz w:val="20"/>
          <w:szCs w:val="20"/>
        </w:rPr>
        <w:t>TéléAccords</w:t>
      </w:r>
      <w:proofErr w:type="spellEnd"/>
      <w:r>
        <w:rPr>
          <w:rFonts w:ascii="Verdana" w:cs="Verdana" w:eastAsia="Verdana" w:hAnsi="Verdana"/>
          <w:sz w:val="20"/>
          <w:szCs w:val="20"/>
        </w:rPr>
        <w:t>”, et un exemplaire sera remis au secrétariat-greffe du Conseil de Prud'hommes.</w:t>
      </w:r>
    </w:p>
    <w:p w:rsidR="00783620" w:rsidRDefault="00783620">
      <w:pPr>
        <w:widowControl w:val="0"/>
      </w:pPr>
    </w:p>
    <w:p w:rsidR="00783620" w:rsidRDefault="00783620">
      <w:pPr>
        <w:widowControl w:val="0"/>
        <w:rPr>
          <w:rFonts w:ascii="Verdana" w:cs="Verdana" w:eastAsia="Verdana" w:hAnsi="Verdana"/>
          <w:sz w:val="20"/>
          <w:szCs w:val="20"/>
        </w:rPr>
      </w:pPr>
    </w:p>
    <w:p w:rsidR="00783620" w:rsidRDefault="001465A9">
      <w:pPr>
        <w:widowControl w:val="0"/>
      </w:pPr>
      <w:r>
        <w:rPr>
          <w:rFonts w:ascii="Verdana" w:cs="Verdana" w:eastAsia="Verdana" w:hAnsi="Verdana"/>
          <w:sz w:val="20"/>
          <w:szCs w:val="20"/>
        </w:rPr>
        <w:t xml:space="preserve">Fait à </w:t>
      </w:r>
      <w:proofErr w:type="spellStart"/>
      <w:r>
        <w:rPr>
          <w:rFonts w:ascii="Verdana" w:cs="Verdana" w:eastAsia="Verdana" w:hAnsi="Verdana"/>
          <w:sz w:val="20"/>
          <w:szCs w:val="20"/>
        </w:rPr>
        <w:t>Mellac</w:t>
      </w:r>
      <w:proofErr w:type="spellEnd"/>
      <w:r>
        <w:rPr>
          <w:rFonts w:ascii="Verdana" w:cs="Verdana" w:eastAsia="Verdana" w:hAnsi="Verdana"/>
          <w:sz w:val="20"/>
          <w:szCs w:val="20"/>
        </w:rPr>
        <w:t>, le 16 novembre 2021, en 3 exemplaires originaux</w:t>
      </w:r>
    </w:p>
    <w:p w:rsidR="00783620" w:rsidRDefault="00783620">
      <w:pPr>
        <w:widowControl w:val="0"/>
        <w:ind w:left="720"/>
      </w:pPr>
    </w:p>
    <w:p w:rsidR="00783620" w:rsidRDefault="00783620">
      <w:pPr>
        <w:jc w:val="both"/>
        <w:rPr>
          <w:rFonts w:ascii="Verdana" w:cs="Verdana" w:eastAsia="Verdana" w:hAnsi="Verdana"/>
          <w:sz w:val="20"/>
          <w:szCs w:val="20"/>
        </w:rPr>
      </w:pPr>
    </w:p>
    <w:p w:rsidR="00783620" w:rsidRDefault="001465A9">
      <w:pPr>
        <w:jc w:val="both"/>
        <w:rPr>
          <w:rFonts w:ascii="Verdana" w:cs="Verdana" w:eastAsia="Verdana" w:hAnsi="Verdana"/>
          <w:b/>
          <w:sz w:val="20"/>
          <w:szCs w:val="20"/>
          <w:u w:val="single"/>
        </w:rPr>
      </w:pPr>
      <w:r>
        <w:rPr>
          <w:rFonts w:ascii="Verdana" w:cs="Verdana" w:eastAsia="Verdana" w:hAnsi="Verdana"/>
          <w:b/>
          <w:sz w:val="20"/>
          <w:szCs w:val="20"/>
          <w:u w:val="single"/>
        </w:rPr>
        <w:t>P</w:t>
      </w:r>
      <w:r>
        <w:rPr>
          <w:rFonts w:ascii="Verdana" w:cs="Verdana" w:eastAsia="Verdana" w:hAnsi="Verdana"/>
          <w:b/>
          <w:sz w:val="20"/>
          <w:szCs w:val="20"/>
          <w:u w:val="single"/>
        </w:rPr>
        <w:t>our l'Organisation Syndicale CFDT</w:t>
      </w:r>
      <w:r>
        <w:rPr>
          <w:rFonts w:ascii="Verdana" w:cs="Verdana" w:eastAsia="Verdana" w:hAnsi="Verdana"/>
          <w:b/>
          <w:sz w:val="20"/>
          <w:szCs w:val="20"/>
          <w:u w:val="single"/>
        </w:rPr>
        <w:tab/>
      </w:r>
      <w:r>
        <w:rPr>
          <w:rFonts w:ascii="Verdana" w:cs="Verdana" w:eastAsia="Verdana" w:hAnsi="Verdana"/>
          <w:b/>
          <w:sz w:val="20"/>
          <w:szCs w:val="20"/>
          <w:u w:val="single"/>
        </w:rPr>
        <w:tab/>
        <w:t xml:space="preserve">Pour l’UES </w:t>
      </w:r>
      <w:proofErr w:type="spellStart"/>
      <w:r>
        <w:rPr>
          <w:rFonts w:ascii="Verdana" w:cs="Verdana" w:eastAsia="Verdana" w:hAnsi="Verdana"/>
          <w:b/>
          <w:sz w:val="20"/>
          <w:szCs w:val="20"/>
          <w:u w:val="single"/>
        </w:rPr>
        <w:t>Eureden</w:t>
      </w:r>
      <w:proofErr w:type="spellEnd"/>
      <w:r>
        <w:rPr>
          <w:rFonts w:ascii="Verdana" w:cs="Verdana" w:eastAsia="Verdana" w:hAnsi="Verdana"/>
          <w:b/>
          <w:sz w:val="20"/>
          <w:szCs w:val="20"/>
          <w:u w:val="single"/>
        </w:rPr>
        <w:t xml:space="preserve"> Agriculture</w:t>
      </w:r>
    </w:p>
    <w:p w:rsidR="00783620" w:rsidRDefault="00783620">
      <w:pPr>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spacing w:after="240"/>
        <w:jc w:val="both"/>
        <w:rPr>
          <w:rFonts w:ascii="Verdana" w:cs="Verdana" w:eastAsia="Verdana" w:hAnsi="Verdana"/>
          <w:b/>
          <w:sz w:val="20"/>
          <w:szCs w:val="20"/>
          <w:u w:val="single"/>
        </w:rPr>
      </w:pPr>
    </w:p>
    <w:p w:rsidR="00783620" w:rsidRDefault="00783620">
      <w:pPr>
        <w:widowControl w:val="0"/>
        <w:ind w:left="720"/>
      </w:pPr>
    </w:p>
    <w:p w:rsidR="00783620" w:rsidRDefault="001465A9">
      <w:pPr>
        <w:widowControl w:val="0"/>
        <w:jc w:val="center"/>
        <w:rPr>
          <w:rFonts w:ascii="Verdana" w:cs="Verdana" w:eastAsia="Verdana" w:hAnsi="Verdana"/>
          <w:b/>
        </w:rPr>
      </w:pPr>
      <w:r>
        <w:rPr>
          <w:rFonts w:ascii="Verdana" w:cs="Verdana" w:eastAsia="Verdana" w:hAnsi="Verdana"/>
          <w:b/>
        </w:rPr>
        <w:t>ANNEXE 1</w:t>
      </w:r>
    </w:p>
    <w:p w:rsidR="00783620" w:rsidRDefault="00783620">
      <w:pPr>
        <w:widowControl w:val="0"/>
        <w:ind w:left="720"/>
        <w:rPr>
          <w:rFonts w:ascii="Verdana" w:cs="Verdana" w:eastAsia="Verdana" w:hAnsi="Verdana"/>
        </w:rPr>
      </w:pPr>
    </w:p>
    <w:p w:rsidR="00783620" w:rsidRDefault="00783620">
      <w:pPr>
        <w:widowControl w:val="0"/>
        <w:ind w:left="720"/>
        <w:rPr>
          <w:rFonts w:ascii="Verdana" w:cs="Verdana" w:eastAsia="Verdana" w:hAnsi="Verdana"/>
        </w:rPr>
      </w:pPr>
    </w:p>
    <w:p w:rsidR="00783620" w:rsidRDefault="00783620">
      <w:pPr>
        <w:widowControl w:val="0"/>
        <w:ind w:left="720"/>
        <w:rPr>
          <w:rFonts w:ascii="Verdana" w:cs="Verdana" w:eastAsia="Verdana" w:hAnsi="Verdana"/>
        </w:rPr>
      </w:pPr>
    </w:p>
    <w:p w:rsidR="00783620" w:rsidRDefault="001465A9">
      <w:pPr>
        <w:widowControl w:val="0"/>
        <w:rPr>
          <w:rFonts w:ascii="Verdana" w:cs="Verdana" w:eastAsia="Verdana" w:hAnsi="Verdana"/>
          <w:b/>
        </w:rPr>
      </w:pPr>
      <w:r>
        <w:rPr>
          <w:rFonts w:ascii="Verdana" w:cs="Verdana" w:eastAsia="Verdana" w:hAnsi="Verdana"/>
          <w:b/>
        </w:rPr>
        <w:t>DÉCISION UNILATÉRALE RELATIVE AUX SALARIÉS CADRES</w:t>
      </w:r>
    </w:p>
    <w:p w:rsidR="00783620" w:rsidRDefault="00783620">
      <w:pPr>
        <w:widowControl w:val="0"/>
        <w:ind w:left="720"/>
        <w:rPr>
          <w:rFonts w:ascii="Verdana" w:cs="Verdana" w:eastAsia="Verdana" w:hAnsi="Verdana"/>
        </w:rPr>
      </w:pPr>
    </w:p>
    <w:p w:rsidR="00783620" w:rsidRDefault="001465A9">
      <w:pPr>
        <w:jc w:val="both"/>
        <w:rPr>
          <w:rFonts w:ascii="Verdana" w:cs="Verdana" w:eastAsia="Verdana" w:hAnsi="Verdana"/>
          <w:sz w:val="20"/>
          <w:szCs w:val="20"/>
        </w:rPr>
      </w:pPr>
      <w:r>
        <w:rPr>
          <w:rFonts w:ascii="Verdana" w:cs="Verdana" w:eastAsia="Verdana" w:hAnsi="Verdana"/>
          <w:sz w:val="20"/>
          <w:szCs w:val="20"/>
        </w:rPr>
        <w:t xml:space="preserve">Compte tenu du contexte particulier, les salariés cadres sont exclus du bénéfice des augmentations </w:t>
      </w:r>
      <w:r>
        <w:rPr>
          <w:rFonts w:ascii="Verdana" w:cs="Verdana" w:eastAsia="Verdana" w:hAnsi="Verdana"/>
          <w:sz w:val="20"/>
          <w:szCs w:val="20"/>
        </w:rPr>
        <w:t>générales. Ils relèveront d’augmentations individuelles selon les dispositions suivantes :</w:t>
      </w:r>
    </w:p>
    <w:p w:rsidR="00783620" w:rsidRDefault="00783620">
      <w:pPr>
        <w:jc w:val="both"/>
        <w:rPr>
          <w:rFonts w:ascii="Verdana" w:cs="Verdana" w:eastAsia="Verdana" w:hAnsi="Verdana"/>
          <w:sz w:val="20"/>
          <w:szCs w:val="20"/>
        </w:rPr>
      </w:pPr>
    </w:p>
    <w:p w:rsidR="00783620" w:rsidRDefault="001465A9">
      <w:pPr>
        <w:numPr>
          <w:ilvl w:val="0"/>
          <w:numId w:val="1"/>
        </w:numPr>
        <w:jc w:val="both"/>
        <w:rPr>
          <w:rFonts w:ascii="Verdana" w:cs="Verdana" w:eastAsia="Verdana" w:hAnsi="Verdana"/>
          <w:sz w:val="20"/>
          <w:szCs w:val="20"/>
        </w:rPr>
      </w:pPr>
      <w:r>
        <w:rPr>
          <w:rFonts w:ascii="Verdana" w:cs="Verdana" w:eastAsia="Verdana" w:hAnsi="Verdana"/>
          <w:b/>
          <w:sz w:val="20"/>
          <w:szCs w:val="20"/>
        </w:rPr>
        <w:t xml:space="preserve">1,5% </w:t>
      </w:r>
      <w:r>
        <w:rPr>
          <w:rFonts w:ascii="Verdana" w:cs="Verdana" w:eastAsia="Verdana" w:hAnsi="Verdana"/>
          <w:sz w:val="20"/>
          <w:szCs w:val="20"/>
        </w:rPr>
        <w:t>au titre d’une augmentation individuelle collective à effet du 1/10/2021 pour les cadres présents (ex d’</w:t>
      </w:r>
      <w:proofErr w:type="spellStart"/>
      <w:r>
        <w:rPr>
          <w:rFonts w:ascii="Verdana" w:cs="Verdana" w:eastAsia="Verdana" w:hAnsi="Verdana"/>
          <w:sz w:val="20"/>
          <w:szCs w:val="20"/>
        </w:rPr>
        <w:t>aucy</w:t>
      </w:r>
      <w:proofErr w:type="spellEnd"/>
      <w:r>
        <w:rPr>
          <w:rFonts w:ascii="Verdana" w:cs="Verdana" w:eastAsia="Verdana" w:hAnsi="Verdana"/>
          <w:sz w:val="20"/>
          <w:szCs w:val="20"/>
        </w:rPr>
        <w:t xml:space="preserve"> et ex </w:t>
      </w:r>
      <w:proofErr w:type="spellStart"/>
      <w:r>
        <w:rPr>
          <w:rFonts w:ascii="Verdana" w:cs="Verdana" w:eastAsia="Verdana" w:hAnsi="Verdana"/>
          <w:sz w:val="20"/>
          <w:szCs w:val="20"/>
        </w:rPr>
        <w:t>Triskalia</w:t>
      </w:r>
      <w:proofErr w:type="spellEnd"/>
      <w:r>
        <w:rPr>
          <w:rFonts w:ascii="Verdana" w:cs="Verdana" w:eastAsia="Verdana" w:hAnsi="Verdana"/>
          <w:sz w:val="20"/>
          <w:szCs w:val="20"/>
        </w:rPr>
        <w:t>) à cette date (hors cadres de dire</w:t>
      </w:r>
      <w:r>
        <w:rPr>
          <w:rFonts w:ascii="Verdana" w:cs="Verdana" w:eastAsia="Verdana" w:hAnsi="Verdana"/>
          <w:sz w:val="20"/>
          <w:szCs w:val="20"/>
        </w:rPr>
        <w:t>ction);</w:t>
      </w:r>
    </w:p>
    <w:p w:rsidR="00783620" w:rsidRDefault="00783620">
      <w:pPr>
        <w:ind w:left="1440"/>
        <w:jc w:val="both"/>
        <w:rPr>
          <w:rFonts w:ascii="Verdana" w:cs="Verdana" w:eastAsia="Verdana" w:hAnsi="Verdana"/>
          <w:sz w:val="20"/>
          <w:szCs w:val="20"/>
        </w:rPr>
      </w:pPr>
    </w:p>
    <w:p w:rsidR="00783620" w:rsidRDefault="001465A9">
      <w:pPr>
        <w:ind w:left="1440"/>
        <w:jc w:val="both"/>
        <w:rPr>
          <w:rFonts w:ascii="Verdana" w:cs="Verdana" w:eastAsia="Verdana" w:hAnsi="Verdana"/>
          <w:sz w:val="20"/>
          <w:szCs w:val="20"/>
        </w:rPr>
      </w:pPr>
      <w:r>
        <w:rPr>
          <w:rFonts w:ascii="Verdana" w:cs="Verdana" w:eastAsia="Verdana" w:hAnsi="Verdana"/>
          <w:sz w:val="20"/>
          <w:szCs w:val="20"/>
        </w:rPr>
        <w:t xml:space="preserve">En application de ces dispositions, la valeur du point “cadre ex </w:t>
      </w:r>
      <w:proofErr w:type="spellStart"/>
      <w:r>
        <w:rPr>
          <w:rFonts w:ascii="Verdana" w:cs="Verdana" w:eastAsia="Verdana" w:hAnsi="Verdana"/>
          <w:sz w:val="20"/>
          <w:szCs w:val="20"/>
        </w:rPr>
        <w:t>Triskalia</w:t>
      </w:r>
      <w:proofErr w:type="spellEnd"/>
      <w:r>
        <w:rPr>
          <w:rFonts w:ascii="Verdana" w:cs="Verdana" w:eastAsia="Verdana" w:hAnsi="Verdana"/>
          <w:sz w:val="20"/>
          <w:szCs w:val="20"/>
        </w:rPr>
        <w:t>” s’établit comme suit :</w:t>
      </w:r>
    </w:p>
    <w:p w:rsidR="00783620" w:rsidRDefault="00783620">
      <w:pPr>
        <w:ind w:left="1440"/>
        <w:jc w:val="both"/>
        <w:rPr>
          <w:rFonts w:ascii="Verdana" w:cs="Verdana" w:eastAsia="Verdana" w:hAnsi="Verdana"/>
          <w:i/>
          <w:sz w:val="20"/>
          <w:szCs w:val="20"/>
        </w:rPr>
      </w:pPr>
    </w:p>
    <w:p w:rsidR="00783620" w:rsidRDefault="00783620">
      <w:pPr>
        <w:spacing w:line="240" w:lineRule="auto"/>
        <w:rPr>
          <w:rFonts w:ascii="Verdana" w:cs="Verdana" w:eastAsia="Verdana" w:hAnsi="Verdana"/>
          <w:sz w:val="20"/>
          <w:szCs w:val="20"/>
        </w:rPr>
      </w:pPr>
    </w:p>
    <w:tbl>
      <w:tblPr>
        <w:tblStyle w:val="a0"/>
        <w:tblW w:type="dxa" w:w="10405"/>
        <w:jc w:val="cente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4304"/>
        <w:gridCol w:w="6101"/>
      </w:tblGrid>
      <w:tr w:rsidR="00783620">
        <w:trPr>
          <w:trHeight w:val="489"/>
          <w:jc w:val="center"/>
        </w:trPr>
        <w:tc>
          <w:tcPr>
            <w:tcW w:type="dxa" w:w="2910"/>
            <w:tcBorders>
              <w:top w:val="nil"/>
              <w:left w:val="nil"/>
              <w:bottom w:color="000000" w:space="0" w:sz="4" w:val="single"/>
            </w:tcBorders>
          </w:tcPr>
          <w:p w:rsidR="00783620" w:rsidRDefault="00783620">
            <w:pPr>
              <w:spacing w:line="240" w:lineRule="auto"/>
              <w:jc w:val="center"/>
              <w:rPr>
                <w:rFonts w:ascii="Verdana" w:cs="Verdana" w:eastAsia="Verdana" w:hAnsi="Verdana"/>
                <w:sz w:val="20"/>
                <w:szCs w:val="20"/>
              </w:rPr>
            </w:pPr>
          </w:p>
          <w:p w:rsidR="00783620" w:rsidRDefault="00783620">
            <w:pPr>
              <w:spacing w:line="240" w:lineRule="auto"/>
              <w:jc w:val="center"/>
              <w:rPr>
                <w:rFonts w:ascii="Verdana" w:cs="Verdana" w:eastAsia="Verdana" w:hAnsi="Verdana"/>
                <w:sz w:val="20"/>
                <w:szCs w:val="20"/>
              </w:rPr>
            </w:pPr>
          </w:p>
        </w:tc>
        <w:tc>
          <w:tcPr>
            <w:tcW w:type="dxa" w:w="4125"/>
            <w:shd w:color="auto" w:fill="E6E6E6" w:val="clear"/>
          </w:tcPr>
          <w:p w:rsidR="00783620" w:rsidRDefault="00783620">
            <w:pPr>
              <w:spacing w:line="240" w:lineRule="auto"/>
              <w:jc w:val="center"/>
              <w:rPr>
                <w:rFonts w:ascii="Verdana" w:cs="Verdana" w:eastAsia="Verdana" w:hAnsi="Verdana"/>
                <w:sz w:val="20"/>
                <w:szCs w:val="20"/>
              </w:rPr>
            </w:pP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1</w:t>
            </w:r>
            <w:r>
              <w:rPr>
                <w:rFonts w:ascii="Verdana" w:cs="Verdana" w:eastAsia="Verdana" w:hAnsi="Verdana"/>
                <w:b/>
                <w:sz w:val="20"/>
                <w:szCs w:val="20"/>
                <w:vertAlign w:val="superscript"/>
              </w:rPr>
              <w:t>er</w:t>
            </w:r>
            <w:r>
              <w:rPr>
                <w:rFonts w:ascii="Verdana" w:cs="Verdana" w:eastAsia="Verdana" w:hAnsi="Verdana"/>
                <w:b/>
                <w:sz w:val="20"/>
                <w:szCs w:val="20"/>
              </w:rPr>
              <w:t xml:space="preserve"> octobre 2021</w:t>
            </w:r>
          </w:p>
          <w:p w:rsidR="00783620" w:rsidRDefault="00783620">
            <w:pPr>
              <w:spacing w:line="240" w:lineRule="auto"/>
              <w:jc w:val="center"/>
              <w:rPr>
                <w:rFonts w:ascii="Verdana" w:cs="Verdana" w:eastAsia="Verdana" w:hAnsi="Verdana"/>
                <w:sz w:val="20"/>
                <w:szCs w:val="20"/>
              </w:rPr>
            </w:pPr>
          </w:p>
        </w:tc>
      </w:tr>
      <w:tr w:rsidR="00783620">
        <w:trPr>
          <w:trHeight w:val="624"/>
          <w:jc w:val="center"/>
        </w:trPr>
        <w:tc>
          <w:tcPr>
            <w:tcW w:type="dxa" w:w="2910"/>
            <w:shd w:color="auto" w:fill="E6E6E6" w:val="clear"/>
          </w:tcPr>
          <w:p w:rsidR="00783620" w:rsidRDefault="00783620">
            <w:pPr>
              <w:spacing w:line="240" w:lineRule="auto"/>
              <w:jc w:val="center"/>
              <w:rPr>
                <w:rFonts w:ascii="Verdana" w:cs="Verdana" w:eastAsia="Verdana" w:hAnsi="Verdana"/>
                <w:sz w:val="20"/>
                <w:szCs w:val="20"/>
              </w:rPr>
            </w:pP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Valeur du point</w:t>
            </w:r>
          </w:p>
          <w:p w:rsidR="00783620" w:rsidRDefault="00783620">
            <w:pPr>
              <w:spacing w:line="240" w:lineRule="auto"/>
              <w:rPr>
                <w:rFonts w:ascii="Verdana" w:cs="Verdana" w:eastAsia="Verdana" w:hAnsi="Verdana"/>
                <w:sz w:val="20"/>
                <w:szCs w:val="20"/>
              </w:rPr>
            </w:pPr>
          </w:p>
        </w:tc>
        <w:tc>
          <w:tcPr>
            <w:tcW w:type="dxa" w:w="4125"/>
          </w:tcPr>
          <w:p w:rsidR="00783620" w:rsidRDefault="00783620">
            <w:pPr>
              <w:spacing w:line="240" w:lineRule="auto"/>
              <w:jc w:val="center"/>
              <w:rPr>
                <w:rFonts w:ascii="Verdana" w:cs="Verdana" w:eastAsia="Verdana" w:hAnsi="Verdana"/>
                <w:sz w:val="20"/>
                <w:szCs w:val="20"/>
              </w:rPr>
            </w:pPr>
          </w:p>
          <w:p w:rsidR="00783620" w:rsidRDefault="001465A9">
            <w:pPr>
              <w:spacing w:line="240" w:lineRule="auto"/>
              <w:ind w:right="454"/>
              <w:jc w:val="center"/>
              <w:rPr>
                <w:rFonts w:ascii="Verdana" w:cs="Verdana" w:eastAsia="Verdana" w:hAnsi="Verdana"/>
                <w:sz w:val="20"/>
                <w:szCs w:val="20"/>
              </w:rPr>
            </w:pPr>
            <w:r>
              <w:rPr>
                <w:rFonts w:ascii="Verdana" w:cs="Verdana" w:eastAsia="Verdana" w:hAnsi="Verdana"/>
                <w:sz w:val="20"/>
                <w:szCs w:val="20"/>
              </w:rPr>
              <w:t xml:space="preserve">      5,1657 €</w:t>
            </w:r>
          </w:p>
        </w:tc>
      </w:tr>
      <w:tr w:rsidR="00783620">
        <w:trPr>
          <w:trHeight w:val="600"/>
          <w:jc w:val="center"/>
        </w:trPr>
        <w:tc>
          <w:tcPr>
            <w:tcW w:type="dxa" w:w="2910"/>
            <w:shd w:color="auto" w:fill="E6E6E6" w:val="clear"/>
          </w:tcPr>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Valeur du complément</w:t>
            </w:r>
          </w:p>
          <w:p w:rsidR="00783620" w:rsidRDefault="001465A9">
            <w:pPr>
              <w:spacing w:line="240" w:lineRule="auto"/>
              <w:jc w:val="center"/>
              <w:rPr>
                <w:rFonts w:ascii="Verdana" w:cs="Verdana" w:eastAsia="Verdana" w:hAnsi="Verdana"/>
                <w:sz w:val="20"/>
                <w:szCs w:val="20"/>
              </w:rPr>
            </w:pPr>
            <w:r>
              <w:rPr>
                <w:rFonts w:ascii="Verdana" w:cs="Verdana" w:eastAsia="Verdana" w:hAnsi="Verdana"/>
                <w:b/>
                <w:sz w:val="20"/>
                <w:szCs w:val="20"/>
              </w:rPr>
              <w:t>pondérateur</w:t>
            </w:r>
          </w:p>
        </w:tc>
        <w:tc>
          <w:tcPr>
            <w:tcW w:type="dxa" w:w="4125"/>
          </w:tcPr>
          <w:p w:rsidR="00783620" w:rsidRDefault="00783620">
            <w:pPr>
              <w:spacing w:line="240" w:lineRule="auto"/>
              <w:jc w:val="center"/>
              <w:rPr>
                <w:rFonts w:ascii="Verdana" w:cs="Verdana" w:eastAsia="Verdana" w:hAnsi="Verdana"/>
                <w:sz w:val="20"/>
                <w:szCs w:val="20"/>
              </w:rPr>
            </w:pPr>
          </w:p>
          <w:p w:rsidR="00783620" w:rsidRDefault="001465A9">
            <w:pPr>
              <w:spacing w:line="240" w:lineRule="auto"/>
              <w:jc w:val="center"/>
              <w:rPr>
                <w:rFonts w:ascii="Verdana" w:cs="Verdana" w:eastAsia="Verdana" w:hAnsi="Verdana"/>
                <w:sz w:val="20"/>
                <w:szCs w:val="20"/>
              </w:rPr>
            </w:pPr>
            <w:r>
              <w:rPr>
                <w:rFonts w:ascii="Verdana" w:cs="Verdana" w:eastAsia="Verdana" w:hAnsi="Verdana"/>
                <w:sz w:val="20"/>
                <w:szCs w:val="20"/>
              </w:rPr>
              <w:t>708,55 €</w:t>
            </w:r>
          </w:p>
        </w:tc>
      </w:tr>
    </w:tbl>
    <w:p w:rsidR="00783620" w:rsidRDefault="00783620">
      <w:pPr>
        <w:spacing w:line="240" w:lineRule="auto"/>
        <w:ind w:right="284"/>
        <w:jc w:val="both"/>
        <w:rPr>
          <w:rFonts w:ascii="Verdana" w:cs="Verdana" w:eastAsia="Verdana" w:hAnsi="Verdana"/>
          <w:sz w:val="20"/>
          <w:szCs w:val="20"/>
        </w:rPr>
      </w:pPr>
    </w:p>
    <w:p w:rsidR="00783620" w:rsidRDefault="00783620">
      <w:pPr>
        <w:jc w:val="both"/>
        <w:rPr>
          <w:rFonts w:ascii="Verdana" w:cs="Verdana" w:eastAsia="Verdana" w:hAnsi="Verdana"/>
          <w:sz w:val="20"/>
          <w:szCs w:val="20"/>
        </w:rPr>
      </w:pPr>
    </w:p>
    <w:p w:rsidR="00783620" w:rsidRDefault="00783620">
      <w:pPr>
        <w:ind w:left="1440"/>
        <w:jc w:val="both"/>
        <w:rPr>
          <w:rFonts w:ascii="Verdana" w:cs="Verdana" w:eastAsia="Verdana" w:hAnsi="Verdana"/>
          <w:sz w:val="20"/>
          <w:szCs w:val="20"/>
        </w:rPr>
      </w:pPr>
    </w:p>
    <w:p w:rsidR="00783620" w:rsidRDefault="001465A9">
      <w:pPr>
        <w:numPr>
          <w:ilvl w:val="0"/>
          <w:numId w:val="2"/>
        </w:numPr>
        <w:jc w:val="both"/>
        <w:rPr>
          <w:rFonts w:ascii="Verdana" w:cs="Verdana" w:eastAsia="Verdana" w:hAnsi="Verdana"/>
          <w:sz w:val="20"/>
          <w:szCs w:val="20"/>
        </w:rPr>
      </w:pPr>
      <w:r>
        <w:rPr>
          <w:rFonts w:ascii="Verdana" w:cs="Verdana" w:eastAsia="Verdana" w:hAnsi="Verdana"/>
          <w:sz w:val="20"/>
          <w:szCs w:val="20"/>
        </w:rPr>
        <w:t xml:space="preserve">une enveloppe de </w:t>
      </w:r>
      <w:r>
        <w:rPr>
          <w:rFonts w:ascii="Verdana" w:cs="Verdana" w:eastAsia="Verdana" w:hAnsi="Verdana"/>
          <w:b/>
          <w:sz w:val="20"/>
          <w:szCs w:val="20"/>
        </w:rPr>
        <w:t>1,1%</w:t>
      </w:r>
      <w:r>
        <w:rPr>
          <w:rFonts w:ascii="Verdana" w:cs="Verdana" w:eastAsia="Verdana" w:hAnsi="Verdana"/>
          <w:sz w:val="20"/>
          <w:szCs w:val="20"/>
        </w:rPr>
        <w:t xml:space="preserve"> au titre d’une augmentation individuelle à effet du 1er juillet 2022 pour les cadres présents (ex d’</w:t>
      </w:r>
      <w:proofErr w:type="spellStart"/>
      <w:r>
        <w:rPr>
          <w:rFonts w:ascii="Verdana" w:cs="Verdana" w:eastAsia="Verdana" w:hAnsi="Verdana"/>
          <w:sz w:val="20"/>
          <w:szCs w:val="20"/>
        </w:rPr>
        <w:t>aucy</w:t>
      </w:r>
      <w:proofErr w:type="spellEnd"/>
      <w:r>
        <w:rPr>
          <w:rFonts w:ascii="Verdana" w:cs="Verdana" w:eastAsia="Verdana" w:hAnsi="Verdana"/>
          <w:sz w:val="20"/>
          <w:szCs w:val="20"/>
        </w:rPr>
        <w:t xml:space="preserve"> et ex </w:t>
      </w:r>
      <w:proofErr w:type="spellStart"/>
      <w:r>
        <w:rPr>
          <w:rFonts w:ascii="Verdana" w:cs="Verdana" w:eastAsia="Verdana" w:hAnsi="Verdana"/>
          <w:sz w:val="20"/>
          <w:szCs w:val="20"/>
        </w:rPr>
        <w:t>Triskalia</w:t>
      </w:r>
      <w:proofErr w:type="spellEnd"/>
      <w:r>
        <w:rPr>
          <w:rFonts w:ascii="Verdana" w:cs="Verdana" w:eastAsia="Verdana" w:hAnsi="Verdana"/>
          <w:sz w:val="20"/>
          <w:szCs w:val="20"/>
        </w:rPr>
        <w:t xml:space="preserve">) à cette date (hors cadres de direction). </w:t>
      </w:r>
    </w:p>
    <w:p w:rsidR="00783620" w:rsidRDefault="00783620">
      <w:pPr>
        <w:ind w:left="1440"/>
        <w:jc w:val="both"/>
        <w:rPr>
          <w:rFonts w:ascii="Verdana" w:cs="Verdana" w:eastAsia="Verdana" w:hAnsi="Verdana"/>
          <w:sz w:val="20"/>
          <w:szCs w:val="20"/>
        </w:rPr>
      </w:pPr>
    </w:p>
    <w:p w:rsidR="00783620" w:rsidRDefault="00783620">
      <w:pPr>
        <w:spacing w:line="240" w:lineRule="auto"/>
        <w:ind w:right="284"/>
        <w:jc w:val="both"/>
        <w:rPr>
          <w:sz w:val="20"/>
          <w:szCs w:val="20"/>
        </w:rPr>
      </w:pPr>
    </w:p>
    <w:sectPr w:rsidR="00783620">
      <w:headerReference r:id="rId7" w:type="default"/>
      <w:pgSz w:h="16834" w:w="11909"/>
      <w:pgMar w:bottom="1440" w:footer="720" w:gutter="0" w:header="720" w:left="1440" w:right="1440" w:top="144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5A9" w:rsidRDefault="001465A9">
      <w:pPr>
        <w:spacing w:line="240" w:lineRule="auto"/>
      </w:pPr>
      <w:r>
        <w:separator/>
      </w:r>
    </w:p>
  </w:endnote>
  <w:endnote w:type="continuationSeparator" w:id="0">
    <w:p w:rsidR="001465A9" w:rsidRDefault="00146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1465A9" w:rsidRDefault="001465A9">
      <w:pPr>
        <w:spacing w:line="240" w:lineRule="auto"/>
      </w:pPr>
      <w:r>
        <w:separator/>
      </w:r>
    </w:p>
  </w:footnote>
  <w:footnote w:id="0" w:type="continuationSeparator">
    <w:p w:rsidR="001465A9" w:rsidRDefault="001465A9">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83620" w:rsidRDefault="001465A9">
    <w:pPr>
      <w:tabs>
        <w:tab w:pos="4536" w:val="center"/>
        <w:tab w:pos="9072" w:val="right"/>
      </w:tabs>
      <w:spacing w:line="240" w:lineRule="auto"/>
      <w:jc w:val="right"/>
      <w:rPr>
        <w:rFonts w:ascii="Verdana" w:cs="Verdana" w:eastAsia="Verdana" w:hAnsi="Verdana"/>
        <w:i/>
        <w:sz w:val="18"/>
        <w:szCs w:val="18"/>
      </w:rPr>
    </w:pPr>
    <w:r>
      <w:rPr>
        <w:rFonts w:ascii="Verdana" w:cs="Verdana" w:eastAsia="Verdana" w:hAnsi="Verdana"/>
        <w:i/>
        <w:sz w:val="18"/>
        <w:szCs w:val="18"/>
      </w:rPr>
      <w:t>Accord n° 14 du 16/</w:t>
    </w:r>
    <w:r>
      <w:rPr>
        <w:rFonts w:ascii="Verdana" w:cs="Verdana" w:eastAsia="Verdana" w:hAnsi="Verdana"/>
        <w:i/>
        <w:sz w:val="18"/>
        <w:szCs w:val="18"/>
      </w:rPr>
      <w:t>11/2021</w:t>
    </w:r>
  </w:p>
  <w:p w:rsidR="00783620" w:rsidRDefault="00783620"/>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D033241"/>
    <w:multiLevelType w:val="multilevel"/>
    <w:tmpl w:val="5C1C197C"/>
    <w:lvl w:ilvl="0">
      <w:start w:val="1"/>
      <w:numFmt w:val="bullet"/>
      <w:lvlText w:val="●"/>
      <w:lvlJc w:val="left"/>
      <w:pPr>
        <w:ind w:hanging="360" w:left="1440"/>
      </w:pPr>
      <w:rPr>
        <w:u w:val="none"/>
      </w:rPr>
    </w:lvl>
    <w:lvl w:ilvl="1">
      <w:start w:val="1"/>
      <w:numFmt w:val="bullet"/>
      <w:lvlText w:val="○"/>
      <w:lvlJc w:val="left"/>
      <w:pPr>
        <w:ind w:hanging="360" w:left="2160"/>
      </w:pPr>
      <w:rPr>
        <w:u w:val="none"/>
      </w:rPr>
    </w:lvl>
    <w:lvl w:ilvl="2">
      <w:start w:val="1"/>
      <w:numFmt w:val="bullet"/>
      <w:lvlText w:val="■"/>
      <w:lvlJc w:val="left"/>
      <w:pPr>
        <w:ind w:hanging="360" w:left="2880"/>
      </w:pPr>
      <w:rPr>
        <w:u w:val="none"/>
      </w:rPr>
    </w:lvl>
    <w:lvl w:ilvl="3">
      <w:start w:val="1"/>
      <w:numFmt w:val="bullet"/>
      <w:lvlText w:val="●"/>
      <w:lvlJc w:val="left"/>
      <w:pPr>
        <w:ind w:hanging="360" w:left="3600"/>
      </w:pPr>
      <w:rPr>
        <w:u w:val="none"/>
      </w:rPr>
    </w:lvl>
    <w:lvl w:ilvl="4">
      <w:start w:val="1"/>
      <w:numFmt w:val="bullet"/>
      <w:lvlText w:val="○"/>
      <w:lvlJc w:val="left"/>
      <w:pPr>
        <w:ind w:hanging="360" w:left="4320"/>
      </w:pPr>
      <w:rPr>
        <w:u w:val="none"/>
      </w:rPr>
    </w:lvl>
    <w:lvl w:ilvl="5">
      <w:start w:val="1"/>
      <w:numFmt w:val="bullet"/>
      <w:lvlText w:val="■"/>
      <w:lvlJc w:val="left"/>
      <w:pPr>
        <w:ind w:hanging="360" w:left="5040"/>
      </w:pPr>
      <w:rPr>
        <w:u w:val="none"/>
      </w:rPr>
    </w:lvl>
    <w:lvl w:ilvl="6">
      <w:start w:val="1"/>
      <w:numFmt w:val="bullet"/>
      <w:lvlText w:val="●"/>
      <w:lvlJc w:val="left"/>
      <w:pPr>
        <w:ind w:hanging="360" w:left="5760"/>
      </w:pPr>
      <w:rPr>
        <w:u w:val="none"/>
      </w:rPr>
    </w:lvl>
    <w:lvl w:ilvl="7">
      <w:start w:val="1"/>
      <w:numFmt w:val="bullet"/>
      <w:lvlText w:val="○"/>
      <w:lvlJc w:val="left"/>
      <w:pPr>
        <w:ind w:hanging="360" w:left="6480"/>
      </w:pPr>
      <w:rPr>
        <w:u w:val="none"/>
      </w:rPr>
    </w:lvl>
    <w:lvl w:ilvl="8">
      <w:start w:val="1"/>
      <w:numFmt w:val="bullet"/>
      <w:lvlText w:val="■"/>
      <w:lvlJc w:val="left"/>
      <w:pPr>
        <w:ind w:hanging="360" w:left="7200"/>
      </w:pPr>
      <w:rPr>
        <w:u w:val="none"/>
      </w:rPr>
    </w:lvl>
  </w:abstractNum>
  <w:abstractNum w:abstractNumId="1">
    <w:nsid w:val="77BD6DC5"/>
    <w:multiLevelType w:val="multilevel"/>
    <w:tmpl w:val="DB060D9E"/>
    <w:lvl w:ilvl="0">
      <w:start w:val="1"/>
      <w:numFmt w:val="bullet"/>
      <w:lvlText w:val="-"/>
      <w:lvlJc w:val="left"/>
      <w:pPr>
        <w:ind w:hanging="360" w:left="1440"/>
      </w:pPr>
      <w:rPr>
        <w:u w:val="none"/>
      </w:rPr>
    </w:lvl>
    <w:lvl w:ilvl="1">
      <w:start w:val="1"/>
      <w:numFmt w:val="bullet"/>
      <w:lvlText w:val="-"/>
      <w:lvlJc w:val="left"/>
      <w:pPr>
        <w:ind w:hanging="360" w:left="2160"/>
      </w:pPr>
      <w:rPr>
        <w:u w:val="none"/>
      </w:rPr>
    </w:lvl>
    <w:lvl w:ilvl="2">
      <w:start w:val="1"/>
      <w:numFmt w:val="bullet"/>
      <w:lvlText w:val="-"/>
      <w:lvlJc w:val="left"/>
      <w:pPr>
        <w:ind w:hanging="360" w:left="2880"/>
      </w:pPr>
      <w:rPr>
        <w:u w:val="none"/>
      </w:rPr>
    </w:lvl>
    <w:lvl w:ilvl="3">
      <w:start w:val="1"/>
      <w:numFmt w:val="bullet"/>
      <w:lvlText w:val="-"/>
      <w:lvlJc w:val="left"/>
      <w:pPr>
        <w:ind w:hanging="360" w:left="3600"/>
      </w:pPr>
      <w:rPr>
        <w:u w:val="none"/>
      </w:rPr>
    </w:lvl>
    <w:lvl w:ilvl="4">
      <w:start w:val="1"/>
      <w:numFmt w:val="bullet"/>
      <w:lvlText w:val="-"/>
      <w:lvlJc w:val="left"/>
      <w:pPr>
        <w:ind w:hanging="360" w:left="4320"/>
      </w:pPr>
      <w:rPr>
        <w:u w:val="none"/>
      </w:rPr>
    </w:lvl>
    <w:lvl w:ilvl="5">
      <w:start w:val="1"/>
      <w:numFmt w:val="bullet"/>
      <w:lvlText w:val="-"/>
      <w:lvlJc w:val="left"/>
      <w:pPr>
        <w:ind w:hanging="360" w:left="5040"/>
      </w:pPr>
      <w:rPr>
        <w:u w:val="none"/>
      </w:rPr>
    </w:lvl>
    <w:lvl w:ilvl="6">
      <w:start w:val="1"/>
      <w:numFmt w:val="bullet"/>
      <w:lvlText w:val="-"/>
      <w:lvlJc w:val="left"/>
      <w:pPr>
        <w:ind w:hanging="360" w:left="5760"/>
      </w:pPr>
      <w:rPr>
        <w:u w:val="none"/>
      </w:rPr>
    </w:lvl>
    <w:lvl w:ilvl="7">
      <w:start w:val="1"/>
      <w:numFmt w:val="bullet"/>
      <w:lvlText w:val="-"/>
      <w:lvlJc w:val="left"/>
      <w:pPr>
        <w:ind w:hanging="360" w:left="6480"/>
      </w:pPr>
      <w:rPr>
        <w:u w:val="none"/>
      </w:rPr>
    </w:lvl>
    <w:lvl w:ilvl="8">
      <w:start w:val="1"/>
      <w:numFmt w:val="bullet"/>
      <w:lvlText w:val="-"/>
      <w:lvlJc w:val="left"/>
      <w:pPr>
        <w:ind w:hanging="360" w:left="7200"/>
      </w:pPr>
      <w:rPr>
        <w:u w:val="none"/>
      </w:rPr>
    </w:lvl>
  </w:abstractNum>
  <w:abstractNum w:abstractNumId="2">
    <w:nsid w:val="7BEA19F6"/>
    <w:multiLevelType w:val="multilevel"/>
    <w:tmpl w:val="4F9C8AE0"/>
    <w:lvl w:ilvl="0">
      <w:start w:val="1"/>
      <w:numFmt w:val="bullet"/>
      <w:lvlText w:val="●"/>
      <w:lvlJc w:val="left"/>
      <w:pPr>
        <w:ind w:hanging="360" w:left="1440"/>
      </w:pPr>
      <w:rPr>
        <w:u w:val="none"/>
      </w:rPr>
    </w:lvl>
    <w:lvl w:ilvl="1">
      <w:start w:val="1"/>
      <w:numFmt w:val="bullet"/>
      <w:lvlText w:val="○"/>
      <w:lvlJc w:val="left"/>
      <w:pPr>
        <w:ind w:hanging="360" w:left="2160"/>
      </w:pPr>
      <w:rPr>
        <w:u w:val="none"/>
      </w:rPr>
    </w:lvl>
    <w:lvl w:ilvl="2">
      <w:start w:val="1"/>
      <w:numFmt w:val="bullet"/>
      <w:lvlText w:val="■"/>
      <w:lvlJc w:val="left"/>
      <w:pPr>
        <w:ind w:hanging="360" w:left="2880"/>
      </w:pPr>
      <w:rPr>
        <w:u w:val="none"/>
      </w:rPr>
    </w:lvl>
    <w:lvl w:ilvl="3">
      <w:start w:val="1"/>
      <w:numFmt w:val="bullet"/>
      <w:lvlText w:val="●"/>
      <w:lvlJc w:val="left"/>
      <w:pPr>
        <w:ind w:hanging="360" w:left="3600"/>
      </w:pPr>
      <w:rPr>
        <w:u w:val="none"/>
      </w:rPr>
    </w:lvl>
    <w:lvl w:ilvl="4">
      <w:start w:val="1"/>
      <w:numFmt w:val="bullet"/>
      <w:lvlText w:val="○"/>
      <w:lvlJc w:val="left"/>
      <w:pPr>
        <w:ind w:hanging="360" w:left="4320"/>
      </w:pPr>
      <w:rPr>
        <w:u w:val="none"/>
      </w:rPr>
    </w:lvl>
    <w:lvl w:ilvl="5">
      <w:start w:val="1"/>
      <w:numFmt w:val="bullet"/>
      <w:lvlText w:val="■"/>
      <w:lvlJc w:val="left"/>
      <w:pPr>
        <w:ind w:hanging="360" w:left="5040"/>
      </w:pPr>
      <w:rPr>
        <w:u w:val="none"/>
      </w:rPr>
    </w:lvl>
    <w:lvl w:ilvl="6">
      <w:start w:val="1"/>
      <w:numFmt w:val="bullet"/>
      <w:lvlText w:val="●"/>
      <w:lvlJc w:val="left"/>
      <w:pPr>
        <w:ind w:hanging="360" w:left="5760"/>
      </w:pPr>
      <w:rPr>
        <w:u w:val="none"/>
      </w:rPr>
    </w:lvl>
    <w:lvl w:ilvl="7">
      <w:start w:val="1"/>
      <w:numFmt w:val="bullet"/>
      <w:lvlText w:val="○"/>
      <w:lvlJc w:val="left"/>
      <w:pPr>
        <w:ind w:hanging="360" w:left="6480"/>
      </w:pPr>
      <w:rPr>
        <w:u w:val="none"/>
      </w:rPr>
    </w:lvl>
    <w:lvl w:ilvl="8">
      <w:start w:val="1"/>
      <w:numFmt w:val="bullet"/>
      <w:lvlText w:val="■"/>
      <w:lvlJc w:val="left"/>
      <w:pPr>
        <w:ind w:hanging="360" w:left="7200"/>
      </w:pPr>
      <w:rPr>
        <w:u w:val="none"/>
      </w:rPr>
    </w:lvl>
  </w:abstractNum>
  <w:num w:numId="1">
    <w:abstractNumId w:val="2"/>
  </w:num>
  <w:num w:numId="2">
    <w:abstractNumId w:val="0"/>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20"/>
    <w:rsid w:val="001465A9"/>
    <w:rsid w:val="00783620"/>
    <w:rsid w:val="00B33B6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5F408A07-2B17-4A21-92EB-00719EAA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lang w:bidi="ar-SA" w:eastAsia="fr-FR" w:val="fr"/>
      </w:rPr>
    </w:rPrDefault>
    <w:pPrDefault>
      <w:pPr>
        <w:spacing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00"/>
      <w:outlineLvl w:val="0"/>
    </w:pPr>
    <w:rPr>
      <w:sz w:val="40"/>
      <w:szCs w:val="40"/>
    </w:rPr>
  </w:style>
  <w:style w:styleId="Titre2" w:type="paragraph">
    <w:name w:val="heading 2"/>
    <w:basedOn w:val="Normal"/>
    <w:next w:val="Normal"/>
    <w:pPr>
      <w:keepNext/>
      <w:keepLines/>
      <w:spacing w:after="120" w:before="360"/>
      <w:outlineLvl w:val="1"/>
    </w:pPr>
    <w:rPr>
      <w:sz w:val="32"/>
      <w:szCs w:val="32"/>
    </w:rPr>
  </w:style>
  <w:style w:styleId="Titre3" w:type="paragraph">
    <w:name w:val="heading 3"/>
    <w:basedOn w:val="Normal"/>
    <w:next w:val="Normal"/>
    <w:pPr>
      <w:keepNext/>
      <w:keepLines/>
      <w:spacing w:after="80" w:before="320"/>
      <w:outlineLvl w:val="2"/>
    </w:pPr>
    <w:rPr>
      <w:color w:val="434343"/>
      <w:sz w:val="28"/>
      <w:szCs w:val="28"/>
    </w:rPr>
  </w:style>
  <w:style w:styleId="Titre4" w:type="paragraph">
    <w:name w:val="heading 4"/>
    <w:basedOn w:val="Normal"/>
    <w:next w:val="Normal"/>
    <w:pPr>
      <w:keepNext/>
      <w:keepLines/>
      <w:spacing w:after="80" w:before="280"/>
      <w:outlineLvl w:val="3"/>
    </w:pPr>
    <w:rPr>
      <w:color w:val="666666"/>
      <w:sz w:val="24"/>
      <w:szCs w:val="24"/>
    </w:rPr>
  </w:style>
  <w:style w:styleId="Titre5" w:type="paragraph">
    <w:name w:val="heading 5"/>
    <w:basedOn w:val="Normal"/>
    <w:next w:val="Normal"/>
    <w:pPr>
      <w:keepNext/>
      <w:keepLines/>
      <w:spacing w:after="80" w:before="240"/>
      <w:outlineLvl w:val="4"/>
    </w:pPr>
    <w:rPr>
      <w:color w:val="666666"/>
    </w:rPr>
  </w:style>
  <w:style w:styleId="Titre6" w:type="paragraph">
    <w:name w:val="heading 6"/>
    <w:basedOn w:val="Normal"/>
    <w:next w:val="Normal"/>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60"/>
    </w:pPr>
    <w:rPr>
      <w:sz w:val="52"/>
      <w:szCs w:val="52"/>
    </w:rPr>
  </w:style>
  <w:style w:styleId="Sous-titre" w:type="paragraph">
    <w:name w:val="Subtitle"/>
    <w:basedOn w:val="Normal"/>
    <w:next w:val="Normal"/>
    <w:pPr>
      <w:keepNext/>
      <w:keepLines/>
      <w:spacing w:after="320"/>
    </w:pPr>
    <w:rPr>
      <w:color w:val="666666"/>
      <w:sz w:val="30"/>
      <w:szCs w:val="30"/>
    </w:rPr>
  </w:style>
  <w:style w:customStyle="1" w:styleId="a" w:type="table">
    <w:basedOn w:val="TableNormal"/>
    <w:tblPr>
      <w:tblStyleRowBandSize w:val="1"/>
      <w:tblStyleColBandSize w:val="1"/>
      <w:tblCellMar>
        <w:top w:type="dxa" w:w="0"/>
        <w:left w:type="dxa" w:w="115"/>
        <w:bottom w:type="dxa" w:w="0"/>
        <w:right w:type="dxa" w:w="115"/>
      </w:tblCellMar>
    </w:tblPr>
  </w:style>
  <w:style w:customStyle="1" w:styleId="a0" w:type="table">
    <w:basedOn w:val="TableNormal"/>
    <w:tblPr>
      <w:tblStyleRowBandSize w:val="1"/>
      <w:tblStyleColBandSize w:val="1"/>
      <w:tblCellMar>
        <w:top w:type="dxa" w:w="0"/>
        <w:left w:type="dxa" w:w="115"/>
        <w:bottom w:type="dxa" w:w="0"/>
        <w:right w:type="dxa" w:w="115"/>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4824</Characters>
  <Application>Microsoft Office Word</Application>
  <DocSecurity>0</DocSecurity>
  <Lines>40</Lines>
  <Paragraphs>11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2021-11-29T16:19:00Z</dcterms:created>
  <dcterms:modified xsi:type="dcterms:W3CDTF">2021-11-29T16:19:00Z</dcterms:modified>
  <cp:revision>2</cp:revision>
</cp:coreProperties>
</file>