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1" w:color="000000"/>
          <w:left w:val="single" w:sz="4" w:space="4" w:color="000000"/>
          <w:bottom w:val="single" w:sz="4" w:space="10" w:color="000000"/>
          <w:right w:val="single" w:sz="4" w:space="4" w:color="000000"/>
        </w:pBdr>
        <w:shd w:fill="DFDFDF" w:val="clear"/>
        <w:spacing w:lineRule="auto" w:line="240" w:before="0" w:after="0"/>
        <w:ind w:left="567" w:right="567" w:hanging="0"/>
        <w:jc w:val="center"/>
        <w:rPr>
          <w:rFonts w:eastAsia="Times New Roman" w:cs="Arial"/>
          <w:b/>
          <w:b/>
          <w:caps/>
          <w:sz w:val="28"/>
          <w:szCs w:val="24"/>
          <w:lang w:eastAsia="fr-FR"/>
        </w:rPr>
      </w:pPr>
      <w:r>
        <w:rPr>
          <w:rFonts w:eastAsia="Times New Roman" w:cs="Arial"/>
          <w:b/>
          <w:caps/>
          <w:sz w:val="28"/>
          <w:szCs w:val="24"/>
          <w:lang w:eastAsia="fr-FR"/>
        </w:rPr>
        <w:t>NéGOCIATION ANNUELLE sur les remunerations 2022</w:t>
      </w:r>
    </w:p>
    <w:p>
      <w:pPr>
        <w:pStyle w:val="Normal"/>
        <w:pBdr>
          <w:top w:val="single" w:sz="4" w:space="11" w:color="000000"/>
          <w:left w:val="single" w:sz="4" w:space="4" w:color="000000"/>
          <w:bottom w:val="single" w:sz="4" w:space="10" w:color="000000"/>
          <w:right w:val="single" w:sz="4" w:space="4" w:color="000000"/>
        </w:pBdr>
        <w:shd w:fill="DFDFDF" w:val="clear"/>
        <w:spacing w:lineRule="auto" w:line="240" w:before="0" w:after="0"/>
        <w:ind w:left="567" w:right="567" w:hanging="0"/>
        <w:jc w:val="center"/>
        <w:rPr>
          <w:rFonts w:eastAsia="Times New Roman" w:cs="Arial"/>
          <w:b/>
          <w:b/>
          <w:caps/>
          <w:sz w:val="28"/>
          <w:szCs w:val="24"/>
          <w:lang w:eastAsia="fr-FR"/>
        </w:rPr>
      </w:pPr>
      <w:r>
        <w:rPr>
          <w:rFonts w:eastAsia="Times New Roman" w:cs="Arial"/>
          <w:b/>
          <w:caps/>
          <w:sz w:val="28"/>
          <w:szCs w:val="24"/>
          <w:lang w:eastAsia="fr-FR"/>
        </w:rPr>
        <w:t>PROTOCOLE D’ACCORD – 2022-01</w:t>
      </w:r>
    </w:p>
    <w:p>
      <w:pPr>
        <w:pStyle w:val="Normal"/>
        <w:jc w:val="both"/>
        <w:rPr>
          <w:rFonts w:eastAsia="Times New Roman" w:cs="Tahoma"/>
          <w:b/>
          <w:b/>
          <w:bCs/>
          <w:caps/>
          <w:sz w:val="10"/>
          <w:szCs w:val="20"/>
          <w:lang w:eastAsia="fr-FR"/>
        </w:rPr>
      </w:pPr>
      <w:r>
        <w:rPr>
          <w:rFonts w:eastAsia="Times New Roman" w:cs="Tahoma"/>
          <w:b/>
          <w:bCs/>
          <w:caps/>
          <w:sz w:val="10"/>
          <w:szCs w:val="20"/>
          <w:lang w:eastAsia="fr-FR"/>
        </w:rPr>
      </w:r>
    </w:p>
    <w:p>
      <w:pPr>
        <w:pStyle w:val="Normal"/>
        <w:spacing w:lineRule="auto" w:line="240" w:before="0" w:after="0"/>
        <w:ind w:right="113" w:hanging="0"/>
        <w:jc w:val="both"/>
        <w:rPr/>
      </w:pPr>
      <w:r>
        <w:rPr>
          <w:rFonts w:cs="Arial"/>
          <w:szCs w:val="20"/>
        </w:rPr>
        <w:t>La Direction de l’entreprise et la représentante de l’organisation syndicale représentative se sont réunies, les 22 décembre 2021 et 11 février 2022, dans le cadre de la négociation annuelle obligatoire prévue par l’article L.2242-5 du code du travail.</w:t>
      </w:r>
    </w:p>
    <w:p>
      <w:pPr>
        <w:pStyle w:val="Normal"/>
        <w:tabs>
          <w:tab w:val="left" w:pos="8931" w:leader="none"/>
        </w:tabs>
        <w:spacing w:lineRule="auto" w:line="240" w:before="0" w:after="0"/>
        <w:ind w:right="284" w:hanging="0"/>
        <w:jc w:val="both"/>
        <w:rPr>
          <w:rFonts w:cs="Arial"/>
          <w:szCs w:val="20"/>
        </w:rPr>
      </w:pPr>
      <w:r>
        <w:rPr>
          <w:rFonts w:cs="Arial"/>
          <w:szCs w:val="20"/>
        </w:rPr>
      </w:r>
    </w:p>
    <w:p>
      <w:pPr>
        <w:pStyle w:val="Normal"/>
        <w:tabs>
          <w:tab w:val="left" w:pos="8931" w:leader="none"/>
        </w:tabs>
        <w:spacing w:lineRule="auto" w:line="240" w:before="0" w:after="0"/>
        <w:ind w:right="284" w:hanging="0"/>
        <w:jc w:val="both"/>
        <w:rPr/>
      </w:pPr>
      <w:r>
        <w:rPr>
          <w:rFonts w:cs="Arial"/>
          <w:szCs w:val="20"/>
        </w:rPr>
        <w:t>Conformément à la réglementation, les informations nécessaires à la négociation ont été remises à la  délégation syndicale préalablement à la première réunion du 22 décembre 2021.</w:t>
      </w:r>
    </w:p>
    <w:p>
      <w:pPr>
        <w:pStyle w:val="Normal"/>
        <w:tabs>
          <w:tab w:val="left" w:pos="8931" w:leader="none"/>
        </w:tabs>
        <w:spacing w:lineRule="auto" w:line="240" w:before="0" w:after="0"/>
        <w:ind w:right="284" w:hanging="0"/>
        <w:jc w:val="both"/>
        <w:rPr>
          <w:rFonts w:cs="Arial"/>
          <w:szCs w:val="20"/>
        </w:rPr>
      </w:pPr>
      <w:r>
        <w:rPr>
          <w:rFonts w:cs="Arial"/>
          <w:szCs w:val="20"/>
        </w:rPr>
      </w:r>
    </w:p>
    <w:p>
      <w:pPr>
        <w:pStyle w:val="Normal"/>
        <w:tabs>
          <w:tab w:val="left" w:pos="8931" w:leader="none"/>
        </w:tabs>
        <w:spacing w:lineRule="auto" w:line="240" w:before="0" w:after="0"/>
        <w:ind w:right="284" w:hanging="0"/>
        <w:jc w:val="both"/>
        <w:rPr/>
      </w:pPr>
      <w:r>
        <w:rPr>
          <w:rFonts w:cs="Arial"/>
          <w:szCs w:val="20"/>
        </w:rPr>
        <w:t>A l’issue de la deuxième commission de négociation du 11 février 2022, les parties sont convenues de ce qui suit :</w:t>
      </w:r>
    </w:p>
    <w:p>
      <w:pPr>
        <w:pStyle w:val="Normal"/>
        <w:tabs>
          <w:tab w:val="left" w:pos="8931" w:leader="none"/>
        </w:tabs>
        <w:spacing w:lineRule="auto" w:line="240" w:before="0" w:after="0"/>
        <w:ind w:right="284" w:hanging="0"/>
        <w:jc w:val="both"/>
        <w:rPr>
          <w:rFonts w:cs="Arial"/>
          <w:szCs w:val="20"/>
        </w:rPr>
      </w:pPr>
      <w:r>
        <w:rPr>
          <w:rFonts w:cs="Arial"/>
          <w:szCs w:val="20"/>
        </w:rPr>
      </w:r>
    </w:p>
    <w:p>
      <w:pPr>
        <w:pStyle w:val="Normal"/>
        <w:tabs>
          <w:tab w:val="left" w:pos="8931" w:leader="none"/>
        </w:tabs>
        <w:spacing w:lineRule="auto" w:line="240" w:before="0" w:after="0"/>
        <w:ind w:right="284" w:hanging="0"/>
        <w:jc w:val="both"/>
        <w:rPr>
          <w:rFonts w:cs="Arial"/>
          <w:szCs w:val="20"/>
        </w:rPr>
      </w:pPr>
      <w:r>
        <w:rPr>
          <w:rFonts w:cs="Arial"/>
          <w:szCs w:val="20"/>
        </w:rPr>
      </w:r>
    </w:p>
    <w:p>
      <w:pPr>
        <w:pStyle w:val="Normal"/>
        <w:spacing w:lineRule="auto" w:line="240" w:before="0" w:after="0"/>
        <w:jc w:val="both"/>
        <w:rPr/>
      </w:pPr>
      <w:r>
        <w:rPr>
          <w:rFonts w:cs="Arial"/>
          <w:b/>
          <w:szCs w:val="20"/>
          <w:u w:val="single"/>
        </w:rPr>
        <w:t>Article 1 – Abondement PEE</w:t>
      </w:r>
    </w:p>
    <w:p>
      <w:pPr>
        <w:pStyle w:val="Normal"/>
        <w:spacing w:lineRule="auto" w:line="240" w:before="0" w:after="0"/>
        <w:jc w:val="both"/>
        <w:rPr>
          <w:rFonts w:cs="Arial"/>
          <w:b/>
          <w:b/>
          <w:sz w:val="12"/>
          <w:szCs w:val="12"/>
          <w:u w:val="single"/>
        </w:rPr>
      </w:pPr>
      <w:r>
        <w:rPr>
          <w:rFonts w:cs="Arial"/>
          <w:b/>
          <w:sz w:val="12"/>
          <w:szCs w:val="12"/>
          <w:u w:val="single"/>
        </w:rPr>
      </w:r>
    </w:p>
    <w:p>
      <w:pPr>
        <w:pStyle w:val="Normalcentr"/>
        <w:tabs>
          <w:tab w:val="left" w:pos="8931" w:leader="none"/>
        </w:tabs>
        <w:ind w:left="0" w:right="284" w:hanging="0"/>
        <w:jc w:val="both"/>
        <w:rPr>
          <w:rFonts w:ascii="Calibri" w:hAnsi="Calibri" w:cs="Calibri"/>
        </w:rPr>
      </w:pPr>
      <w:r>
        <w:rPr>
          <w:rFonts w:cs="Calibri" w:ascii="Calibri" w:hAnsi="Calibri"/>
        </w:rPr>
        <w:t>L’abondement au P.E.E. pour 2022 est fixé à 8 % du PASS</w:t>
      </w:r>
      <w:r>
        <w:rPr>
          <w:rFonts w:cs="Calibri" w:ascii="Calibri" w:hAnsi="Calibri"/>
          <w:b/>
        </w:rPr>
        <w:t xml:space="preserve"> </w:t>
      </w:r>
      <w:r>
        <w:rPr>
          <w:rFonts w:cs="Calibri" w:ascii="Calibri" w:hAnsi="Calibri"/>
        </w:rPr>
        <w:t xml:space="preserve">sous réserve d’un versement volontaire du salarié égal au moins au tiers du montant de cet abondement.  </w:t>
      </w:r>
    </w:p>
    <w:p>
      <w:pPr>
        <w:pStyle w:val="Normalcentr"/>
        <w:tabs>
          <w:tab w:val="left" w:pos="8931" w:leader="none"/>
        </w:tabs>
        <w:ind w:left="0" w:right="284" w:hanging="0"/>
        <w:jc w:val="both"/>
        <w:rPr/>
      </w:pPr>
      <w:r>
        <w:rPr>
          <w:rFonts w:cs="Calibri" w:ascii="Calibri" w:hAnsi="Calibri"/>
        </w:rPr>
        <w:t xml:space="preserve">En cas de versement volontaire inférieur au tiers des 8 % du PASS, le montant de l’abondement sera égal à 300 % du versement volontaire effectué. </w:t>
      </w:r>
    </w:p>
    <w:p>
      <w:pPr>
        <w:pStyle w:val="Normalcentr"/>
        <w:tabs>
          <w:tab w:val="left" w:pos="8931" w:leader="none"/>
        </w:tabs>
        <w:ind w:left="0" w:right="284" w:hanging="0"/>
        <w:jc w:val="both"/>
        <w:rPr>
          <w:rFonts w:ascii="Calibri" w:hAnsi="Calibri" w:cs="Calibri"/>
        </w:rPr>
      </w:pPr>
      <w:r>
        <w:rPr>
          <w:rFonts w:cs="Calibri" w:ascii="Calibri" w:hAnsi="Calibri"/>
        </w:rPr>
      </w:r>
    </w:p>
    <w:p>
      <w:pPr>
        <w:pStyle w:val="Normalcentr"/>
        <w:tabs>
          <w:tab w:val="left" w:pos="8931" w:leader="none"/>
        </w:tabs>
        <w:ind w:left="0" w:right="284" w:hanging="0"/>
        <w:jc w:val="both"/>
        <w:rPr>
          <w:rFonts w:ascii="Calibri" w:hAnsi="Calibri" w:cs="Calibri"/>
        </w:rPr>
      </w:pPr>
      <w:r>
        <w:rPr>
          <w:rFonts w:cs="Calibri" w:ascii="Calibri" w:hAnsi="Calibri"/>
        </w:rPr>
        <w:t>L’abondement sera versé au mois de décembre et calculé sur les versements de l’année.</w:t>
      </w:r>
    </w:p>
    <w:p>
      <w:pPr>
        <w:pStyle w:val="Normalcentr"/>
        <w:tabs>
          <w:tab w:val="left" w:pos="8931" w:leader="none"/>
        </w:tabs>
        <w:ind w:left="0" w:right="284" w:hanging="0"/>
        <w:jc w:val="both"/>
        <w:rPr>
          <w:rFonts w:ascii="Calibri" w:hAnsi="Calibri" w:cs="Calibri"/>
        </w:rPr>
      </w:pPr>
      <w:r>
        <w:rPr>
          <w:rFonts w:cs="Calibri" w:ascii="Calibri" w:hAnsi="Calibri"/>
        </w:rPr>
      </w:r>
    </w:p>
    <w:p>
      <w:pPr>
        <w:pStyle w:val="Normal"/>
        <w:spacing w:lineRule="auto" w:line="240" w:before="0" w:after="0"/>
        <w:jc w:val="both"/>
        <w:rPr>
          <w:rFonts w:ascii="Calibri" w:hAnsi="Calibri" w:cs="Arial"/>
          <w:b/>
          <w:b/>
          <w:szCs w:val="20"/>
          <w:u w:val="single"/>
        </w:rPr>
      </w:pPr>
      <w:r>
        <w:rPr>
          <w:rFonts w:cs="Arial"/>
          <w:b/>
          <w:szCs w:val="20"/>
          <w:u w:val="single"/>
        </w:rPr>
      </w:r>
    </w:p>
    <w:p>
      <w:pPr>
        <w:pStyle w:val="Normal"/>
        <w:spacing w:lineRule="auto" w:line="240" w:before="0" w:after="0"/>
        <w:jc w:val="both"/>
        <w:rPr/>
      </w:pPr>
      <w:r>
        <w:rPr>
          <w:rFonts w:cs="Arial"/>
          <w:b/>
          <w:szCs w:val="20"/>
          <w:u w:val="single"/>
        </w:rPr>
        <w:t>Article 2 – Durée et entrée en vigueur</w:t>
      </w:r>
    </w:p>
    <w:p>
      <w:pPr>
        <w:pStyle w:val="Normal"/>
        <w:spacing w:lineRule="auto" w:line="240" w:before="0" w:after="0"/>
        <w:jc w:val="both"/>
        <w:rPr>
          <w:rFonts w:cs="Arial"/>
          <w:b/>
          <w:b/>
          <w:sz w:val="12"/>
          <w:szCs w:val="12"/>
          <w:u w:val="single"/>
        </w:rPr>
      </w:pPr>
      <w:r>
        <w:rPr>
          <w:rFonts w:cs="Arial"/>
          <w:b/>
          <w:sz w:val="12"/>
          <w:szCs w:val="12"/>
          <w:u w:val="single"/>
        </w:rPr>
      </w:r>
    </w:p>
    <w:p>
      <w:pPr>
        <w:pStyle w:val="Normal"/>
        <w:spacing w:lineRule="auto" w:line="240" w:before="0" w:after="0"/>
        <w:jc w:val="both"/>
        <w:rPr>
          <w:rFonts w:cs="Arial"/>
          <w:szCs w:val="20"/>
        </w:rPr>
      </w:pPr>
      <w:r>
        <w:rPr>
          <w:rFonts w:cs="Arial"/>
          <w:szCs w:val="20"/>
        </w:rPr>
        <w:t>Le présent accord est conclu pour une durée indéterminée.</w:t>
      </w:r>
    </w:p>
    <w:p>
      <w:pPr>
        <w:pStyle w:val="Normal"/>
        <w:spacing w:lineRule="auto" w:line="240" w:before="0" w:after="0"/>
        <w:jc w:val="both"/>
        <w:rPr>
          <w:rFonts w:eastAsia="Times New Roman" w:cs="Tahoma"/>
          <w:sz w:val="24"/>
          <w:szCs w:val="20"/>
          <w:lang w:eastAsia="fr-FR"/>
        </w:rPr>
      </w:pPr>
      <w:r>
        <w:rPr>
          <w:rFonts w:eastAsia="Times New Roman" w:cs="Tahoma"/>
          <w:sz w:val="24"/>
          <w:szCs w:val="20"/>
          <w:lang w:eastAsia="fr-FR"/>
        </w:rPr>
      </w:r>
    </w:p>
    <w:p>
      <w:pPr>
        <w:pStyle w:val="Normal"/>
        <w:spacing w:lineRule="auto" w:line="240" w:before="0" w:after="0"/>
        <w:jc w:val="both"/>
        <w:rPr/>
      </w:pPr>
      <w:r>
        <w:rPr>
          <w:rFonts w:cs="Arial"/>
          <w:szCs w:val="20"/>
        </w:rPr>
        <w:t>Un exemplaire de cet accord sera déposé à la DIRECCTE du Finistère sur support électronique, conformément aux dispositions légales.</w:t>
      </w:r>
    </w:p>
    <w:p>
      <w:pPr>
        <w:pStyle w:val="Normal"/>
        <w:spacing w:lineRule="auto" w:line="240" w:before="0" w:after="0"/>
        <w:jc w:val="both"/>
        <w:rPr>
          <w:rFonts w:cs="Arial"/>
          <w:szCs w:val="20"/>
        </w:rPr>
      </w:pPr>
      <w:r>
        <w:rPr>
          <w:rFonts w:cs="Arial"/>
          <w:szCs w:val="20"/>
        </w:rPr>
      </w:r>
    </w:p>
    <w:p>
      <w:pPr>
        <w:pStyle w:val="Normal"/>
        <w:spacing w:lineRule="auto" w:line="288" w:before="0" w:after="0"/>
        <w:jc w:val="both"/>
        <w:rPr>
          <w:rFonts w:cs="Arial"/>
          <w:szCs w:val="20"/>
        </w:rPr>
      </w:pPr>
      <w:r>
        <w:rPr>
          <w:rFonts w:cs="Arial"/>
          <w:szCs w:val="20"/>
        </w:rPr>
        <w:t>Un exemplaire papier original sera également adressé au Conseil des Prud’hommes de Brest.</w:t>
      </w:r>
    </w:p>
    <w:p>
      <w:pPr>
        <w:pStyle w:val="Normal"/>
        <w:spacing w:lineRule="auto" w:line="288" w:before="0" w:after="0"/>
        <w:jc w:val="both"/>
        <w:rPr>
          <w:rFonts w:cs="Arial"/>
          <w:szCs w:val="20"/>
        </w:rPr>
      </w:pPr>
      <w:r>
        <w:rPr>
          <w:rFonts w:cs="Arial"/>
          <w:szCs w:val="20"/>
        </w:rPr>
      </w:r>
    </w:p>
    <w:tbl>
      <w:tblPr>
        <w:tblW w:w="10112" w:type="dxa"/>
        <w:jc w:val="left"/>
        <w:tblInd w:w="0" w:type="dxa"/>
        <w:tblBorders/>
        <w:tblCellMar>
          <w:top w:w="0" w:type="dxa"/>
          <w:left w:w="108" w:type="dxa"/>
          <w:bottom w:w="0" w:type="dxa"/>
          <w:right w:w="108" w:type="dxa"/>
        </w:tblCellMar>
      </w:tblPr>
      <w:tblGrid>
        <w:gridCol w:w="5056"/>
        <w:gridCol w:w="5056"/>
      </w:tblGrid>
      <w:tr>
        <w:trPr/>
        <w:tc>
          <w:tcPr>
            <w:tcW w:w="10112" w:type="dxa"/>
            <w:gridSpan w:val="2"/>
            <w:tcBorders/>
            <w:shd w:fill="auto" w:val="clear"/>
          </w:tcPr>
          <w:p>
            <w:pPr>
              <w:pStyle w:val="Normal"/>
              <w:spacing w:lineRule="auto" w:line="240" w:before="0" w:after="0"/>
              <w:jc w:val="both"/>
              <w:rPr>
                <w:rFonts w:cs="Arial"/>
                <w:szCs w:val="20"/>
              </w:rPr>
            </w:pPr>
            <w:r>
              <w:rPr>
                <w:rFonts w:cs="Arial"/>
                <w:szCs w:val="20"/>
              </w:rPr>
              <w:t>Fait en 3 exemplaires originaux, au RELECQ-KERHUON, le 11 février 2022.</w:t>
            </w:r>
          </w:p>
        </w:tc>
      </w:tr>
      <w:tr>
        <w:trPr/>
        <w:tc>
          <w:tcPr>
            <w:tcW w:w="5056" w:type="dxa"/>
            <w:tcBorders/>
            <w:shd w:fill="auto" w:val="clear"/>
          </w:tcPr>
          <w:p>
            <w:pPr>
              <w:pStyle w:val="Normal"/>
              <w:snapToGrid w:val="false"/>
              <w:spacing w:lineRule="auto" w:line="240" w:before="0" w:after="0"/>
              <w:jc w:val="both"/>
              <w:rPr>
                <w:rFonts w:cs="Arial"/>
                <w:sz w:val="18"/>
                <w:szCs w:val="20"/>
              </w:rPr>
            </w:pPr>
            <w:r>
              <w:rPr>
                <w:rFonts w:cs="Arial"/>
                <w:sz w:val="18"/>
                <w:szCs w:val="20"/>
              </w:rPr>
            </w:r>
          </w:p>
          <w:p>
            <w:pPr>
              <w:pStyle w:val="Normal"/>
              <w:spacing w:lineRule="auto" w:line="240" w:before="0" w:after="0"/>
              <w:jc w:val="both"/>
              <w:rPr>
                <w:rFonts w:cs="Arial"/>
                <w:sz w:val="18"/>
                <w:szCs w:val="20"/>
              </w:rPr>
            </w:pPr>
            <w:r>
              <w:rPr>
                <w:rFonts w:cs="Arial"/>
                <w:sz w:val="18"/>
                <w:szCs w:val="20"/>
              </w:rPr>
            </w:r>
          </w:p>
          <w:p>
            <w:pPr>
              <w:pStyle w:val="Normal"/>
              <w:spacing w:lineRule="auto" w:line="240" w:before="0" w:after="0"/>
              <w:jc w:val="both"/>
              <w:rPr>
                <w:rFonts w:cs="Arial"/>
                <w:sz w:val="18"/>
                <w:szCs w:val="20"/>
              </w:rPr>
            </w:pPr>
            <w:r>
              <w:rPr>
                <w:rFonts w:cs="Arial"/>
                <w:sz w:val="18"/>
                <w:szCs w:val="20"/>
              </w:rPr>
            </w:r>
          </w:p>
        </w:tc>
        <w:tc>
          <w:tcPr>
            <w:tcW w:w="5056" w:type="dxa"/>
            <w:tcBorders/>
            <w:shd w:fill="auto" w:val="clear"/>
          </w:tcPr>
          <w:p>
            <w:pPr>
              <w:pStyle w:val="Normal"/>
              <w:snapToGrid w:val="false"/>
              <w:spacing w:lineRule="auto" w:line="240" w:before="0" w:after="0"/>
              <w:jc w:val="both"/>
              <w:rPr>
                <w:rFonts w:cs="Arial"/>
                <w:sz w:val="18"/>
                <w:szCs w:val="20"/>
              </w:rPr>
            </w:pPr>
            <w:r>
              <w:rPr>
                <w:rFonts w:cs="Arial"/>
                <w:sz w:val="18"/>
                <w:szCs w:val="20"/>
              </w:rPr>
            </w:r>
          </w:p>
          <w:p>
            <w:pPr>
              <w:pStyle w:val="Normal"/>
              <w:spacing w:lineRule="auto" w:line="240" w:before="0" w:after="0"/>
              <w:jc w:val="both"/>
              <w:rPr>
                <w:rFonts w:cs="Arial"/>
                <w:sz w:val="18"/>
                <w:szCs w:val="20"/>
              </w:rPr>
            </w:pPr>
            <w:r>
              <w:rPr>
                <w:rFonts w:cs="Arial"/>
                <w:sz w:val="18"/>
                <w:szCs w:val="20"/>
              </w:rPr>
            </w:r>
          </w:p>
          <w:p>
            <w:pPr>
              <w:pStyle w:val="Normal"/>
              <w:spacing w:lineRule="auto" w:line="240" w:before="0" w:after="0"/>
              <w:jc w:val="both"/>
              <w:rPr>
                <w:rFonts w:cs="Arial"/>
                <w:sz w:val="18"/>
                <w:szCs w:val="20"/>
              </w:rPr>
            </w:pPr>
            <w:r>
              <w:rPr>
                <w:rFonts w:cs="Arial"/>
                <w:sz w:val="18"/>
                <w:szCs w:val="20"/>
              </w:rPr>
            </w:r>
          </w:p>
        </w:tc>
      </w:tr>
      <w:tr>
        <w:trPr/>
        <w:tc>
          <w:tcPr>
            <w:tcW w:w="5056" w:type="dxa"/>
            <w:tcBorders/>
            <w:shd w:fill="auto" w:val="clear"/>
          </w:tcPr>
          <w:p>
            <w:pPr>
              <w:pStyle w:val="Normal"/>
              <w:spacing w:lineRule="auto" w:line="240" w:before="0" w:after="0"/>
              <w:jc w:val="both"/>
              <w:rPr>
                <w:rFonts w:cs="Arial"/>
                <w:szCs w:val="20"/>
              </w:rPr>
            </w:pPr>
            <w:r>
              <w:rPr>
                <w:rFonts w:cs="Arial"/>
                <w:szCs w:val="20"/>
              </w:rPr>
              <w:t xml:space="preserve">Pour </w:t>
            </w:r>
            <w:r>
              <w:rPr>
                <w:rFonts w:cs="Arial"/>
                <w:b/>
                <w:szCs w:val="20"/>
              </w:rPr>
              <w:t>ARKEA SCD</w:t>
            </w:r>
          </w:p>
          <w:p>
            <w:pPr>
              <w:pStyle w:val="Normal"/>
              <w:spacing w:lineRule="auto" w:line="240" w:before="0" w:after="0"/>
              <w:jc w:val="both"/>
              <w:rPr>
                <w:rFonts w:cs="Arial"/>
                <w:szCs w:val="20"/>
              </w:rPr>
            </w:pPr>
            <w:r>
              <w:rPr>
                <w:rFonts w:cs="Arial"/>
                <w:szCs w:val="20"/>
              </w:rPr>
              <w:t xml:space="preserve">Représentée par xxxxxxxxxxxxxx, </w:t>
            </w:r>
          </w:p>
          <w:p>
            <w:pPr>
              <w:pStyle w:val="Normal"/>
              <w:spacing w:lineRule="auto" w:line="240" w:before="0" w:after="0"/>
              <w:jc w:val="both"/>
              <w:rPr>
                <w:rFonts w:cs="Arial"/>
                <w:szCs w:val="20"/>
              </w:rPr>
            </w:pPr>
            <w:r>
              <w:rPr>
                <w:rFonts w:cs="Arial"/>
                <w:szCs w:val="20"/>
              </w:rPr>
            </w:r>
          </w:p>
        </w:tc>
        <w:tc>
          <w:tcPr>
            <w:tcW w:w="5056" w:type="dxa"/>
            <w:tcBorders/>
            <w:shd w:fill="auto" w:val="clear"/>
          </w:tcPr>
          <w:p>
            <w:pPr>
              <w:pStyle w:val="Normal"/>
              <w:spacing w:lineRule="auto" w:line="240" w:before="0" w:after="0"/>
              <w:jc w:val="both"/>
              <w:rPr>
                <w:rFonts w:cs="Arial"/>
                <w:szCs w:val="20"/>
              </w:rPr>
            </w:pPr>
            <w:r>
              <w:rPr>
                <w:rFonts w:cs="Arial"/>
                <w:szCs w:val="20"/>
              </w:rPr>
              <w:t xml:space="preserve">Pour </w:t>
            </w:r>
            <w:r>
              <w:rPr>
                <w:rFonts w:cs="Arial"/>
                <w:b/>
                <w:szCs w:val="20"/>
              </w:rPr>
              <w:t>l’Organisation Syndicale SCDA</w:t>
            </w:r>
          </w:p>
          <w:p>
            <w:pPr>
              <w:pStyle w:val="Normal"/>
              <w:spacing w:lineRule="auto" w:line="240" w:before="0" w:after="0"/>
              <w:jc w:val="both"/>
              <w:rPr>
                <w:rFonts w:cs="Arial"/>
                <w:szCs w:val="20"/>
              </w:rPr>
            </w:pPr>
            <w:r>
              <w:rPr>
                <w:rFonts w:cs="Arial"/>
                <w:szCs w:val="20"/>
              </w:rPr>
              <w:t>Représentée xxxxxxxxxxxxxxxx</w:t>
            </w:r>
          </w:p>
        </w:tc>
      </w:tr>
    </w:tbl>
    <w:p>
      <w:pPr>
        <w:pStyle w:val="Normal"/>
        <w:spacing w:lineRule="auto" w:line="288" w:before="0" w:after="0"/>
        <w:jc w:val="both"/>
        <w:rPr>
          <w:rFonts w:ascii="Arial" w:hAnsi="Arial" w:cs="Arial"/>
          <w:sz w:val="20"/>
        </w:rPr>
      </w:pPr>
      <w:r>
        <w:rPr>
          <w:rFonts w:cs="Arial" w:ascii="Arial" w:hAnsi="Arial"/>
          <w:sz w:val="20"/>
        </w:rPr>
        <w:tab/>
        <w:tab/>
        <w:tab/>
        <w:tab/>
        <w:tab/>
        <w:t xml:space="preserve">                                           </w:t>
      </w:r>
    </w:p>
    <w:p>
      <w:pPr>
        <w:pStyle w:val="Normal"/>
        <w:spacing w:lineRule="auto" w:line="288" w:before="0" w:after="0"/>
        <w:jc w:val="both"/>
        <w:rPr/>
      </w:pPr>
      <w:r>
        <w:rPr>
          <w:rFonts w:cs="Arial" w:ascii="Arial" w:hAnsi="Arial"/>
          <w:sz w:val="20"/>
        </w:rPr>
        <w:tab/>
        <w:tab/>
        <w:t xml:space="preserve">                        </w:t>
        <w:tab/>
        <w:tab/>
        <w:tab/>
        <w:tab/>
        <w:t xml:space="preserve">                             </w:t>
      </w:r>
    </w:p>
    <w:sectPr>
      <w:headerReference w:type="default" r:id="rId2"/>
      <w:footerReference w:type="default" r:id="rId3"/>
      <w:type w:val="nextPage"/>
      <w:pgSz w:w="12240" w:h="15840"/>
      <w:pgMar w:left="1134" w:right="1134" w:header="426" w:top="1702"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Accord 2022-01 - NAR</w:t>
      <w:tab/>
      <w:tab/>
    </w:r>
    <w:r>
      <w:rPr/>
      <w:fldChar w:fldCharType="begin"/>
    </w:r>
    <w:r>
      <w:instrText> PAGE </w:instrText>
    </w:r>
    <w:r>
      <w:fldChar w:fldCharType="separate"/>
    </w:r>
    <w:r>
      <w:t>1</w:t>
    </w:r>
    <w:r>
      <w:fldChar w:fldCharType="end"/>
    </w:r>
  </w:p>
  <w:p>
    <w:pPr>
      <w:pStyle w:val="Footer"/>
      <w:tabs>
        <w:tab w:val="center" w:pos="4536" w:leader="none"/>
        <w:tab w:val="right" w:pos="9072"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drawing>
        <wp:inline distT="0" distB="0" distL="0" distR="0">
          <wp:extent cx="1987550" cy="6045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2" t="-39" r="-12" b="-39"/>
                  <a:stretch>
                    <a:fillRect/>
                  </a:stretch>
                </pic:blipFill>
                <pic:spPr bwMode="auto">
                  <a:xfrm>
                    <a:off x="0" y="0"/>
                    <a:ext cx="1987550" cy="6045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val="true"/>
      <w:widowControl w:val="false"/>
      <w:numPr>
        <w:ilvl w:val="1"/>
        <w:numId w:val="1"/>
      </w:numPr>
      <w:spacing w:lineRule="auto" w:line="240" w:before="0" w:after="0"/>
      <w:outlineLvl w:val="1"/>
    </w:pPr>
    <w:rPr>
      <w:rFonts w:ascii="Arial" w:hAnsi="Arial" w:eastAsia="Times New Roman" w:cs="Arial"/>
      <w:b/>
      <w:sz w:val="24"/>
      <w:szCs w:val="20"/>
      <w:u w:val="single"/>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Verdana" w:hAnsi="Verdana"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Wingdings" w:hAnsi="Wingdings" w:cs="Wingdings"/>
      <w:sz w:val="20"/>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7z5">
    <w:name w:val="WW8Num7z5"/>
    <w:qFormat/>
    <w:rPr>
      <w:rFonts w:ascii="Wingdings" w:hAnsi="Wingdings" w:cs="Wingdings"/>
    </w:rPr>
  </w:style>
  <w:style w:type="character" w:styleId="WW8Num8z0">
    <w:name w:val="WW8Num8z0"/>
    <w:qFormat/>
    <w:rPr/>
  </w:style>
  <w:style w:type="character" w:styleId="WW8Num9z0">
    <w:name w:val="WW8Num9z0"/>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eastAsia="Calibri"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Verdana" w:hAnsi="Verdana" w:eastAsia="Times New Roman" w:cs="Tahoma"/>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Wingdings" w:hAnsi="Wingdings" w:cs="Wingdings"/>
      <w:sz w:val="20"/>
    </w:rPr>
  </w:style>
  <w:style w:type="character" w:styleId="WW8Num24z1">
    <w:name w:val="WW8Num24z1"/>
    <w:qFormat/>
    <w:rPr>
      <w:rFonts w:ascii="Courier New" w:hAnsi="Courier New" w:cs="Courier New"/>
      <w:sz w:val="20"/>
    </w:rPr>
  </w:style>
  <w:style w:type="character" w:styleId="WW8Num25z0">
    <w:name w:val="WW8Num25z0"/>
    <w:qFormat/>
    <w:rPr>
      <w:rFonts w:ascii="Verdana" w:hAnsi="Verdana" w:eastAsia="Calibri" w:cs="Tahoma"/>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Policepardfaut">
    <w:name w:val="Police par défaut"/>
    <w:qFormat/>
    <w:rPr/>
  </w:style>
  <w:style w:type="character" w:styleId="Titre2Car">
    <w:name w:val="Titre 2 Car"/>
    <w:qFormat/>
    <w:rPr>
      <w:rFonts w:ascii="Arial" w:hAnsi="Arial" w:eastAsia="Times New Roman" w:cs="Arial"/>
      <w:b/>
      <w:sz w:val="24"/>
      <w:u w:val="single"/>
    </w:rPr>
  </w:style>
  <w:style w:type="character" w:styleId="CorpsdetexteCar">
    <w:name w:val="Corps de texte Car"/>
    <w:qFormat/>
    <w:rPr>
      <w:rFonts w:ascii="Arial" w:hAnsi="Arial" w:eastAsia="Times New Roman" w:cs="Arial"/>
      <w:sz w:val="24"/>
    </w:rPr>
  </w:style>
  <w:style w:type="character" w:styleId="PageNumber">
    <w:name w:val="Page Number"/>
    <w:rPr/>
  </w:style>
  <w:style w:type="character" w:styleId="EntteCar">
    <w:name w:val="En-tête Car"/>
    <w:qFormat/>
    <w:rPr>
      <w:rFonts w:ascii="Times New Roman" w:hAnsi="Times New Roman" w:eastAsia="Times New Roman" w:cs="Times New Roman"/>
    </w:rPr>
  </w:style>
  <w:style w:type="character" w:styleId="RetraitcorpsdetexteCar">
    <w:name w:val="Retrait corps de texte Car"/>
    <w:qFormat/>
    <w:rPr>
      <w:rFonts w:ascii="Tahoma" w:hAnsi="Tahoma" w:eastAsia="Times New Roman" w:cs="Tahoma"/>
      <w:sz w:val="22"/>
      <w:szCs w:val="24"/>
    </w:rPr>
  </w:style>
  <w:style w:type="character" w:styleId="Marquedecommentaire">
    <w:name w:val="Marque de commentaire"/>
    <w:qFormat/>
    <w:rPr>
      <w:sz w:val="16"/>
      <w:szCs w:val="16"/>
    </w:rPr>
  </w:style>
  <w:style w:type="character" w:styleId="CommentaireCar">
    <w:name w:val="Commentaire Car"/>
    <w:qFormat/>
    <w:rPr/>
  </w:style>
  <w:style w:type="character" w:styleId="ObjetducommentaireCar">
    <w:name w:val="Objet du commentaire Car"/>
    <w:qFormat/>
    <w:rPr>
      <w:b/>
      <w:bCs/>
    </w:rPr>
  </w:style>
  <w:style w:type="character" w:styleId="TextedebullesCar">
    <w:name w:val="Texte de bulles Car"/>
    <w:qFormat/>
    <w:rPr>
      <w:rFonts w:ascii="Tahoma" w:hAnsi="Tahoma" w:cs="Tahoma"/>
      <w:sz w:val="16"/>
      <w:szCs w:val="16"/>
    </w:rPr>
  </w:style>
  <w:style w:type="character" w:styleId="PieddepageCar">
    <w:name w:val="Pied de page Car"/>
    <w:qFormat/>
    <w:rPr>
      <w:sz w:val="22"/>
      <w:szCs w:val="22"/>
    </w:rPr>
  </w:style>
  <w:style w:type="character" w:styleId="Titre1Car">
    <w:name w:val="Titre 1 Car"/>
    <w:qFormat/>
    <w:rPr>
      <w:rFonts w:ascii="Cambria" w:hAnsi="Cambria" w:eastAsia="Times New Roman" w:cs="Times New Roman"/>
      <w:b/>
      <w:bCs/>
      <w:sz w:val="32"/>
      <w:szCs w:val="3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widowControl w:val="false"/>
      <w:spacing w:lineRule="auto" w:line="360" w:before="0" w:after="0"/>
    </w:pPr>
    <w:rPr>
      <w:rFonts w:ascii="Arial" w:hAnsi="Arial" w:eastAsia="Times New Roman" w:cs="Arial"/>
      <w:sz w:val="24"/>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spacing w:lineRule="auto" w:line="240" w:before="0" w:after="0"/>
    </w:pPr>
    <w:rPr>
      <w:rFonts w:ascii="Times New Roman" w:hAnsi="Times New Roman" w:eastAsia="Times New Roman" w:cs="Times New Roman"/>
      <w:sz w:val="20"/>
      <w:szCs w:val="20"/>
    </w:rPr>
  </w:style>
  <w:style w:type="paragraph" w:styleId="TextBodyIndent">
    <w:name w:val="Body Text Indent"/>
    <w:basedOn w:val="Normal"/>
    <w:pPr>
      <w:autoSpaceDE w:val="false"/>
      <w:spacing w:lineRule="auto" w:line="240" w:before="0" w:after="0"/>
      <w:ind w:firstLine="708"/>
      <w:jc w:val="both"/>
    </w:pPr>
    <w:rPr>
      <w:rFonts w:ascii="Tahoma" w:hAnsi="Tahoma" w:eastAsia="Times New Roman" w:cs="Tahoma"/>
      <w:szCs w:val="24"/>
    </w:rPr>
  </w:style>
  <w:style w:type="paragraph" w:styleId="Paragraphedeliste">
    <w:name w:val="Paragraphe de liste"/>
    <w:basedOn w:val="Normal"/>
    <w:qFormat/>
    <w:pPr>
      <w:ind w:left="708" w:hanging="0"/>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Footer">
    <w:name w:val="Footer"/>
    <w:basedOn w:val="Normal"/>
    <w:pPr>
      <w:tabs>
        <w:tab w:val="center" w:pos="4536" w:leader="none"/>
        <w:tab w:val="right" w:pos="9072" w:leader="none"/>
      </w:tabs>
    </w:pPr>
    <w:rPr/>
  </w:style>
  <w:style w:type="paragraph" w:styleId="Normalcentr">
    <w:name w:val="Normal centré"/>
    <w:basedOn w:val="Normal"/>
    <w:qFormat/>
    <w:pPr>
      <w:spacing w:lineRule="auto" w:line="240" w:before="0" w:after="0"/>
      <w:ind w:left="284" w:right="284" w:hanging="0"/>
    </w:pPr>
    <w:rPr>
      <w:rFonts w:ascii="Verdana" w:hAnsi="Verdana" w:eastAsia="Times New Roman" w:cs="Verdan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2022-03-21T12:01:00Z</dcterms:created>
  <dc:creator/>
  <dc:description/>
  <dc:language>en-GB</dc:language>
  <cp:lastModifiedBy/>
  <cp:lastPrinted>2020-04-06T15:15:00Z</cp:lastPrinted>
  <dcterms:modified xsi:type="dcterms:W3CDTF">2022-03-25T16:04:00Z</dcterms:modified>
  <cp:revision>3</cp:revision>
  <dc:subject/>
  <dc:title/>
</cp:coreProperties>
</file>