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vnd.openxmlformats-package.relationships+xml" PartName="/customXml/_rels/item2.xml.rels"/>
  <Override ContentType="application/vnd.openxmlformats-package.relationships+xml" PartName="/customXml/_rels/item3.xml.rels"/>
  <Override ContentType="application/vnd.openxmlformats-package.relationships+xml" PartName="/customXml/_rels/item4.xml.rels"/>
  <Override ContentType="application/xml" PartName="/customXml/item1.xml"/>
  <Override ContentType="application/xml" PartName="/customXml/item2.xml"/>
  <Override ContentType="application/xml" PartName="/customXml/item3.xml"/>
  <Override ContentType="application/xml" PartName="/customXml/item4.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pBdr>
          <w:top w:color="000000" w:space="1" w:sz="4" w:val="single"/>
          <w:left w:color="000000" w:space="4" w:sz="4" w:val="single"/>
          <w:bottom w:color="000000" w:space="1" w:sz="4" w:val="single"/>
          <w:right w:color="000000" w:space="4" w:sz="4" w:val="single"/>
        </w:pBdr>
        <w:rPr>
          <w:rFonts w:ascii="Arial" w:cs="Arial" w:hAnsi="Arial"/>
          <w:b/>
          <w:b/>
          <w:bCs/>
          <w:sz w:val="20"/>
          <w:szCs w:val="20"/>
        </w:rPr>
      </w:pPr>
      <w:r>
        <w:rPr>
          <w:rFonts w:ascii="Arial" w:cs="Arial" w:hAnsi="Arial"/>
          <w:b/>
          <w:bCs/>
          <w:sz w:val="20"/>
          <w:szCs w:val="20"/>
        </w:rPr>
      </w:r>
    </w:p>
    <w:p>
      <w:pPr>
        <w:pStyle w:val="Normal"/>
        <w:pBdr>
          <w:top w:color="000000" w:space="1" w:sz="4" w:val="single"/>
          <w:left w:color="000000" w:space="4" w:sz="4" w:val="single"/>
          <w:bottom w:color="000000" w:space="1" w:sz="4" w:val="single"/>
          <w:right w:color="000000" w:space="4" w:sz="4" w:val="single"/>
        </w:pBdr>
        <w:jc w:val="center"/>
        <w:rPr>
          <w:rFonts w:ascii="Arial" w:cs="Arial" w:hAnsi="Arial"/>
          <w:b/>
          <w:b/>
          <w:bCs/>
          <w:sz w:val="20"/>
          <w:szCs w:val="20"/>
        </w:rPr>
      </w:pPr>
      <w:r>
        <w:rPr>
          <w:rFonts w:ascii="Arial" w:cs="Arial" w:hAnsi="Arial"/>
          <w:b/>
          <w:bCs/>
          <w:sz w:val="20"/>
          <w:szCs w:val="20"/>
        </w:rPr>
        <w:t>Négociation Annuelle Obligatoire 2022-23</w:t>
      </w:r>
    </w:p>
    <w:p>
      <w:pPr>
        <w:pStyle w:val="Normal"/>
        <w:pBdr>
          <w:top w:color="000000" w:space="1" w:sz="4" w:val="single"/>
          <w:left w:color="000000" w:space="4" w:sz="4" w:val="single"/>
          <w:bottom w:color="000000" w:space="1" w:sz="4" w:val="single"/>
          <w:right w:color="000000" w:space="4" w:sz="4" w:val="single"/>
        </w:pBdr>
        <w:jc w:val="center"/>
        <w:rPr>
          <w:rFonts w:ascii="Arial" w:cs="Arial" w:hAnsi="Arial"/>
          <w:b/>
          <w:b/>
          <w:bCs/>
          <w:sz w:val="20"/>
          <w:szCs w:val="20"/>
        </w:rPr>
      </w:pPr>
      <w:r>
        <w:rPr>
          <w:rFonts w:ascii="Arial" w:cs="Arial" w:hAnsi="Arial"/>
          <w:b/>
          <w:bCs/>
          <w:sz w:val="20"/>
          <w:szCs w:val="20"/>
        </w:rPr>
      </w:r>
    </w:p>
    <w:p>
      <w:pPr>
        <w:pStyle w:val="Normal"/>
        <w:pBdr>
          <w:top w:color="000000" w:space="1" w:sz="4" w:val="single"/>
          <w:left w:color="000000" w:space="4" w:sz="4" w:val="single"/>
          <w:bottom w:color="000000" w:space="1" w:sz="4" w:val="single"/>
          <w:right w:color="000000" w:space="4" w:sz="4" w:val="single"/>
        </w:pBdr>
        <w:jc w:val="center"/>
        <w:rPr>
          <w:rFonts w:ascii="Arial" w:cs="Arial" w:hAnsi="Arial"/>
          <w:b/>
          <w:b/>
          <w:bCs/>
          <w:sz w:val="20"/>
          <w:szCs w:val="20"/>
        </w:rPr>
      </w:pPr>
      <w:r>
        <w:rPr>
          <w:rFonts w:ascii="Arial" w:cs="Arial" w:hAnsi="Arial"/>
          <w:b/>
          <w:bCs/>
          <w:sz w:val="20"/>
          <w:szCs w:val="20"/>
        </w:rPr>
        <w:t>Procès-verbal d’accord  ROYAL CANIN FRANCE</w:t>
      </w:r>
    </w:p>
    <w:p>
      <w:pPr>
        <w:pStyle w:val="Normal"/>
        <w:pBdr>
          <w:top w:color="000000" w:space="1" w:sz="4" w:val="single"/>
          <w:left w:color="000000" w:space="4" w:sz="4" w:val="single"/>
          <w:bottom w:color="000000" w:space="1" w:sz="4" w:val="single"/>
          <w:right w:color="000000" w:space="4" w:sz="4" w:val="single"/>
        </w:pBdr>
        <w:jc w:val="center"/>
        <w:rPr>
          <w:rFonts w:ascii="Arial" w:cs="Arial" w:hAnsi="Arial"/>
          <w:b/>
          <w:b/>
          <w:bCs/>
          <w:sz w:val="20"/>
          <w:szCs w:val="20"/>
        </w:rPr>
      </w:pPr>
      <w:r>
        <w:rPr>
          <w:rFonts w:ascii="Arial" w:cs="Arial" w:hAnsi="Arial"/>
          <w:b/>
          <w:bCs/>
          <w:sz w:val="20"/>
          <w:szCs w:val="20"/>
        </w:rPr>
      </w:r>
    </w:p>
    <w:p>
      <w:pPr>
        <w:pStyle w:val="Normal"/>
        <w:jc w:val="center"/>
        <w:rPr>
          <w:rFonts w:ascii="Arial" w:cs="Arial" w:hAnsi="Arial"/>
          <w:sz w:val="20"/>
          <w:szCs w:val="20"/>
        </w:rPr>
      </w:pPr>
      <w:r>
        <w:rPr>
          <w:rFonts w:ascii="Arial" w:cs="Arial" w:hAnsi="Arial"/>
          <w:sz w:val="20"/>
          <w:szCs w:val="20"/>
        </w:rPr>
      </w:r>
    </w:p>
    <w:p>
      <w:pPr>
        <w:pStyle w:val="Normal"/>
        <w:jc w:val="both"/>
        <w:rPr>
          <w:rFonts w:ascii="Arial" w:cs="Arial" w:hAnsi="Arial"/>
          <w:sz w:val="20"/>
          <w:szCs w:val="20"/>
        </w:rPr>
      </w:pPr>
      <w:r>
        <w:rPr>
          <w:rFonts w:ascii="Arial" w:cs="Arial" w:hAnsi="Arial"/>
          <w:sz w:val="20"/>
          <w:szCs w:val="20"/>
        </w:rPr>
      </w:r>
    </w:p>
    <w:p>
      <w:pPr>
        <w:pStyle w:val="Normal"/>
        <w:jc w:val="both"/>
        <w:rPr>
          <w:rFonts w:ascii="Arial" w:cs="Arial" w:hAnsi="Arial"/>
          <w:sz w:val="20"/>
          <w:szCs w:val="20"/>
        </w:rPr>
      </w:pPr>
      <w:r>
        <w:rPr>
          <w:rFonts w:ascii="Arial" w:cs="Arial" w:hAnsi="Arial"/>
          <w:sz w:val="20"/>
          <w:szCs w:val="20"/>
        </w:rPr>
        <w:t xml:space="preserve">Conformément aux dispositions des articles L.2242-1 et suivants du Code du travail, une négociation collective s’est engagée sur l’ensemble des thèmes prévus par la loi entre : </w:t>
      </w:r>
    </w:p>
    <w:p>
      <w:pPr>
        <w:pStyle w:val="Normal"/>
        <w:jc w:val="both"/>
        <w:rPr>
          <w:rFonts w:ascii="Arial" w:cs="Arial" w:hAnsi="Arial"/>
          <w:sz w:val="20"/>
          <w:szCs w:val="20"/>
        </w:rPr>
      </w:pPr>
      <w:r>
        <w:rPr>
          <w:rFonts w:ascii="Arial" w:cs="Arial" w:hAnsi="Arial"/>
          <w:sz w:val="20"/>
          <w:szCs w:val="20"/>
        </w:rPr>
      </w:r>
    </w:p>
    <w:p>
      <w:pPr>
        <w:pStyle w:val="Normal"/>
        <w:numPr>
          <w:ilvl w:val="0"/>
          <w:numId w:val="1"/>
        </w:numPr>
        <w:jc w:val="both"/>
        <w:rPr>
          <w:rFonts w:ascii="Arial" w:cs="Arial" w:hAnsi="Arial"/>
          <w:sz w:val="20"/>
          <w:szCs w:val="20"/>
        </w:rPr>
      </w:pPr>
      <w:r>
        <w:rPr>
          <w:rFonts w:ascii="Arial" w:cs="Arial" w:hAnsi="Arial"/>
          <w:sz w:val="20"/>
          <w:szCs w:val="20"/>
        </w:rPr>
        <w:t xml:space="preserve">La société Royal Canin France SAS représentée à la négociation par   dûment habilitée à cet effet ; accompagnée de  </w:t>
      </w:r>
    </w:p>
    <w:p>
      <w:pPr>
        <w:pStyle w:val="Normal"/>
        <w:jc w:val="both"/>
        <w:rPr>
          <w:rFonts w:ascii="Arial" w:cs="Arial" w:hAnsi="Arial"/>
          <w:sz w:val="20"/>
          <w:szCs w:val="20"/>
        </w:rPr>
      </w:pPr>
      <w:r>
        <w:rPr>
          <w:rFonts w:ascii="Arial" w:cs="Arial" w:hAnsi="Arial"/>
          <w:sz w:val="20"/>
          <w:szCs w:val="20"/>
        </w:rPr>
      </w:r>
    </w:p>
    <w:p>
      <w:pPr>
        <w:pStyle w:val="Normal"/>
        <w:numPr>
          <w:ilvl w:val="0"/>
          <w:numId w:val="1"/>
        </w:numPr>
        <w:jc w:val="both"/>
        <w:rPr>
          <w:rFonts w:ascii="Arial" w:cs="Arial" w:hAnsi="Arial"/>
          <w:sz w:val="20"/>
          <w:szCs w:val="20"/>
        </w:rPr>
      </w:pPr>
      <w:r>
        <w:rPr>
          <w:rFonts w:ascii="Arial" w:cs="Arial" w:hAnsi="Arial"/>
          <w:sz w:val="20"/>
          <w:szCs w:val="20"/>
        </w:rPr>
        <w:t>La   représentée par sa déléguée syndicale  , conformément au PV d’ouverture des négociations lui donnant compétence en la matière ; accompagnée de   en tant que membre de la délégation,</w:t>
      </w:r>
    </w:p>
    <w:p>
      <w:pPr>
        <w:pStyle w:val="Normal"/>
        <w:numPr>
          <w:ilvl w:val="0"/>
          <w:numId w:val="1"/>
        </w:numPr>
        <w:jc w:val="both"/>
        <w:rPr>
          <w:rFonts w:ascii="Arial" w:cs="Arial" w:hAnsi="Arial"/>
          <w:sz w:val="20"/>
          <w:szCs w:val="20"/>
        </w:rPr>
      </w:pPr>
      <w:r>
        <w:rPr>
          <w:rFonts w:ascii="Arial" w:cs="Arial" w:hAnsi="Arial"/>
          <w:sz w:val="20"/>
          <w:szCs w:val="20"/>
        </w:rPr>
        <w:t>La   représentée par sa déléguée syndicale  , conformément au PV d’ouverture des négociations lui donnant compétence en la matière, accompagnée de   en tant que membre de la délégation</w:t>
      </w:r>
    </w:p>
    <w:p>
      <w:pPr>
        <w:pStyle w:val="Normal"/>
        <w:jc w:val="both"/>
        <w:rPr>
          <w:rFonts w:ascii="Arial" w:cs="Arial" w:hAnsi="Arial"/>
          <w:sz w:val="20"/>
          <w:szCs w:val="20"/>
        </w:rPr>
      </w:pPr>
      <w:r>
        <w:rPr>
          <w:rFonts w:ascii="Arial" w:cs="Arial" w:hAnsi="Arial"/>
          <w:sz w:val="20"/>
          <w:szCs w:val="20"/>
        </w:rPr>
      </w:r>
    </w:p>
    <w:p>
      <w:pPr>
        <w:pStyle w:val="Normal"/>
        <w:jc w:val="both"/>
        <w:rPr>
          <w:rFonts w:ascii="Arial" w:cs="Arial" w:hAnsi="Arial"/>
          <w:b/>
          <w:b/>
          <w:bCs/>
          <w:sz w:val="20"/>
          <w:szCs w:val="20"/>
        </w:rPr>
      </w:pPr>
      <w:bookmarkStart w:id="0" w:name="_Hlk89688652"/>
      <w:r>
        <w:rPr>
          <w:rFonts w:ascii="Arial" w:cs="Arial" w:hAnsi="Arial"/>
          <w:b/>
          <w:bCs/>
          <w:sz w:val="20"/>
          <w:szCs w:val="20"/>
        </w:rPr>
        <w:t>PREAMBULE :</w:t>
      </w:r>
    </w:p>
    <w:p>
      <w:pPr>
        <w:pStyle w:val="Normal"/>
        <w:jc w:val="both"/>
        <w:rPr>
          <w:rFonts w:ascii="Arial" w:cs="Arial" w:hAnsi="Arial"/>
          <w:sz w:val="20"/>
          <w:szCs w:val="20"/>
        </w:rPr>
      </w:pPr>
      <w:r>
        <w:rPr>
          <w:rFonts w:ascii="Arial" w:cs="Arial" w:hAnsi="Arial"/>
          <w:sz w:val="20"/>
          <w:szCs w:val="20"/>
        </w:rPr>
      </w:r>
    </w:p>
    <w:p>
      <w:pPr>
        <w:pStyle w:val="Normal"/>
        <w:jc w:val="both"/>
        <w:rPr>
          <w:rFonts w:ascii="Arial" w:cs="Arial" w:hAnsi="Arial"/>
          <w:sz w:val="20"/>
          <w:szCs w:val="20"/>
        </w:rPr>
      </w:pPr>
      <w:bookmarkStart w:id="1" w:name="_Hlk89688652"/>
      <w:r>
        <w:rPr>
          <w:rFonts w:ascii="Arial" w:cs="Arial" w:hAnsi="Arial"/>
          <w:sz w:val="20"/>
          <w:szCs w:val="20"/>
        </w:rPr>
        <w:t xml:space="preserve">Les parties se sont rencontrées au cours de 3 réunions qui se sont tenues les 29 septembre, 19 octobre, 8 novembre 2022. </w:t>
      </w:r>
      <w:bookmarkEnd w:id="1"/>
      <w:r>
        <w:rPr>
          <w:rFonts w:ascii="Arial" w:cs="Arial" w:hAnsi="Arial"/>
          <w:sz w:val="20"/>
          <w:szCs w:val="20"/>
        </w:rPr>
        <w:t xml:space="preserve"> Lors de la première réunion, il a été remis aux délégations syndicales les éléments d’information suivants :</w:t>
      </w:r>
    </w:p>
    <w:p>
      <w:pPr>
        <w:pStyle w:val="Normal"/>
        <w:numPr>
          <w:ilvl w:val="0"/>
          <w:numId w:val="2"/>
        </w:numPr>
        <w:jc w:val="both"/>
        <w:rPr>
          <w:rFonts w:ascii="Arial" w:cs="Arial" w:hAnsi="Arial"/>
          <w:sz w:val="20"/>
          <w:szCs w:val="20"/>
        </w:rPr>
      </w:pPr>
      <w:r>
        <w:rPr>
          <w:rFonts w:ascii="Arial" w:cs="Arial" w:hAnsi="Arial"/>
          <w:bCs/>
          <w:sz w:val="20"/>
          <w:szCs w:val="20"/>
        </w:rPr>
        <w:t>Une analyse comparée de la situation des hommes et des femmes concernant les emplois, les embauches, le temps partiel, la formation, les rémunérations.</w:t>
      </w:r>
      <w:r>
        <w:rPr>
          <w:rFonts w:ascii="Arial" w:cs="Arial" w:hAnsi="Arial"/>
          <w:sz w:val="20"/>
          <w:szCs w:val="20"/>
        </w:rPr>
        <w:t xml:space="preserve"> </w:t>
      </w:r>
      <w:r>
        <w:rPr>
          <w:rFonts w:ascii="Arial" w:cs="Arial" w:hAnsi="Arial"/>
          <w:bCs/>
          <w:sz w:val="20"/>
          <w:szCs w:val="20"/>
        </w:rPr>
        <w:t>Cette analyse est faite par type de contrat, par catégories professionnelles. Afin de permettre l'interprétation des éléments, les données chiffrées sont données actualisées au 30/06/2022 ;</w:t>
      </w:r>
    </w:p>
    <w:p>
      <w:pPr>
        <w:pStyle w:val="Normal"/>
        <w:numPr>
          <w:ilvl w:val="0"/>
          <w:numId w:val="2"/>
        </w:numPr>
        <w:jc w:val="both"/>
        <w:rPr>
          <w:rFonts w:ascii="Arial" w:cs="Arial" w:hAnsi="Arial"/>
          <w:sz w:val="20"/>
          <w:szCs w:val="20"/>
        </w:rPr>
      </w:pPr>
      <w:r>
        <w:rPr>
          <w:rFonts w:ascii="Arial" w:cs="Arial" w:hAnsi="Arial"/>
          <w:bCs/>
          <w:sz w:val="20"/>
          <w:szCs w:val="20"/>
        </w:rPr>
        <w:t xml:space="preserve">Les effectifs ; </w:t>
      </w:r>
    </w:p>
    <w:p>
      <w:pPr>
        <w:pStyle w:val="Normal"/>
        <w:numPr>
          <w:ilvl w:val="0"/>
          <w:numId w:val="2"/>
        </w:numPr>
        <w:jc w:val="both"/>
        <w:rPr>
          <w:rFonts w:ascii="Arial" w:cs="Arial" w:hAnsi="Arial"/>
          <w:sz w:val="20"/>
          <w:szCs w:val="20"/>
        </w:rPr>
      </w:pPr>
      <w:r>
        <w:rPr>
          <w:rFonts w:ascii="Arial" w:cs="Arial" w:hAnsi="Arial"/>
          <w:bCs/>
          <w:sz w:val="20"/>
          <w:szCs w:val="20"/>
        </w:rPr>
        <w:t>Les grands indicateurs chiffrés sur le plan économique ;</w:t>
      </w:r>
    </w:p>
    <w:p>
      <w:pPr>
        <w:pStyle w:val="Normal"/>
        <w:numPr>
          <w:ilvl w:val="0"/>
          <w:numId w:val="2"/>
        </w:numPr>
        <w:jc w:val="both"/>
        <w:rPr>
          <w:rFonts w:ascii="Arial" w:cs="Arial" w:hAnsi="Arial"/>
          <w:sz w:val="20"/>
          <w:szCs w:val="20"/>
        </w:rPr>
      </w:pPr>
      <w:r>
        <w:rPr>
          <w:rFonts w:ascii="Arial" w:cs="Arial" w:hAnsi="Arial"/>
          <w:bCs/>
          <w:sz w:val="20"/>
          <w:szCs w:val="20"/>
        </w:rPr>
        <w:t>La moyenne des salaires par catégorie et par sexe ;</w:t>
      </w:r>
    </w:p>
    <w:p>
      <w:pPr>
        <w:pStyle w:val="Normal"/>
        <w:numPr>
          <w:ilvl w:val="0"/>
          <w:numId w:val="2"/>
        </w:numPr>
        <w:jc w:val="both"/>
        <w:rPr>
          <w:rFonts w:ascii="Arial" w:cs="Arial" w:hAnsi="Arial"/>
          <w:bCs/>
          <w:sz w:val="20"/>
          <w:szCs w:val="20"/>
        </w:rPr>
      </w:pPr>
      <w:r>
        <w:rPr>
          <w:rFonts w:ascii="Arial" w:cs="Arial" w:hAnsi="Arial"/>
          <w:bCs/>
          <w:sz w:val="20"/>
          <w:szCs w:val="20"/>
        </w:rPr>
        <w:t>La situation du travail à temps partiel au sein de l’Entreprise.</w:t>
      </w:r>
    </w:p>
    <w:p>
      <w:pPr>
        <w:pStyle w:val="Normal"/>
        <w:jc w:val="both"/>
        <w:rPr>
          <w:rFonts w:ascii="Arial" w:cs="Arial" w:hAnsi="Arial"/>
          <w:sz w:val="20"/>
          <w:szCs w:val="20"/>
        </w:rPr>
      </w:pPr>
      <w:r>
        <w:rPr>
          <w:rFonts w:ascii="Arial" w:cs="Arial" w:hAnsi="Arial"/>
          <w:sz w:val="20"/>
          <w:szCs w:val="20"/>
        </w:rPr>
      </w:r>
    </w:p>
    <w:p>
      <w:pPr>
        <w:pStyle w:val="Normal"/>
        <w:jc w:val="both"/>
        <w:rPr>
          <w:rFonts w:ascii="Arial" w:cs="Arial" w:hAnsi="Arial"/>
          <w:sz w:val="20"/>
          <w:szCs w:val="20"/>
        </w:rPr>
      </w:pPr>
      <w:r>
        <w:rPr>
          <w:rFonts w:ascii="Arial" w:cs="Arial" w:hAnsi="Arial"/>
          <w:sz w:val="20"/>
          <w:szCs w:val="20"/>
        </w:rPr>
        <w:t>Concernant plus particulièrement :</w:t>
      </w:r>
    </w:p>
    <w:p>
      <w:pPr>
        <w:pStyle w:val="Normal"/>
        <w:jc w:val="both"/>
        <w:rPr>
          <w:rFonts w:ascii="Arial" w:cs="Arial" w:hAnsi="Arial"/>
          <w:sz w:val="20"/>
          <w:szCs w:val="20"/>
        </w:rPr>
      </w:pPr>
      <w:r>
        <w:rPr>
          <w:rFonts w:ascii="Arial" w:cs="Arial" w:hAnsi="Arial"/>
          <w:sz w:val="20"/>
          <w:szCs w:val="20"/>
        </w:rPr>
      </w:r>
    </w:p>
    <w:p>
      <w:pPr>
        <w:pStyle w:val="Normal"/>
        <w:numPr>
          <w:ilvl w:val="0"/>
          <w:numId w:val="2"/>
        </w:numPr>
        <w:jc w:val="both"/>
        <w:rPr>
          <w:rFonts w:ascii="Arial" w:cs="Arial" w:hAnsi="Arial"/>
          <w:sz w:val="20"/>
          <w:szCs w:val="20"/>
        </w:rPr>
      </w:pPr>
      <w:r>
        <w:rPr>
          <w:rFonts w:ascii="Arial" w:cs="Arial" w:hAnsi="Arial"/>
          <w:sz w:val="20"/>
          <w:szCs w:val="20"/>
        </w:rPr>
        <w:t>L'épargne salariale : cette disposition est réglée par les accords signés années après années, tant pour la Participation que pour l'Intéressement par l'ensemble des partenaires sociaux ;</w:t>
      </w:r>
    </w:p>
    <w:p>
      <w:pPr>
        <w:pStyle w:val="Normal"/>
        <w:numPr>
          <w:ilvl w:val="0"/>
          <w:numId w:val="2"/>
        </w:numPr>
        <w:jc w:val="both"/>
        <w:rPr>
          <w:rFonts w:ascii="Arial" w:cs="Arial" w:hAnsi="Arial"/>
          <w:sz w:val="20"/>
          <w:szCs w:val="20"/>
        </w:rPr>
      </w:pPr>
      <w:r>
        <w:rPr>
          <w:rFonts w:ascii="Arial" w:cs="Arial" w:hAnsi="Arial"/>
          <w:sz w:val="20"/>
          <w:szCs w:val="20"/>
        </w:rPr>
        <w:t>La durée du temps de travail : cette dernière est celle mise en place lors de l'application de l’accord collectif UES Royal Canin du 15 décembre 2010.</w:t>
      </w:r>
    </w:p>
    <w:p>
      <w:pPr>
        <w:pStyle w:val="Normal"/>
        <w:jc w:val="both"/>
        <w:rPr>
          <w:rFonts w:ascii="Arial" w:cs="Arial" w:hAnsi="Arial"/>
          <w:sz w:val="20"/>
          <w:szCs w:val="20"/>
        </w:rPr>
      </w:pPr>
      <w:r>
        <w:rPr>
          <w:rFonts w:ascii="Arial" w:cs="Arial" w:hAnsi="Arial"/>
          <w:sz w:val="20"/>
          <w:szCs w:val="20"/>
        </w:rPr>
      </w:r>
    </w:p>
    <w:p>
      <w:pPr>
        <w:pStyle w:val="Normal"/>
        <w:jc w:val="both"/>
        <w:rPr>
          <w:rFonts w:ascii="Arial" w:cs="Arial" w:hAnsi="Arial"/>
          <w:sz w:val="20"/>
          <w:szCs w:val="20"/>
        </w:rPr>
      </w:pPr>
      <w:r>
        <w:rPr>
          <w:rFonts w:ascii="Arial" w:cs="Arial" w:hAnsi="Arial"/>
          <w:sz w:val="20"/>
          <w:szCs w:val="20"/>
        </w:rPr>
        <w:t>Les parties considèrent que ces éléments sont de nature à permettre de tenir une négociation loyale et sérieuse.</w:t>
      </w:r>
    </w:p>
    <w:p>
      <w:pPr>
        <w:pStyle w:val="Normal"/>
        <w:jc w:val="both"/>
        <w:rPr>
          <w:rFonts w:ascii="Arial" w:cs="Arial" w:hAnsi="Arial"/>
          <w:sz w:val="20"/>
          <w:szCs w:val="20"/>
        </w:rPr>
      </w:pPr>
      <w:r>
        <w:rPr>
          <w:rFonts w:ascii="Arial" w:cs="Arial" w:hAnsi="Arial"/>
          <w:sz w:val="20"/>
          <w:szCs w:val="20"/>
        </w:rPr>
      </w:r>
    </w:p>
    <w:p>
      <w:pPr>
        <w:pStyle w:val="Normal"/>
        <w:jc w:val="both"/>
        <w:rPr>
          <w:rFonts w:ascii="Arial" w:cs="Arial" w:hAnsi="Arial"/>
          <w:sz w:val="20"/>
          <w:szCs w:val="20"/>
        </w:rPr>
      </w:pPr>
      <w:r>
        <w:rPr>
          <w:rFonts w:ascii="Arial" w:cs="Arial" w:hAnsi="Arial"/>
          <w:sz w:val="20"/>
          <w:szCs w:val="20"/>
        </w:rPr>
        <w:t xml:space="preserve">Les organisations syndicales ont formulé des demandes communes dans leur principe, certaines différentes dans leurs quantums, qui sont jointes en annexe 1 et 2. Au cours de ces réunions, les points de vue de chacune des parties ont été exposés. </w:t>
      </w:r>
    </w:p>
    <w:p>
      <w:pPr>
        <w:pStyle w:val="Normal"/>
        <w:jc w:val="both"/>
        <w:rPr>
          <w:rFonts w:ascii="Arial" w:cs="Arial" w:hAnsi="Arial"/>
          <w:sz w:val="20"/>
          <w:szCs w:val="20"/>
        </w:rPr>
      </w:pPr>
      <w:r>
        <w:rPr>
          <w:rFonts w:ascii="Arial" w:cs="Arial" w:hAnsi="Arial"/>
          <w:sz w:val="20"/>
          <w:szCs w:val="20"/>
        </w:rPr>
      </w:r>
    </w:p>
    <w:p>
      <w:pPr>
        <w:pStyle w:val="Normal"/>
        <w:jc w:val="both"/>
        <w:rPr>
          <w:rFonts w:ascii="Arial" w:cs="Arial" w:hAnsi="Arial"/>
          <w:sz w:val="20"/>
          <w:szCs w:val="20"/>
        </w:rPr>
      </w:pPr>
      <w:r>
        <w:rPr>
          <w:rFonts w:ascii="Arial" w:cs="Arial" w:hAnsi="Arial"/>
          <w:sz w:val="20"/>
          <w:szCs w:val="20"/>
        </w:rPr>
        <w:t>Au terme des échanges et concessions réciproques, et après présentations des positions respectives, les organisations syndicales et la direction de Royal Canin France SAS ont convenu d’arrêter les mesures suivantes pour la négociation annuelle obligatoire pour 2022-23.</w:t>
      </w:r>
    </w:p>
    <w:p>
      <w:pPr>
        <w:pStyle w:val="Normal"/>
        <w:jc w:val="both"/>
        <w:rPr>
          <w:rFonts w:ascii="Arial" w:cs="Arial" w:hAnsi="Arial"/>
          <w:sz w:val="20"/>
          <w:szCs w:val="20"/>
        </w:rPr>
      </w:pPr>
      <w:r>
        <w:rPr>
          <w:rFonts w:ascii="Arial" w:cs="Arial" w:hAnsi="Arial"/>
          <w:sz w:val="20"/>
          <w:szCs w:val="20"/>
        </w:rPr>
      </w:r>
    </w:p>
    <w:p>
      <w:pPr>
        <w:pStyle w:val="Normal"/>
        <w:jc w:val="both"/>
        <w:rPr>
          <w:rFonts w:ascii="Arial" w:cs="Arial" w:hAnsi="Arial"/>
          <w:b/>
          <w:b/>
          <w:bCs/>
          <w:sz w:val="20"/>
          <w:szCs w:val="20"/>
        </w:rPr>
      </w:pPr>
      <w:r>
        <w:rPr>
          <w:rFonts w:ascii="Arial" w:cs="Arial" w:hAnsi="Arial"/>
          <w:b/>
          <w:bCs/>
          <w:sz w:val="20"/>
          <w:szCs w:val="20"/>
        </w:rPr>
        <w:t>Article 1 : Champ d’application</w:t>
      </w:r>
    </w:p>
    <w:p>
      <w:pPr>
        <w:pStyle w:val="Normal"/>
        <w:jc w:val="both"/>
        <w:rPr>
          <w:rFonts w:ascii="Arial" w:cs="Arial" w:hAnsi="Arial"/>
          <w:sz w:val="20"/>
          <w:szCs w:val="20"/>
        </w:rPr>
      </w:pPr>
      <w:r>
        <w:rPr>
          <w:rFonts w:ascii="Arial" w:cs="Arial" w:hAnsi="Arial"/>
          <w:sz w:val="20"/>
          <w:szCs w:val="20"/>
        </w:rPr>
      </w:r>
    </w:p>
    <w:p>
      <w:pPr>
        <w:pStyle w:val="Normal"/>
        <w:jc w:val="both"/>
        <w:rPr>
          <w:rFonts w:ascii="Arial" w:cs="Arial" w:hAnsi="Arial"/>
          <w:sz w:val="20"/>
          <w:szCs w:val="20"/>
        </w:rPr>
      </w:pPr>
      <w:r>
        <w:rPr>
          <w:rFonts w:ascii="Arial" w:cs="Arial" w:hAnsi="Arial"/>
          <w:sz w:val="20"/>
          <w:szCs w:val="20"/>
        </w:rPr>
        <w:t>Le présent accord bénéficie à l’ensemble des salariés de la société Royal Canin France SAS. Sont ainsi concernés les collaborateurs en contrat à durée indéterminée, en contrat à durée déterminée, à temps plein ou à temps partiel (hors stagiaires et apprentis).</w:t>
      </w:r>
      <w:bookmarkStart w:id="2" w:name="_Hlk89688746"/>
      <w:bookmarkEnd w:id="2"/>
    </w:p>
    <w:p>
      <w:pPr>
        <w:pStyle w:val="Normal"/>
        <w:jc w:val="both"/>
        <w:rPr>
          <w:rFonts w:ascii="Arial" w:cs="Arial" w:hAnsi="Arial"/>
          <w:sz w:val="20"/>
          <w:szCs w:val="20"/>
        </w:rPr>
      </w:pPr>
      <w:r>
        <w:rPr>
          <w:rFonts w:ascii="Arial" w:cs="Arial" w:hAnsi="Arial"/>
          <w:sz w:val="20"/>
          <w:szCs w:val="20"/>
        </w:rPr>
      </w:r>
    </w:p>
    <w:p>
      <w:pPr>
        <w:pStyle w:val="Normal"/>
        <w:jc w:val="both"/>
        <w:rPr>
          <w:rFonts w:ascii="Arial" w:cs="Arial" w:hAnsi="Arial"/>
          <w:b/>
          <w:b/>
          <w:bCs/>
          <w:sz w:val="20"/>
          <w:szCs w:val="20"/>
        </w:rPr>
      </w:pPr>
      <w:r>
        <w:rPr>
          <w:rFonts w:ascii="Arial" w:cs="Arial" w:hAnsi="Arial"/>
          <w:b/>
          <w:bCs/>
          <w:sz w:val="20"/>
          <w:szCs w:val="20"/>
        </w:rPr>
        <w:t>Article 2 : Mesures négociées</w:t>
      </w:r>
    </w:p>
    <w:p>
      <w:pPr>
        <w:pStyle w:val="Normal"/>
        <w:jc w:val="both"/>
        <w:rPr>
          <w:rFonts w:ascii="Arial" w:cs="Arial" w:hAnsi="Arial"/>
          <w:sz w:val="20"/>
          <w:szCs w:val="20"/>
        </w:rPr>
      </w:pPr>
      <w:r>
        <w:rPr>
          <w:rFonts w:ascii="Arial" w:cs="Arial" w:hAnsi="Arial"/>
          <w:sz w:val="20"/>
          <w:szCs w:val="20"/>
        </w:rPr>
      </w:r>
    </w:p>
    <w:p>
      <w:pPr>
        <w:pStyle w:val="ListParagraph"/>
        <w:numPr>
          <w:ilvl w:val="0"/>
          <w:numId w:val="7"/>
        </w:numPr>
        <w:jc w:val="both"/>
        <w:rPr>
          <w:rFonts w:ascii="Arial" w:cs="Arial" w:hAnsi="Arial"/>
          <w:sz w:val="20"/>
          <w:szCs w:val="20"/>
        </w:rPr>
      </w:pPr>
      <w:r>
        <w:rPr>
          <w:rFonts w:ascii="Arial" w:cs="Arial" w:hAnsi="Arial"/>
          <w:sz w:val="20"/>
          <w:szCs w:val="20"/>
        </w:rPr>
        <w:t>En 2023, de façon exceptionnelle et pour faire face à la situation économique que connaît notre pays, une augmentation générale de 2%, applicable au 1</w:t>
      </w:r>
      <w:r>
        <w:rPr>
          <w:rFonts w:ascii="Arial" w:cs="Arial" w:hAnsi="Arial"/>
          <w:sz w:val="20"/>
          <w:szCs w:val="20"/>
          <w:vertAlign w:val="superscript"/>
        </w:rPr>
        <w:t>er</w:t>
      </w:r>
      <w:r>
        <w:rPr>
          <w:rFonts w:ascii="Arial" w:cs="Arial" w:hAnsi="Arial"/>
          <w:sz w:val="20"/>
          <w:szCs w:val="20"/>
        </w:rPr>
        <w:t xml:space="preserve"> janvier 2023, sera attribuée à l’ensemble des salariés de Royal Canin en France (hors salariés dont la rémunération est indexée au SMIC), présents au 1</w:t>
      </w:r>
      <w:r>
        <w:rPr>
          <w:rFonts w:ascii="Arial" w:cs="Arial" w:hAnsi="Arial"/>
          <w:sz w:val="20"/>
          <w:szCs w:val="20"/>
          <w:vertAlign w:val="superscript"/>
        </w:rPr>
        <w:t>er</w:t>
      </w:r>
      <w:r>
        <w:rPr>
          <w:rFonts w:ascii="Arial" w:cs="Arial" w:hAnsi="Arial"/>
          <w:sz w:val="20"/>
          <w:szCs w:val="20"/>
        </w:rPr>
        <w:t xml:space="preserve"> octobre 2022.</w:t>
      </w:r>
    </w:p>
    <w:p>
      <w:pPr>
        <w:pStyle w:val="Normal"/>
        <w:jc w:val="both"/>
        <w:rPr>
          <w:rFonts w:ascii="Arial" w:cs="Arial" w:hAnsi="Arial"/>
          <w:sz w:val="20"/>
          <w:szCs w:val="20"/>
        </w:rPr>
      </w:pPr>
      <w:r>
        <w:rPr>
          <w:rFonts w:ascii="Arial" w:cs="Arial" w:hAnsi="Arial"/>
          <w:sz w:val="20"/>
          <w:szCs w:val="20"/>
        </w:rPr>
      </w:r>
    </w:p>
    <w:p>
      <w:pPr>
        <w:pStyle w:val="ListParagraph"/>
        <w:numPr>
          <w:ilvl w:val="0"/>
          <w:numId w:val="7"/>
        </w:numPr>
        <w:jc w:val="both"/>
        <w:rPr>
          <w:rFonts w:ascii="Arial" w:cs="Arial" w:hAnsi="Arial"/>
          <w:sz w:val="20"/>
          <w:szCs w:val="20"/>
        </w:rPr>
      </w:pPr>
      <w:r>
        <w:rPr>
          <w:rFonts w:ascii="Arial" w:cs="Arial" w:hAnsi="Arial"/>
          <w:sz w:val="20"/>
          <w:szCs w:val="20"/>
        </w:rPr>
        <w:t>La société confirme par ailleurs sa volonté d’avoir une politique salariale qui récompense la performance collective à travers l’intéressement et la participation et continuera par ailleurs une politique d’augmentations individuelles.</w:t>
      </w:r>
    </w:p>
    <w:p>
      <w:pPr>
        <w:pStyle w:val="Normal"/>
        <w:jc w:val="both"/>
        <w:rPr>
          <w:rFonts w:ascii="Arial" w:cs="Arial" w:hAnsi="Arial"/>
          <w:sz w:val="20"/>
          <w:szCs w:val="20"/>
        </w:rPr>
      </w:pPr>
      <w:r>
        <w:rPr>
          <w:rFonts w:ascii="Arial" w:cs="Arial" w:hAnsi="Arial"/>
          <w:sz w:val="20"/>
          <w:szCs w:val="20"/>
        </w:rPr>
      </w:r>
    </w:p>
    <w:p>
      <w:pPr>
        <w:pStyle w:val="ListParagraph"/>
        <w:numPr>
          <w:ilvl w:val="0"/>
          <w:numId w:val="7"/>
        </w:numPr>
        <w:jc w:val="both"/>
        <w:rPr>
          <w:rFonts w:ascii="Arial" w:cs="Arial" w:hAnsi="Arial"/>
          <w:sz w:val="20"/>
          <w:szCs w:val="20"/>
        </w:rPr>
      </w:pPr>
      <w:r>
        <w:rPr>
          <w:rFonts w:ascii="Arial" w:cs="Arial" w:hAnsi="Arial"/>
          <w:sz w:val="20"/>
          <w:szCs w:val="20"/>
        </w:rPr>
        <w:t>En 2023, le pourcentage global attribué aux augmentations individuelles sera de 2%. Pour rappel, la date effective des augmentations individuelles sera le 1er mars 2023. Les augmentations individuelles sont appliquées sur le salaire de base.</w:t>
      </w:r>
    </w:p>
    <w:p>
      <w:pPr>
        <w:pStyle w:val="Normal"/>
        <w:jc w:val="both"/>
        <w:rPr>
          <w:rFonts w:ascii="Arial" w:cs="Arial" w:hAnsi="Arial"/>
          <w:sz w:val="20"/>
          <w:szCs w:val="20"/>
        </w:rPr>
      </w:pPr>
      <w:r>
        <w:rPr>
          <w:rFonts w:ascii="Arial" w:cs="Arial" w:hAnsi="Arial"/>
          <w:sz w:val="20"/>
          <w:szCs w:val="20"/>
        </w:rPr>
      </w:r>
    </w:p>
    <w:p>
      <w:pPr>
        <w:pStyle w:val="ListParagraph"/>
        <w:numPr>
          <w:ilvl w:val="0"/>
          <w:numId w:val="7"/>
        </w:numPr>
        <w:shd w:color="auto" w:fill="FFFFFF" w:val="clear"/>
        <w:spacing w:line="276" w:lineRule="auto"/>
        <w:jc w:val="both"/>
        <w:rPr>
          <w:rFonts w:ascii="Arial" w:cs="Arial" w:hAnsi="Arial"/>
          <w:sz w:val="20"/>
          <w:szCs w:val="20"/>
        </w:rPr>
      </w:pPr>
      <w:r>
        <w:rPr>
          <w:rFonts w:ascii="Arial" w:cs="Arial" w:hAnsi="Arial"/>
          <w:sz w:val="20"/>
          <w:szCs w:val="20"/>
        </w:rPr>
        <w:t>Afin de répondre favorablement à la demande de revalorisation des tickets restaurants, la société s’engage à augmenter le montant du Ticket à 9,50 euros (neuf euros et cinquante centimes), la part employeur restant fixée à 60 %, applicable au 1</w:t>
      </w:r>
      <w:r>
        <w:rPr>
          <w:rFonts w:ascii="Arial" w:cs="Arial" w:hAnsi="Arial"/>
          <w:sz w:val="20"/>
          <w:szCs w:val="20"/>
          <w:vertAlign w:val="superscript"/>
        </w:rPr>
        <w:t>er</w:t>
      </w:r>
      <w:r>
        <w:rPr>
          <w:rFonts w:ascii="Arial" w:cs="Arial" w:hAnsi="Arial"/>
          <w:sz w:val="20"/>
          <w:szCs w:val="20"/>
        </w:rPr>
        <w:t xml:space="preserve"> février 2023 (sur les tickets de janvier).</w:t>
      </w:r>
    </w:p>
    <w:p>
      <w:pPr>
        <w:pStyle w:val="Normal"/>
        <w:shd w:color="auto" w:fill="FFFFFF" w:val="clear"/>
        <w:spacing w:line="276" w:lineRule="auto"/>
        <w:jc w:val="both"/>
        <w:rPr>
          <w:rFonts w:ascii="Arial" w:cs="Arial" w:hAnsi="Arial"/>
          <w:sz w:val="20"/>
          <w:szCs w:val="20"/>
        </w:rPr>
      </w:pPr>
      <w:r>
        <w:rPr>
          <w:rFonts w:ascii="Arial" w:cs="Arial" w:hAnsi="Arial"/>
          <w:sz w:val="20"/>
          <w:szCs w:val="20"/>
        </w:rPr>
      </w:r>
    </w:p>
    <w:p>
      <w:pPr>
        <w:pStyle w:val="ListParagraph"/>
        <w:numPr>
          <w:ilvl w:val="0"/>
          <w:numId w:val="7"/>
        </w:numPr>
        <w:shd w:color="auto" w:fill="FFFFFF" w:val="clear"/>
        <w:spacing w:line="276" w:lineRule="auto"/>
        <w:jc w:val="both"/>
        <w:rPr>
          <w:rFonts w:ascii="Arial" w:cs="Arial" w:hAnsi="Arial"/>
          <w:sz w:val="20"/>
          <w:szCs w:val="20"/>
        </w:rPr>
      </w:pPr>
      <w:r>
        <w:rPr>
          <w:rFonts w:ascii="Arial" w:cs="Arial" w:hAnsi="Arial"/>
          <w:sz w:val="20"/>
          <w:szCs w:val="20"/>
        </w:rPr>
        <w:t>Lors de la précédente négociation annuelle obligatoire, la société a augmenté le nombre de jours d’absence autorisée payée pour enfant malade ou hospitalisé ou en situation de handicap, à 5 jours, à effet au  1</w:t>
      </w:r>
      <w:r>
        <w:rPr>
          <w:rFonts w:ascii="Arial" w:cs="Arial" w:hAnsi="Arial"/>
          <w:sz w:val="20"/>
          <w:szCs w:val="20"/>
          <w:vertAlign w:val="superscript"/>
        </w:rPr>
        <w:t>er</w:t>
      </w:r>
      <w:r>
        <w:rPr>
          <w:rFonts w:ascii="Arial" w:cs="Arial" w:hAnsi="Arial"/>
          <w:sz w:val="20"/>
          <w:szCs w:val="20"/>
        </w:rPr>
        <w:t xml:space="preserve"> janvier 2022. Les jours pour enfants hospitalisés applicables jusqu’aux 16 ans de l’enfant seront désormais accordés jusqu’aux 18 ans de l’enfant, à partir du 1</w:t>
      </w:r>
      <w:r>
        <w:rPr>
          <w:rFonts w:ascii="Arial" w:cs="Arial" w:hAnsi="Arial"/>
          <w:sz w:val="20"/>
          <w:szCs w:val="20"/>
          <w:vertAlign w:val="superscript"/>
        </w:rPr>
        <w:t>er</w:t>
      </w:r>
      <w:r>
        <w:rPr>
          <w:rFonts w:ascii="Arial" w:cs="Arial" w:hAnsi="Arial"/>
          <w:sz w:val="20"/>
          <w:szCs w:val="20"/>
        </w:rPr>
        <w:t xml:space="preserve"> janvier 2023.</w:t>
      </w:r>
      <w:r>
        <w:rPr>
          <w:rFonts w:ascii="Arial" w:cs="Arial" w:hAnsi="Arial"/>
          <w:color w:val="FF0000"/>
          <w:sz w:val="20"/>
          <w:szCs w:val="20"/>
        </w:rPr>
        <w:t xml:space="preserve"> </w:t>
      </w:r>
    </w:p>
    <w:p>
      <w:pPr>
        <w:pStyle w:val="Normal"/>
        <w:shd w:color="auto" w:fill="FFFFFF" w:val="clear"/>
        <w:spacing w:line="276" w:lineRule="auto"/>
        <w:jc w:val="both"/>
        <w:rPr>
          <w:rFonts w:ascii="Arial" w:cs="Arial" w:hAnsi="Arial"/>
          <w:sz w:val="16"/>
          <w:szCs w:val="16"/>
        </w:rPr>
      </w:pPr>
      <w:r>
        <w:rPr>
          <w:rFonts w:ascii="Arial" w:cs="Arial" w:hAnsi="Arial"/>
          <w:sz w:val="16"/>
          <w:szCs w:val="16"/>
        </w:rPr>
      </w:r>
    </w:p>
    <w:p>
      <w:pPr>
        <w:pStyle w:val="ListParagraph"/>
        <w:numPr>
          <w:ilvl w:val="0"/>
          <w:numId w:val="7"/>
        </w:numPr>
        <w:shd w:color="auto" w:fill="FFFFFF" w:val="clear"/>
        <w:spacing w:line="276" w:lineRule="auto"/>
        <w:jc w:val="both"/>
        <w:rPr>
          <w:rFonts w:ascii="Arial" w:cs="Arial" w:hAnsi="Arial"/>
          <w:sz w:val="20"/>
          <w:szCs w:val="20"/>
        </w:rPr>
      </w:pPr>
      <w:r>
        <w:rPr>
          <w:rFonts w:ascii="Arial" w:cs="Arial" w:hAnsi="Arial"/>
          <w:sz w:val="20"/>
          <w:szCs w:val="20"/>
        </w:rPr>
        <w:t>Dans une volonté d'accompagner nos salariés dans leur parcours Handicap, la société octroie 1 jour d’absence autorisée payée pour l'ensemble des associés porteurs d’une Reconnaissance de Qualité de Travailleur Handicapé (RQTH) en vigueur et déclarée à la société, cela à partir du 1</w:t>
      </w:r>
      <w:r>
        <w:rPr>
          <w:rFonts w:ascii="Arial" w:cs="Arial" w:hAnsi="Arial"/>
          <w:sz w:val="20"/>
          <w:szCs w:val="20"/>
          <w:vertAlign w:val="superscript"/>
        </w:rPr>
        <w:t>er</w:t>
      </w:r>
      <w:r>
        <w:rPr>
          <w:rFonts w:ascii="Arial" w:cs="Arial" w:hAnsi="Arial"/>
          <w:sz w:val="20"/>
          <w:szCs w:val="20"/>
        </w:rPr>
        <w:t xml:space="preserve"> janvier 2023.</w:t>
      </w:r>
    </w:p>
    <w:p>
      <w:pPr>
        <w:pStyle w:val="Normal"/>
        <w:shd w:color="auto" w:fill="FFFFFF" w:val="clear"/>
        <w:spacing w:line="276" w:lineRule="auto"/>
        <w:jc w:val="both"/>
        <w:rPr>
          <w:rFonts w:ascii="Arial" w:cs="Arial" w:hAnsi="Arial"/>
          <w:sz w:val="20"/>
          <w:szCs w:val="20"/>
        </w:rPr>
      </w:pPr>
      <w:r>
        <w:rPr>
          <w:rFonts w:ascii="Arial" w:cs="Arial" w:hAnsi="Arial"/>
          <w:sz w:val="20"/>
          <w:szCs w:val="20"/>
        </w:rPr>
      </w:r>
    </w:p>
    <w:p>
      <w:pPr>
        <w:pStyle w:val="ListParagraph"/>
        <w:numPr>
          <w:ilvl w:val="0"/>
          <w:numId w:val="7"/>
        </w:numPr>
        <w:shd w:color="auto" w:fill="FFFFFF" w:val="clear"/>
        <w:spacing w:line="276" w:lineRule="auto"/>
        <w:jc w:val="both"/>
        <w:rPr>
          <w:rFonts w:ascii="Arial" w:cs="Arial" w:hAnsi="Arial"/>
          <w:sz w:val="20"/>
          <w:szCs w:val="20"/>
        </w:rPr>
      </w:pPr>
      <w:r>
        <w:rPr>
          <w:rFonts w:ascii="Arial" w:cs="Arial" w:hAnsi="Arial"/>
          <w:sz w:val="20"/>
          <w:szCs w:val="20"/>
        </w:rPr>
        <w:t>La société propose d’augmenter sa participation au financement de la Mutuelle Santé. Pour cela, à compter du 1</w:t>
      </w:r>
      <w:r>
        <w:rPr>
          <w:rFonts w:ascii="Arial" w:cs="Arial" w:hAnsi="Arial"/>
          <w:sz w:val="20"/>
          <w:szCs w:val="20"/>
          <w:vertAlign w:val="superscript"/>
        </w:rPr>
        <w:t xml:space="preserve">er </w:t>
      </w:r>
      <w:r>
        <w:rPr>
          <w:rFonts w:ascii="Arial" w:cs="Arial" w:hAnsi="Arial"/>
          <w:sz w:val="20"/>
          <w:szCs w:val="20"/>
        </w:rPr>
        <w:t>janvier 2023, la part employeur sur la cotisation mutuelle actuellement à hauteur de 70 % sera revalorisée à 75%, le salarié  voyant sa part de cotisations baisser de 30% à 25 %.</w:t>
      </w:r>
    </w:p>
    <w:p>
      <w:pPr>
        <w:pStyle w:val="ListParagraph"/>
        <w:rPr>
          <w:rFonts w:ascii="Arial" w:cs="Arial" w:hAnsi="Arial"/>
          <w:sz w:val="20"/>
          <w:szCs w:val="20"/>
        </w:rPr>
      </w:pPr>
      <w:r>
        <w:rPr>
          <w:rFonts w:ascii="Arial" w:cs="Arial" w:hAnsi="Arial"/>
          <w:sz w:val="20"/>
          <w:szCs w:val="20"/>
        </w:rPr>
      </w:r>
    </w:p>
    <w:p>
      <w:pPr>
        <w:pStyle w:val="ListParagraph"/>
        <w:numPr>
          <w:ilvl w:val="0"/>
          <w:numId w:val="7"/>
        </w:numPr>
        <w:shd w:color="auto" w:fill="FFFFFF" w:val="clear"/>
        <w:spacing w:line="276" w:lineRule="auto"/>
        <w:jc w:val="both"/>
        <w:rPr>
          <w:rFonts w:ascii="Arial" w:cs="Arial" w:hAnsi="Arial"/>
          <w:sz w:val="20"/>
          <w:szCs w:val="20"/>
        </w:rPr>
      </w:pPr>
      <w:r>
        <w:rPr>
          <w:rFonts w:ascii="Arial" w:cs="Arial" w:hAnsi="Arial"/>
          <w:sz w:val="20"/>
          <w:szCs w:val="20"/>
        </w:rPr>
        <w:t xml:space="preserve">La société s’engage à organiser 2 points de rencontre avec les Organisations Syndicales pour faire un bilan sur certaines mesures en cours et échanger en amont des prochaines NAO. Les deux réunions se tiendront respectivement en mai et septembre 2023. </w:t>
      </w:r>
    </w:p>
    <w:p>
      <w:pPr>
        <w:pStyle w:val="ListParagraph"/>
        <w:shd w:color="auto" w:fill="FFFFFF" w:val="clear"/>
        <w:spacing w:line="276" w:lineRule="auto"/>
        <w:jc w:val="both"/>
        <w:rPr>
          <w:rFonts w:ascii="Arial" w:cs="Arial" w:hAnsi="Arial"/>
          <w:sz w:val="20"/>
          <w:szCs w:val="20"/>
        </w:rPr>
      </w:pPr>
      <w:r>
        <w:rPr>
          <w:rFonts w:ascii="Arial" w:cs="Arial" w:hAnsi="Arial"/>
          <w:sz w:val="20"/>
          <w:szCs w:val="20"/>
        </w:rPr>
      </w:r>
    </w:p>
    <w:p>
      <w:pPr>
        <w:pStyle w:val="Normal"/>
        <w:jc w:val="both"/>
        <w:rPr>
          <w:rFonts w:ascii="Arial" w:cs="Arial" w:hAnsi="Arial"/>
          <w:sz w:val="20"/>
          <w:szCs w:val="20"/>
        </w:rPr>
      </w:pPr>
      <w:r>
        <w:rPr>
          <w:rFonts w:ascii="Arial" w:cs="Arial" w:hAnsi="Arial"/>
          <w:sz w:val="20"/>
          <w:szCs w:val="20"/>
        </w:rPr>
      </w:r>
    </w:p>
    <w:p>
      <w:pPr>
        <w:pStyle w:val="Normal"/>
        <w:jc w:val="both"/>
        <w:rPr>
          <w:rFonts w:ascii="Arial" w:cs="Arial" w:hAnsi="Arial"/>
          <w:sz w:val="20"/>
          <w:szCs w:val="20"/>
        </w:rPr>
      </w:pPr>
      <w:bookmarkStart w:id="3" w:name="_Hlk89781911"/>
      <w:r>
        <w:rPr>
          <w:rFonts w:ascii="Arial" w:cs="Arial" w:hAnsi="Arial"/>
          <w:sz w:val="20"/>
          <w:szCs w:val="20"/>
        </w:rPr>
        <w:t xml:space="preserve">Enfin, la société s’engage sur le principe de la mise en place d’une Prime de Partage de Valeur (dite « Prime PPV ») pour l’année 2023 dont les modalités seront arrêtées par Décision Unilatérale, après consultation du CSE Central en décembre 2022. </w:t>
      </w:r>
      <w:bookmarkEnd w:id="3"/>
    </w:p>
    <w:p>
      <w:pPr>
        <w:pStyle w:val="Normal"/>
        <w:jc w:val="both"/>
        <w:rPr>
          <w:rFonts w:ascii="Arial" w:cs="Arial" w:hAnsi="Arial"/>
          <w:sz w:val="20"/>
          <w:szCs w:val="20"/>
        </w:rPr>
      </w:pPr>
      <w:r>
        <w:rPr>
          <w:rFonts w:ascii="Arial" w:cs="Arial" w:hAnsi="Arial"/>
          <w:sz w:val="20"/>
          <w:szCs w:val="20"/>
        </w:rPr>
      </w:r>
    </w:p>
    <w:p>
      <w:pPr>
        <w:pStyle w:val="Normal"/>
        <w:rPr>
          <w:rFonts w:ascii="Arial" w:cs="Arial" w:hAnsi="Arial"/>
          <w:sz w:val="20"/>
          <w:szCs w:val="20"/>
        </w:rPr>
      </w:pPr>
      <w:r>
        <w:rPr>
          <w:rFonts w:ascii="Arial" w:cs="Arial" w:hAnsi="Arial"/>
          <w:sz w:val="20"/>
          <w:szCs w:val="20"/>
        </w:rPr>
        <w:t>Les parties se félicitent du niveau d’échange et d’écoute lors des discussions. Le présent accord est conclu pour une durée d’un an, soit du 1er janvier 2023 au 31 décembre 2023.</w:t>
      </w:r>
    </w:p>
    <w:p>
      <w:pPr>
        <w:pStyle w:val="Normal"/>
        <w:jc w:val="both"/>
        <w:rPr>
          <w:rFonts w:ascii="Arial" w:cs="Arial" w:hAnsi="Arial"/>
          <w:sz w:val="20"/>
          <w:szCs w:val="20"/>
        </w:rPr>
      </w:pPr>
      <w:r>
        <w:rPr>
          <w:rFonts w:ascii="Arial" w:cs="Arial" w:hAnsi="Arial"/>
          <w:sz w:val="20"/>
          <w:szCs w:val="20"/>
        </w:rPr>
      </w:r>
    </w:p>
    <w:p>
      <w:pPr>
        <w:pStyle w:val="Corpsdetexte"/>
        <w:jc w:val="both"/>
        <w:rPr>
          <w:rFonts w:ascii="Arial" w:cs="Arial" w:hAnsi="Arial"/>
          <w:b/>
          <w:b/>
          <w:bCs/>
          <w:sz w:val="20"/>
          <w:szCs w:val="20"/>
        </w:rPr>
      </w:pPr>
      <w:r>
        <w:rPr>
          <w:rFonts w:ascii="Arial" w:cs="Arial" w:hAnsi="Arial"/>
          <w:b/>
          <w:bCs/>
          <w:sz w:val="20"/>
          <w:szCs w:val="20"/>
        </w:rPr>
        <w:t>Article 3 : Dépôt et publicité</w:t>
      </w:r>
    </w:p>
    <w:p>
      <w:pPr>
        <w:pStyle w:val="Corpsdetexte"/>
        <w:jc w:val="both"/>
        <w:rPr>
          <w:rFonts w:ascii="Arial" w:cs="Arial" w:hAnsi="Arial"/>
          <w:sz w:val="20"/>
          <w:szCs w:val="20"/>
        </w:rPr>
      </w:pPr>
      <w:r>
        <w:rPr>
          <w:rFonts w:ascii="Arial" w:cs="Arial" w:hAnsi="Arial"/>
          <w:sz w:val="20"/>
          <w:szCs w:val="20"/>
        </w:rPr>
        <w:t>Le présent procès-verbal d’accord fera l’objet d’un dépôt auprès de la DREETS du Gard et du secrétariat du greffe du Conseil de prud’hommes de Nîmes.</w:t>
      </w:r>
    </w:p>
    <w:p>
      <w:pPr>
        <w:pStyle w:val="Normal"/>
        <w:jc w:val="both"/>
        <w:rPr>
          <w:rFonts w:ascii="Arial" w:cs="Arial" w:hAnsi="Arial"/>
          <w:sz w:val="20"/>
          <w:szCs w:val="20"/>
        </w:rPr>
      </w:pPr>
      <w:r>
        <w:rPr>
          <w:rFonts w:ascii="Arial" w:cs="Arial" w:hAnsi="Arial"/>
          <w:sz w:val="20"/>
          <w:szCs w:val="20"/>
        </w:rPr>
      </w:r>
    </w:p>
    <w:p>
      <w:pPr>
        <w:pStyle w:val="Normal"/>
        <w:jc w:val="both"/>
        <w:rPr>
          <w:rFonts w:ascii="Arial" w:cs="Arial" w:hAnsi="Arial"/>
          <w:sz w:val="20"/>
          <w:szCs w:val="20"/>
        </w:rPr>
      </w:pPr>
      <w:r>
        <w:rPr>
          <w:rFonts w:ascii="Arial" w:cs="Arial" w:hAnsi="Arial"/>
          <w:sz w:val="20"/>
          <w:szCs w:val="20"/>
        </w:rPr>
        <w:t>Fait à Aimargues le 22 novembre 2022</w:t>
      </w:r>
    </w:p>
    <w:p>
      <w:pPr>
        <w:pStyle w:val="Normal"/>
        <w:jc w:val="both"/>
        <w:rPr>
          <w:rFonts w:ascii="Arial" w:cs="Arial" w:hAnsi="Arial"/>
          <w:sz w:val="20"/>
          <w:szCs w:val="20"/>
        </w:rPr>
      </w:pPr>
      <w:r>
        <w:rPr>
          <w:rFonts w:ascii="Arial" w:cs="Arial" w:hAnsi="Arial"/>
          <w:sz w:val="20"/>
          <w:szCs w:val="20"/>
        </w:rPr>
      </w:r>
    </w:p>
    <w:p>
      <w:pPr>
        <w:pStyle w:val="Normal"/>
        <w:jc w:val="both"/>
        <w:rPr>
          <w:rFonts w:ascii="Arial" w:cs="Arial" w:hAnsi="Arial"/>
          <w:sz w:val="20"/>
          <w:szCs w:val="20"/>
        </w:rPr>
      </w:pPr>
      <w:r>
        <w:rPr>
          <w:rFonts w:ascii="Arial" w:cs="Arial" w:hAnsi="Arial"/>
          <w:sz w:val="20"/>
          <w:szCs w:val="20"/>
        </w:rPr>
      </w:r>
    </w:p>
    <w:p>
      <w:pPr>
        <w:pStyle w:val="Normal"/>
        <w:tabs>
          <w:tab w:pos="708" w:val="clear"/>
          <w:tab w:leader="none" w:pos="5670" w:val="left"/>
        </w:tabs>
        <w:jc w:val="both"/>
        <w:rPr>
          <w:rFonts w:ascii="Arial" w:cs="Arial" w:hAnsi="Arial"/>
          <w:sz w:val="20"/>
          <w:szCs w:val="20"/>
        </w:rPr>
      </w:pPr>
      <w:r>
        <w:rPr>
          <w:rFonts w:ascii="Arial" w:cs="Arial" w:hAnsi="Arial"/>
          <w:sz w:val="20"/>
          <w:szCs w:val="20"/>
        </w:rPr>
        <w:t>Pour la société ROYAL CANIN FRANCE SAS</w:t>
        <w:tab/>
        <w:tab/>
      </w:r>
    </w:p>
    <w:p>
      <w:pPr>
        <w:pStyle w:val="Normal"/>
        <w:jc w:val="both"/>
        <w:rPr>
          <w:rFonts w:ascii="Arial" w:cs="Arial" w:hAnsi="Arial"/>
          <w:sz w:val="20"/>
          <w:szCs w:val="20"/>
          <w:lang w:val="en-US"/>
        </w:rPr>
      </w:pPr>
      <w:r>
        <w:rPr>
          <w:rFonts w:ascii="Arial" w:cs="Arial" w:hAnsi="Arial"/>
          <w:b/>
          <w:sz w:val="20"/>
          <w:szCs w:val="20"/>
          <w:lang w:val="en-US"/>
        </w:rPr>
        <w:t xml:space="preserve"> </w:t>
      </w:r>
    </w:p>
    <w:p>
      <w:pPr>
        <w:pStyle w:val="Normal"/>
        <w:jc w:val="both"/>
        <w:rPr>
          <w:rFonts w:ascii="Arial" w:cs="Arial" w:hAnsi="Arial"/>
          <w:b/>
          <w:b/>
          <w:sz w:val="20"/>
          <w:szCs w:val="20"/>
        </w:rPr>
      </w:pPr>
      <w:r>
        <w:rPr/>
      </w:r>
    </w:p>
    <w:p>
      <w:pPr>
        <w:pStyle w:val="Normal"/>
        <w:jc w:val="both"/>
        <w:rPr>
          <w:rFonts w:ascii="Arial" w:cs="Arial" w:hAnsi="Arial"/>
          <w:b/>
          <w:b/>
          <w:sz w:val="20"/>
          <w:szCs w:val="20"/>
        </w:rPr>
      </w:pPr>
      <w:r>
        <w:rPr/>
      </w:r>
    </w:p>
    <w:p>
      <w:pPr>
        <w:pStyle w:val="Normal"/>
        <w:jc w:val="both"/>
        <w:rPr>
          <w:rFonts w:ascii="Arial" w:cs="Arial" w:hAnsi="Arial"/>
          <w:b/>
          <w:b/>
          <w:sz w:val="20"/>
          <w:szCs w:val="20"/>
        </w:rPr>
      </w:pPr>
      <w:r>
        <w:rPr/>
      </w:r>
    </w:p>
    <w:p>
      <w:pPr>
        <w:pStyle w:val="Normal"/>
        <w:jc w:val="both"/>
        <w:rPr>
          <w:rFonts w:ascii="Arial" w:cs="Arial" w:hAnsi="Arial"/>
          <w:b/>
          <w:b/>
          <w:sz w:val="20"/>
          <w:szCs w:val="20"/>
        </w:rPr>
      </w:pPr>
      <w:r>
        <w:rPr/>
      </w:r>
    </w:p>
    <w:p>
      <w:pPr>
        <w:pStyle w:val="Normal"/>
        <w:jc w:val="both"/>
        <w:rPr>
          <w:rFonts w:ascii="Arial" w:cs="Arial" w:hAnsi="Arial"/>
          <w:b/>
          <w:b/>
          <w:sz w:val="20"/>
          <w:szCs w:val="20"/>
        </w:rPr>
      </w:pPr>
      <w:r>
        <w:rPr/>
      </w:r>
    </w:p>
    <w:p>
      <w:pPr>
        <w:pStyle w:val="Normal"/>
        <w:jc w:val="both"/>
        <w:rPr>
          <w:rFonts w:ascii="Arial" w:cs="Arial" w:hAnsi="Arial"/>
          <w:b/>
          <w:b/>
          <w:sz w:val="20"/>
          <w:szCs w:val="20"/>
        </w:rPr>
      </w:pPr>
      <w:r>
        <w:rPr/>
      </w:r>
    </w:p>
    <w:p>
      <w:pPr>
        <w:pStyle w:val="Normal"/>
        <w:jc w:val="both"/>
        <w:rPr>
          <w:rFonts w:ascii="Arial" w:cs="Arial" w:hAnsi="Arial"/>
          <w:b/>
          <w:b/>
          <w:sz w:val="20"/>
          <w:szCs w:val="20"/>
        </w:rPr>
      </w:pPr>
      <w:r>
        <w:rPr/>
      </w:r>
    </w:p>
    <w:p>
      <w:pPr>
        <w:pStyle w:val="Normal"/>
        <w:tabs>
          <w:tab w:pos="708" w:val="clear"/>
          <w:tab w:leader="none" w:pos="5670" w:val="left"/>
        </w:tabs>
        <w:jc w:val="both"/>
        <w:rPr>
          <w:rFonts w:ascii="Arial" w:cs="Arial" w:hAnsi="Arial"/>
          <w:sz w:val="20"/>
          <w:szCs w:val="20"/>
        </w:rPr>
      </w:pPr>
      <w:r>
        <w:rPr>
          <w:rFonts w:ascii="Arial" w:cs="Arial" w:hAnsi="Arial"/>
          <w:sz w:val="20"/>
          <w:szCs w:val="20"/>
        </w:rPr>
      </w:r>
    </w:p>
    <w:p>
      <w:pPr>
        <w:pStyle w:val="Normal"/>
        <w:tabs>
          <w:tab w:pos="708" w:val="clear"/>
          <w:tab w:leader="none" w:pos="5670" w:val="left"/>
        </w:tabs>
        <w:jc w:val="both"/>
        <w:rPr>
          <w:rFonts w:ascii="Arial" w:cs="Arial" w:hAnsi="Arial"/>
          <w:sz w:val="20"/>
          <w:szCs w:val="20"/>
        </w:rPr>
      </w:pPr>
      <w:r>
        <w:rPr>
          <w:rFonts w:ascii="Arial" w:cs="Arial" w:hAnsi="Arial"/>
          <w:sz w:val="20"/>
          <w:szCs w:val="20"/>
        </w:rPr>
      </w:r>
    </w:p>
    <w:p>
      <w:pPr>
        <w:pStyle w:val="Normal"/>
        <w:tabs>
          <w:tab w:pos="708" w:val="clear"/>
          <w:tab w:leader="none" w:pos="5670" w:val="left"/>
        </w:tabs>
        <w:jc w:val="both"/>
        <w:rPr>
          <w:rFonts w:ascii="Arial" w:cs="Arial" w:hAnsi="Arial"/>
          <w:sz w:val="20"/>
          <w:szCs w:val="20"/>
        </w:rPr>
      </w:pPr>
      <w:r>
        <w:rPr>
          <w:rFonts w:ascii="Arial" w:cs="Arial" w:hAnsi="Arial"/>
          <w:sz w:val="20"/>
          <w:szCs w:val="20"/>
        </w:rPr>
      </w:r>
    </w:p>
    <w:p>
      <w:pPr>
        <w:pStyle w:val="Normal"/>
        <w:tabs>
          <w:tab w:pos="708" w:val="clear"/>
          <w:tab w:leader="none" w:pos="5670" w:val="left"/>
        </w:tabs>
        <w:jc w:val="both"/>
        <w:rPr>
          <w:rFonts w:ascii="Arial" w:cs="Arial" w:hAnsi="Arial"/>
          <w:sz w:val="20"/>
          <w:szCs w:val="20"/>
        </w:rPr>
      </w:pPr>
      <w:r>
        <w:rPr>
          <w:rFonts w:ascii="Arial" w:cs="Arial" w:hAnsi="Arial"/>
          <w:sz w:val="20"/>
          <w:szCs w:val="20"/>
        </w:rPr>
      </w:r>
    </w:p>
    <w:p>
      <w:pPr>
        <w:pStyle w:val="Normal"/>
        <w:pBdr>
          <w:top w:color="000000" w:space="1" w:sz="4" w:val="single"/>
          <w:left w:color="000000" w:space="4" w:sz="4" w:val="single"/>
          <w:bottom w:color="000000" w:space="1" w:sz="4" w:val="single"/>
          <w:right w:color="000000" w:space="4" w:sz="4" w:val="single"/>
        </w:pBdr>
        <w:tabs>
          <w:tab w:pos="708" w:val="clear"/>
          <w:tab w:leader="none" w:pos="5670" w:val="left"/>
        </w:tabs>
        <w:jc w:val="center"/>
        <w:rPr>
          <w:rFonts w:ascii="Arial" w:cs="Arial" w:hAnsi="Arial"/>
          <w:sz w:val="20"/>
          <w:szCs w:val="20"/>
        </w:rPr>
      </w:pPr>
      <w:r>
        <w:rPr>
          <w:rFonts w:ascii="Arial" w:cs="Arial" w:hAnsi="Arial"/>
          <w:sz w:val="20"/>
          <w:szCs w:val="20"/>
        </w:rPr>
        <w:t xml:space="preserve">ANNEXE 1 </w:t>
      </w:r>
    </w:p>
    <w:p>
      <w:pPr>
        <w:pStyle w:val="Normal"/>
        <w:pBdr>
          <w:top w:color="000000" w:space="1" w:sz="4" w:val="single"/>
          <w:left w:color="000000" w:space="4" w:sz="4" w:val="single"/>
          <w:bottom w:color="000000" w:space="1" w:sz="4" w:val="single"/>
          <w:right w:color="000000" w:space="4" w:sz="4" w:val="single"/>
        </w:pBdr>
        <w:tabs>
          <w:tab w:pos="708" w:val="clear"/>
          <w:tab w:leader="none" w:pos="5670" w:val="left"/>
        </w:tabs>
        <w:jc w:val="center"/>
        <w:rPr>
          <w:rFonts w:ascii="Arial" w:cs="Arial" w:hAnsi="Arial"/>
          <w:sz w:val="20"/>
          <w:szCs w:val="20"/>
        </w:rPr>
      </w:pPr>
      <w:r>
        <w:rPr>
          <w:rFonts w:ascii="Arial" w:cs="Arial" w:hAnsi="Arial"/>
          <w:sz w:val="20"/>
          <w:szCs w:val="20"/>
        </w:rPr>
        <w:t>REVENDICATIONS  2023</w:t>
      </w:r>
    </w:p>
    <w:p>
      <w:pPr>
        <w:pStyle w:val="Normal"/>
        <w:tabs>
          <w:tab w:pos="708" w:val="clear"/>
          <w:tab w:leader="none" w:pos="5670" w:val="left"/>
        </w:tabs>
        <w:jc w:val="both"/>
        <w:rPr>
          <w:rFonts w:ascii="Arial" w:cs="Arial" w:hAnsi="Arial"/>
          <w:sz w:val="20"/>
          <w:szCs w:val="20"/>
        </w:rPr>
      </w:pPr>
      <w:r>
        <w:rPr>
          <w:rFonts w:ascii="Arial" w:cs="Arial" w:hAnsi="Arial"/>
          <w:sz w:val="20"/>
          <w:szCs w:val="20"/>
        </w:rPr>
      </w:r>
    </w:p>
    <w:p>
      <w:pPr>
        <w:pStyle w:val="Normal"/>
        <w:numPr>
          <w:ilvl w:val="0"/>
          <w:numId w:val="3"/>
        </w:numPr>
        <w:jc w:val="both"/>
        <w:rPr>
          <w:rFonts w:ascii="Arial" w:cs="Arial" w:hAnsi="Arial"/>
          <w:sz w:val="16"/>
          <w:szCs w:val="16"/>
        </w:rPr>
      </w:pPr>
      <w:r>
        <w:rPr>
          <w:rFonts w:ascii="Arial" w:cs="Arial" w:hAnsi="Arial"/>
          <w:sz w:val="16"/>
          <w:szCs w:val="16"/>
        </w:rPr>
        <w:t xml:space="preserve">Augmentation : Augmentation générale de 5%  et Augmentation individuelle </w:t>
        <w:tab/>
      </w:r>
    </w:p>
    <w:p>
      <w:pPr>
        <w:pStyle w:val="Normal"/>
        <w:ind w:hanging="0" w:left="720"/>
        <w:jc w:val="both"/>
        <w:rPr>
          <w:rFonts w:ascii="Arial" w:cs="Arial" w:hAnsi="Arial"/>
          <w:sz w:val="16"/>
          <w:szCs w:val="16"/>
        </w:rPr>
      </w:pPr>
      <w:r>
        <w:rPr>
          <w:rFonts w:ascii="Arial" w:cs="Arial" w:hAnsi="Arial"/>
          <w:sz w:val="16"/>
          <w:szCs w:val="16"/>
        </w:rPr>
        <w:t xml:space="preserve">B2/B3/B4/T1 : 5% </w:t>
        <w:tab/>
        <w:t>B5/T2/T3/P1 : 4%</w:t>
        <w:tab/>
        <w:t xml:space="preserve">T4/ P2/P3 : 3% </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Revalorisation à la hausse de l’ensemble des bandes de rémunération.  La merit Matrix est un frein aux évolutions de salaire et à l’engagement /  Supprimer le seuil de 120 % / 100 % des embauches doivent être à 80 % en salaire sur la Merit matrix</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Prime Macron pour l’ensemble des salariés :  OETAM : 1500€   Cadres : 1000€</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Augmentation de la part employeur pour la Mutuelle sur 4 ans pour arriver à 80/20 comme dans les autres entités du groupe Mars.2020 : 65/25 * 2021 : 70/30 * 2022 : 70/30  * 2023 : 75/25 *2024 : 80/20</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Revalorisation du Ticket Restaurant de 8€ à 9,50 € La dernière revalorisation date du 1</w:t>
      </w:r>
      <w:r>
        <w:rPr>
          <w:rFonts w:ascii="Arial" w:cs="Arial" w:hAnsi="Arial"/>
          <w:sz w:val="16"/>
          <w:szCs w:val="16"/>
          <w:vertAlign w:val="superscript"/>
        </w:rPr>
        <w:t>er</w:t>
      </w:r>
      <w:r>
        <w:rPr>
          <w:rFonts w:ascii="Arial" w:cs="Arial" w:hAnsi="Arial"/>
          <w:sz w:val="16"/>
          <w:szCs w:val="16"/>
        </w:rPr>
        <w:t xml:space="preserve"> janvier 2010 de 7,5 € à 8€,  2019 -&gt; revalorisation du ticket à 9€ pour les salariés qui n’ont pas de restau entreprise L’augmentation du ticket restaurant à 9,50€ permettrait d’éviter le mécontentement créé en 2019 avec une augmentation uniquement sur une partie des salariés </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Revalorisation forfait déjeuner pour les itinérants de 15 à 20€</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Paiement mensuel des heures supplémentaires effectuées dans le mois précédent (comme en usine)</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Mise en place d’une indemnité de TT sur la base du calcul URSSAF (prime Energie)</w:t>
        <w:tab/>
        <w:t xml:space="preserve">1 jour TT / semaine : 10€ / mois  *  2 jours TT / semaine : 20€ / mois  *  Au-delà de 2 jours TT / semaine : 30€ / mois </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Contribution et prise en charge du transport :</w:t>
      </w:r>
    </w:p>
    <w:p>
      <w:pPr>
        <w:pStyle w:val="Normal"/>
        <w:numPr>
          <w:ilvl w:val="0"/>
          <w:numId w:val="5"/>
        </w:numPr>
        <w:jc w:val="both"/>
        <w:rPr>
          <w:rFonts w:ascii="Arial" w:cs="Arial" w:hAnsi="Arial"/>
          <w:sz w:val="16"/>
          <w:szCs w:val="16"/>
        </w:rPr>
      </w:pPr>
      <w:r>
        <w:rPr>
          <w:rFonts w:ascii="Arial" w:cs="Arial" w:hAnsi="Arial"/>
          <w:sz w:val="16"/>
          <w:szCs w:val="16"/>
        </w:rPr>
        <w:t>Revalorisation de la prime transport/barème kilométrique : tous les mois, corrélé à l’évolution des tarifs des carburants.</w:t>
      </w:r>
    </w:p>
    <w:p>
      <w:pPr>
        <w:pStyle w:val="Normal"/>
        <w:numPr>
          <w:ilvl w:val="0"/>
          <w:numId w:val="5"/>
        </w:numPr>
        <w:jc w:val="both"/>
        <w:rPr>
          <w:rFonts w:ascii="Arial" w:cs="Arial" w:hAnsi="Arial"/>
          <w:sz w:val="16"/>
          <w:szCs w:val="16"/>
        </w:rPr>
      </w:pPr>
      <w:r>
        <w:rPr>
          <w:rFonts w:ascii="Arial" w:cs="Arial" w:hAnsi="Arial"/>
          <w:sz w:val="16"/>
          <w:szCs w:val="16"/>
        </w:rPr>
        <w:t>Etendre l’indemnité kilométrique à l’usage du vélo y compris électrique (disposition légale 0,25€ par km parcouru entre domicile et lieu de travail). Pour l’employeur, cette participation à l’indemnité kilométrique vélo (IKV) est exonérée de cotisations sociales, dans la limite de 200 € par an et par salarié.</w:t>
      </w:r>
    </w:p>
    <w:p>
      <w:pPr>
        <w:pStyle w:val="Normal"/>
        <w:numPr>
          <w:ilvl w:val="0"/>
          <w:numId w:val="5"/>
        </w:numPr>
        <w:jc w:val="both"/>
        <w:rPr>
          <w:rFonts w:ascii="Arial" w:cs="Arial" w:hAnsi="Arial"/>
          <w:sz w:val="16"/>
          <w:szCs w:val="16"/>
        </w:rPr>
      </w:pPr>
      <w:r>
        <w:rPr>
          <w:rFonts w:ascii="Arial" w:cs="Arial" w:hAnsi="Arial"/>
          <w:sz w:val="16"/>
          <w:szCs w:val="16"/>
        </w:rPr>
        <w:t>Participation à l’achat d’un vélo électrique ou location par l’entreprise du vélo au salarié</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Revalorisation de la prime-vacances : de 350€ à 400€</w:t>
      </w:r>
    </w:p>
    <w:p>
      <w:pPr>
        <w:pStyle w:val="Normal"/>
        <w:jc w:val="both"/>
        <w:rPr>
          <w:rFonts w:ascii="Arial" w:cs="Arial" w:hAnsi="Arial"/>
          <w:sz w:val="16"/>
          <w:szCs w:val="16"/>
        </w:rPr>
      </w:pPr>
      <w:r>
        <w:rPr>
          <w:rFonts w:ascii="Arial" w:cs="Arial" w:hAnsi="Arial"/>
          <w:sz w:val="16"/>
          <w:szCs w:val="16"/>
        </w:rPr>
      </w:r>
    </w:p>
    <w:tbl>
      <w:tblPr>
        <w:tblpPr w:horzAnchor="margin" w:leftFromText="141" w:rightFromText="141" w:tblpXSpec="right" w:tblpY="300" w:vertAnchor="text"/>
        <w:tblW w:type="dxa" w:w="2617"/>
        <w:jc w:val="right"/>
        <w:tblInd w:type="dxa" w:w="0"/>
        <w:tblLayout w:type="fixed"/>
        <w:tblCellMar>
          <w:top w:type="dxa" w:w="0"/>
          <w:left w:type="dxa" w:w="70"/>
          <w:bottom w:type="dxa" w:w="0"/>
          <w:right w:type="dxa" w:w="70"/>
        </w:tblCellMar>
        <w:tblLook w:firstColumn="1" w:firstRow="1" w:lastColumn="0" w:lastRow="0" w:noHBand="0" w:noVBand="1" w:val="04a0"/>
      </w:tblPr>
      <w:tblGrid>
        <w:gridCol w:w="1572"/>
        <w:gridCol w:w="1044"/>
      </w:tblGrid>
      <w:tr>
        <w:trPr>
          <w:trHeight w:hRule="atLeast" w:val="250"/>
        </w:trPr>
        <w:tc>
          <w:tcPr>
            <w:tcW w:type="dxa" w:w="1572"/>
            <w:tcBorders>
              <w:top w:color="000000" w:space="0" w:sz="4" w:val="single"/>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Ancienneté</w:t>
            </w:r>
          </w:p>
        </w:tc>
        <w:tc>
          <w:tcPr>
            <w:tcW w:type="dxa" w:w="1044"/>
            <w:tcBorders>
              <w:top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Nb de jours</w:t>
            </w:r>
          </w:p>
        </w:tc>
      </w:tr>
      <w:tr>
        <w:trPr>
          <w:trHeight w:hRule="atLeast" w:val="250"/>
        </w:trPr>
        <w:tc>
          <w:tcPr>
            <w:tcW w:type="dxa" w:w="1572"/>
            <w:tcBorders>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A partir de 5 ans</w:t>
            </w:r>
          </w:p>
        </w:tc>
        <w:tc>
          <w:tcPr>
            <w:tcW w:type="dxa" w:w="1044"/>
            <w:tcBorders>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2</w:t>
            </w:r>
          </w:p>
        </w:tc>
      </w:tr>
      <w:tr>
        <w:trPr>
          <w:trHeight w:hRule="atLeast" w:val="250"/>
        </w:trPr>
        <w:tc>
          <w:tcPr>
            <w:tcW w:type="dxa" w:w="1572"/>
            <w:tcBorders>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A partir de 8 ans</w:t>
            </w:r>
          </w:p>
        </w:tc>
        <w:tc>
          <w:tcPr>
            <w:tcW w:type="dxa" w:w="1044"/>
            <w:tcBorders>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3</w:t>
            </w:r>
          </w:p>
        </w:tc>
      </w:tr>
      <w:tr>
        <w:trPr>
          <w:trHeight w:hRule="atLeast" w:val="250"/>
        </w:trPr>
        <w:tc>
          <w:tcPr>
            <w:tcW w:type="dxa" w:w="1572"/>
            <w:tcBorders>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A partir de 11 ans</w:t>
            </w:r>
          </w:p>
        </w:tc>
        <w:tc>
          <w:tcPr>
            <w:tcW w:type="dxa" w:w="1044"/>
            <w:tcBorders>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4</w:t>
            </w:r>
          </w:p>
        </w:tc>
      </w:tr>
      <w:tr>
        <w:trPr>
          <w:trHeight w:hRule="atLeast" w:val="250"/>
        </w:trPr>
        <w:tc>
          <w:tcPr>
            <w:tcW w:type="dxa" w:w="1572"/>
            <w:tcBorders>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A partir de 14 ans</w:t>
            </w:r>
          </w:p>
        </w:tc>
        <w:tc>
          <w:tcPr>
            <w:tcW w:type="dxa" w:w="1044"/>
            <w:tcBorders>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5</w:t>
            </w:r>
          </w:p>
        </w:tc>
      </w:tr>
      <w:tr>
        <w:trPr>
          <w:trHeight w:hRule="atLeast" w:val="250"/>
        </w:trPr>
        <w:tc>
          <w:tcPr>
            <w:tcW w:type="dxa" w:w="1572"/>
            <w:tcBorders>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A partir de 17 ans</w:t>
            </w:r>
          </w:p>
        </w:tc>
        <w:tc>
          <w:tcPr>
            <w:tcW w:type="dxa" w:w="1044"/>
            <w:tcBorders>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6</w:t>
            </w:r>
          </w:p>
        </w:tc>
      </w:tr>
      <w:tr>
        <w:trPr>
          <w:trHeight w:hRule="atLeast" w:val="250"/>
        </w:trPr>
        <w:tc>
          <w:tcPr>
            <w:tcW w:type="dxa" w:w="1572"/>
            <w:tcBorders>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A partir de 20 ans</w:t>
            </w:r>
          </w:p>
        </w:tc>
        <w:tc>
          <w:tcPr>
            <w:tcW w:type="dxa" w:w="1044"/>
            <w:tcBorders>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7</w:t>
            </w:r>
          </w:p>
        </w:tc>
      </w:tr>
      <w:tr>
        <w:trPr>
          <w:trHeight w:hRule="atLeast" w:val="250"/>
        </w:trPr>
        <w:tc>
          <w:tcPr>
            <w:tcW w:type="dxa" w:w="1572"/>
            <w:tcBorders>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A partir de 23 ans</w:t>
            </w:r>
          </w:p>
        </w:tc>
        <w:tc>
          <w:tcPr>
            <w:tcW w:type="dxa" w:w="1044"/>
            <w:tcBorders>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8</w:t>
            </w:r>
          </w:p>
        </w:tc>
      </w:tr>
    </w:tbl>
    <w:p>
      <w:pPr>
        <w:pStyle w:val="Normal"/>
        <w:numPr>
          <w:ilvl w:val="0"/>
          <w:numId w:val="3"/>
        </w:numPr>
        <w:jc w:val="both"/>
        <w:rPr>
          <w:rFonts w:ascii="Arial" w:cs="Arial" w:hAnsi="Arial"/>
          <w:sz w:val="16"/>
          <w:szCs w:val="16"/>
        </w:rPr>
      </w:pPr>
      <w:r/>
      <w:r>
        <w:rPr>
          <w:rFonts w:ascii="Arial" w:cs="Arial" w:hAnsi="Arial"/>
          <w:sz w:val="16"/>
          <w:szCs w:val="16"/>
        </w:rPr>
        <w:t>Revalorisation de la prime mission (de 10% à 15%) applicable sur remplacement collègue absent dès le 1</w:t>
      </w:r>
      <w:r>
        <w:rPr>
          <w:rFonts w:ascii="Arial" w:cs="Arial" w:hAnsi="Arial"/>
          <w:sz w:val="16"/>
          <w:szCs w:val="16"/>
          <w:vertAlign w:val="superscript"/>
        </w:rPr>
        <w:t>er</w:t>
      </w:r>
      <w:r>
        <w:rPr>
          <w:rFonts w:ascii="Arial" w:cs="Arial" w:hAnsi="Arial"/>
          <w:sz w:val="16"/>
          <w:szCs w:val="16"/>
        </w:rPr>
        <w:t xml:space="preserve"> jour soit pour maladie/ congés mater / pater</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Revalorisation de la prime expo de 3 à 5%, payable au trimestre échu</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 xml:space="preserve">Augmentation du nb de jours d’ancienneté de 5 à 8 jours Déjà 7 jours chez les autres entités </w:t>
      </w:r>
    </w:p>
    <w:p>
      <w:pPr>
        <w:pStyle w:val="ListParagraph"/>
        <w:rPr>
          <w:rFonts w:ascii="Arial" w:cs="Arial" w:hAnsi="Arial"/>
          <w:sz w:val="16"/>
          <w:szCs w:val="16"/>
        </w:rPr>
      </w:pPr>
      <w:r>
        <w:rPr>
          <w:rFonts w:ascii="Arial" w:cs="Arial" w:hAnsi="Arial"/>
          <w:sz w:val="16"/>
          <w:szCs w:val="16"/>
        </w:rPr>
      </w:r>
    </w:p>
    <w:p>
      <w:pPr>
        <w:pStyle w:val="Normal"/>
        <w:ind w:hanging="0" w:left="720"/>
        <w:jc w:val="both"/>
        <w:rPr>
          <w:rFonts w:ascii="Arial" w:cs="Arial" w:hAnsi="Arial"/>
          <w:sz w:val="16"/>
          <w:szCs w:val="16"/>
        </w:rPr>
      </w:pPr>
      <w:r>
        <w:rPr>
          <w:rFonts w:ascii="Arial" w:cs="Arial" w:hAnsi="Arial"/>
          <w:sz w:val="16"/>
          <w:szCs w:val="16"/>
        </w:rPr>
        <w:t>Mars  14 jours chez Wrigley pour parents isolés</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 xml:space="preserve">CET / PERCOL : </w:t>
      </w:r>
    </w:p>
    <w:p>
      <w:pPr>
        <w:pStyle w:val="Normal"/>
        <w:numPr>
          <w:ilvl w:val="0"/>
          <w:numId w:val="4"/>
        </w:numPr>
        <w:jc w:val="both"/>
        <w:rPr>
          <w:rFonts w:ascii="Arial" w:cs="Arial" w:hAnsi="Arial"/>
          <w:sz w:val="16"/>
          <w:szCs w:val="16"/>
        </w:rPr>
      </w:pPr>
      <w:r>
        <w:rPr>
          <w:rFonts w:ascii="Arial" w:cs="Arial" w:hAnsi="Arial"/>
          <w:sz w:val="16"/>
          <w:szCs w:val="16"/>
        </w:rPr>
        <w:t>CET : Augmenter le nb de jours pour passer de 10 jours à 50 jours cumulables sur plusieurs années (90 jours dans la convention collective) et pouvoir y placer les heures supplémentaires en plus des 10 jours de CET</w:t>
      </w:r>
    </w:p>
    <w:p>
      <w:pPr>
        <w:pStyle w:val="Normal"/>
        <w:jc w:val="both"/>
        <w:rPr>
          <w:rFonts w:ascii="Arial" w:cs="Arial" w:hAnsi="Arial"/>
          <w:sz w:val="16"/>
          <w:szCs w:val="16"/>
        </w:rPr>
      </w:pPr>
      <w:r>
        <w:rPr>
          <w:rFonts w:ascii="Arial" w:cs="Arial" w:hAnsi="Arial"/>
          <w:sz w:val="16"/>
          <w:szCs w:val="16"/>
        </w:rPr>
      </w:r>
    </w:p>
    <w:p>
      <w:pPr>
        <w:pStyle w:val="Normal"/>
        <w:numPr>
          <w:ilvl w:val="0"/>
          <w:numId w:val="4"/>
        </w:numPr>
        <w:jc w:val="both"/>
        <w:rPr>
          <w:rFonts w:ascii="Arial" w:cs="Arial" w:hAnsi="Arial"/>
          <w:sz w:val="16"/>
          <w:szCs w:val="16"/>
        </w:rPr>
      </w:pPr>
      <w:r>
        <w:rPr>
          <w:rFonts w:ascii="Arial" w:cs="Arial" w:hAnsi="Arial"/>
          <w:sz w:val="16"/>
          <w:szCs w:val="16"/>
        </w:rPr>
        <w:t xml:space="preserve">Abondement de l’entreprise de 50% du CET vers le PERCOL </w:t>
      </w:r>
    </w:p>
    <w:p>
      <w:pPr>
        <w:pStyle w:val="Normal"/>
        <w:jc w:val="both"/>
        <w:rPr>
          <w:rFonts w:ascii="Arial" w:cs="Arial" w:hAnsi="Arial"/>
          <w:sz w:val="16"/>
          <w:szCs w:val="16"/>
        </w:rPr>
      </w:pPr>
      <w:r>
        <w:rPr>
          <w:rFonts w:ascii="Arial" w:cs="Arial" w:hAnsi="Arial"/>
          <w:sz w:val="16"/>
          <w:szCs w:val="16"/>
        </w:rPr>
      </w:r>
    </w:p>
    <w:p>
      <w:pPr>
        <w:pStyle w:val="Normal"/>
        <w:numPr>
          <w:ilvl w:val="0"/>
          <w:numId w:val="4"/>
        </w:numPr>
        <w:jc w:val="both"/>
        <w:rPr>
          <w:rFonts w:ascii="Arial" w:cs="Arial" w:hAnsi="Arial"/>
          <w:sz w:val="16"/>
          <w:szCs w:val="16"/>
        </w:rPr>
      </w:pPr>
      <w:r>
        <w:rPr>
          <w:rFonts w:ascii="Arial" w:cs="Arial" w:hAnsi="Arial"/>
          <w:sz w:val="16"/>
          <w:szCs w:val="16"/>
        </w:rPr>
        <w:t xml:space="preserve">Versement depuis Intéressement/Participation vers PERCOL : abondement de l’entreprise de 50% </w:t>
      </w:r>
    </w:p>
    <w:p>
      <w:pPr>
        <w:pStyle w:val="Normal"/>
        <w:jc w:val="both"/>
        <w:rPr>
          <w:rFonts w:ascii="Arial" w:cs="Arial" w:hAnsi="Arial"/>
          <w:b/>
          <w:b/>
          <w:bCs/>
          <w:sz w:val="16"/>
          <w:szCs w:val="16"/>
        </w:rPr>
      </w:pPr>
      <w:r>
        <w:rPr>
          <w:rFonts w:ascii="Arial" w:cs="Arial" w:hAnsi="Arial"/>
          <w:b/>
          <w:bCs/>
          <w:sz w:val="16"/>
          <w:szCs w:val="16"/>
        </w:rPr>
      </w:r>
    </w:p>
    <w:p>
      <w:pPr>
        <w:pStyle w:val="Normal"/>
        <w:numPr>
          <w:ilvl w:val="0"/>
          <w:numId w:val="3"/>
        </w:numPr>
        <w:jc w:val="both"/>
        <w:rPr>
          <w:rFonts w:ascii="Arial" w:cs="Arial" w:hAnsi="Arial"/>
          <w:sz w:val="16"/>
          <w:szCs w:val="16"/>
        </w:rPr>
      </w:pPr>
      <w:r>
        <w:rPr>
          <w:rFonts w:ascii="Arial" w:cs="Arial" w:hAnsi="Arial"/>
          <w:sz w:val="16"/>
          <w:szCs w:val="16"/>
        </w:rPr>
        <w:t>Augmentation du budget CSE œuvre sociale à 2% de la masse salariale</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Elargir le nb de jours enfants malades/hospitalisés à parents malades/hospitalisés (journée internationale des aidants le 06/10)</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 xml:space="preserve">Augmentation du nb de jours enfants/parents malades hospitalisés de 5 à 7 jours comme dans les autres entités du groupe Mars </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 xml:space="preserve">Crèche d’Entreprise / Berceaux :  2022 : 25 Berceaux </w:t>
        <w:tab/>
        <w:t>Augmenter le nb de berceaux de 25 à 35 berceaux</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Possibilité de bénéficier de produits diététiques vétérinaires pour les salariés.</w:t>
      </w:r>
    </w:p>
    <w:p>
      <w:pPr>
        <w:pStyle w:val="Normal"/>
        <w:jc w:val="both"/>
        <w:rPr>
          <w:rFonts w:ascii="Arial" w:cs="Arial" w:hAnsi="Arial"/>
          <w:sz w:val="16"/>
          <w:szCs w:val="16"/>
        </w:rPr>
      </w:pPr>
      <w:r>
        <w:rPr>
          <w:rFonts w:ascii="Arial" w:cs="Arial" w:hAnsi="Arial"/>
          <w:sz w:val="16"/>
          <w:szCs w:val="16"/>
        </w:rPr>
      </w:r>
    </w:p>
    <w:tbl>
      <w:tblPr>
        <w:tblpPr w:horzAnchor="margin" w:leftFromText="141" w:rightFromText="141" w:tblpXSpec="right" w:tblpY="5" w:vertAnchor="text"/>
        <w:tblW w:type="dxa" w:w="2661"/>
        <w:jc w:val="right"/>
        <w:tblInd w:type="dxa" w:w="0"/>
        <w:tblLayout w:type="fixed"/>
        <w:tblCellMar>
          <w:top w:type="dxa" w:w="0"/>
          <w:left w:type="dxa" w:w="70"/>
          <w:bottom w:type="dxa" w:w="0"/>
          <w:right w:type="dxa" w:w="70"/>
        </w:tblCellMar>
        <w:tblLook w:firstColumn="1" w:firstRow="1" w:lastColumn="0" w:lastRow="0" w:noHBand="0" w:noVBand="1" w:val="04a0"/>
      </w:tblPr>
      <w:tblGrid>
        <w:gridCol w:w="1324"/>
        <w:gridCol w:w="1336"/>
      </w:tblGrid>
      <w:tr>
        <w:trPr>
          <w:trHeight w:hRule="atLeast" w:val="251"/>
        </w:trPr>
        <w:tc>
          <w:tcPr>
            <w:tcW w:type="dxa" w:w="1324"/>
            <w:tcBorders>
              <w:top w:color="000000" w:space="0" w:sz="4" w:val="single"/>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Ancienneté</w:t>
            </w:r>
          </w:p>
        </w:tc>
        <w:tc>
          <w:tcPr>
            <w:tcW w:type="dxa" w:w="1336"/>
            <w:tcBorders>
              <w:top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Montant de la prime,MEDAILLE</w:t>
            </w:r>
          </w:p>
        </w:tc>
      </w:tr>
      <w:tr>
        <w:trPr>
          <w:trHeight w:hRule="atLeast" w:val="251"/>
        </w:trPr>
        <w:tc>
          <w:tcPr>
            <w:tcW w:type="dxa" w:w="1324"/>
            <w:tcBorders>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15 ans</w:t>
            </w:r>
          </w:p>
        </w:tc>
        <w:tc>
          <w:tcPr>
            <w:tcW w:type="dxa" w:w="1336"/>
            <w:tcBorders>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½ mois</w:t>
            </w:r>
          </w:p>
        </w:tc>
      </w:tr>
      <w:tr>
        <w:trPr>
          <w:trHeight w:hRule="atLeast" w:val="251"/>
        </w:trPr>
        <w:tc>
          <w:tcPr>
            <w:tcW w:type="dxa" w:w="1324"/>
            <w:tcBorders>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20 ans</w:t>
            </w:r>
          </w:p>
        </w:tc>
        <w:tc>
          <w:tcPr>
            <w:tcW w:type="dxa" w:w="1336"/>
            <w:tcBorders>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1 mois</w:t>
            </w:r>
          </w:p>
        </w:tc>
      </w:tr>
      <w:tr>
        <w:trPr>
          <w:trHeight w:hRule="atLeast" w:val="251"/>
        </w:trPr>
        <w:tc>
          <w:tcPr>
            <w:tcW w:type="dxa" w:w="1324"/>
            <w:tcBorders>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25 ans</w:t>
            </w:r>
          </w:p>
        </w:tc>
        <w:tc>
          <w:tcPr>
            <w:tcW w:type="dxa" w:w="1336"/>
            <w:tcBorders>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1 mois et 1/2</w:t>
            </w:r>
          </w:p>
        </w:tc>
      </w:tr>
      <w:tr>
        <w:trPr>
          <w:trHeight w:hRule="atLeast" w:val="251"/>
        </w:trPr>
        <w:tc>
          <w:tcPr>
            <w:tcW w:type="dxa" w:w="1324"/>
            <w:tcBorders>
              <w:top w:color="000000" w:space="0" w:sz="4" w:val="single"/>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30 ans</w:t>
            </w:r>
          </w:p>
        </w:tc>
        <w:tc>
          <w:tcPr>
            <w:tcW w:type="dxa" w:w="1336"/>
            <w:tcBorders>
              <w:top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2 mois</w:t>
            </w:r>
          </w:p>
        </w:tc>
      </w:tr>
      <w:tr>
        <w:trPr>
          <w:trHeight w:hRule="atLeast" w:val="251"/>
        </w:trPr>
        <w:tc>
          <w:tcPr>
            <w:tcW w:type="dxa" w:w="1324"/>
            <w:tcBorders>
              <w:top w:color="000000" w:space="0" w:sz="4" w:val="single"/>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35 ans</w:t>
            </w:r>
          </w:p>
        </w:tc>
        <w:tc>
          <w:tcPr>
            <w:tcW w:type="dxa" w:w="1336"/>
            <w:tcBorders>
              <w:top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2 mois et 1/2</w:t>
            </w:r>
          </w:p>
        </w:tc>
      </w:tr>
      <w:tr>
        <w:trPr>
          <w:trHeight w:hRule="atLeast" w:val="251"/>
        </w:trPr>
        <w:tc>
          <w:tcPr>
            <w:tcW w:type="dxa" w:w="1324"/>
            <w:tcBorders>
              <w:top w:color="000000" w:space="0" w:sz="4" w:val="single"/>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40 ans</w:t>
            </w:r>
          </w:p>
        </w:tc>
        <w:tc>
          <w:tcPr>
            <w:tcW w:type="dxa" w:w="1336"/>
            <w:tcBorders>
              <w:top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3 mois</w:t>
            </w:r>
          </w:p>
        </w:tc>
      </w:tr>
      <w:tr>
        <w:trPr>
          <w:trHeight w:hRule="atLeast" w:val="251"/>
        </w:trPr>
        <w:tc>
          <w:tcPr>
            <w:tcW w:type="dxa" w:w="1324"/>
            <w:tcBorders>
              <w:top w:color="000000" w:space="0" w:sz="4" w:val="single"/>
              <w:left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 xml:space="preserve">45 ans </w:t>
            </w:r>
          </w:p>
        </w:tc>
        <w:tc>
          <w:tcPr>
            <w:tcW w:type="dxa" w:w="1336"/>
            <w:tcBorders>
              <w:top w:color="000000" w:space="0" w:sz="4" w:val="single"/>
              <w:bottom w:color="000000" w:space="0" w:sz="4" w:val="single"/>
              <w:right w:color="000000" w:space="0" w:sz="4" w:val="single"/>
            </w:tcBorders>
            <w:shd w:color="auto" w:fill="auto" w:val="clear"/>
            <w:vAlign w:val="bottom"/>
          </w:tcPr>
          <w:p>
            <w:pPr>
              <w:pStyle w:val="Normal"/>
              <w:widowControl w:val="false"/>
              <w:jc w:val="both"/>
              <w:rPr>
                <w:rFonts w:ascii="Arial" w:cs="Arial" w:hAnsi="Arial"/>
                <w:sz w:val="12"/>
                <w:szCs w:val="12"/>
              </w:rPr>
            </w:pPr>
            <w:r>
              <w:rPr>
                <w:rFonts w:ascii="Arial" w:cs="Arial" w:hAnsi="Arial"/>
                <w:sz w:val="12"/>
                <w:szCs w:val="12"/>
              </w:rPr>
              <w:t>3 mois et 1/2</w:t>
            </w:r>
          </w:p>
        </w:tc>
      </w:tr>
    </w:tbl>
    <w:p>
      <w:pPr>
        <w:pStyle w:val="Normal"/>
        <w:numPr>
          <w:ilvl w:val="0"/>
          <w:numId w:val="3"/>
        </w:numPr>
        <w:jc w:val="both"/>
        <w:rPr>
          <w:rFonts w:ascii="Arial" w:cs="Arial" w:hAnsi="Arial"/>
          <w:sz w:val="16"/>
          <w:szCs w:val="16"/>
        </w:rPr>
      </w:pPr>
      <w:r/>
      <w:r>
        <w:rPr>
          <w:rFonts w:ascii="Arial" w:cs="Arial" w:hAnsi="Arial"/>
          <w:sz w:val="16"/>
          <w:szCs w:val="16"/>
        </w:rPr>
        <w:t>Incitation au déplacement collectif (covoiturage/mise en place d’un ramassage bus)</w:t>
      </w:r>
    </w:p>
    <w:p>
      <w:pPr>
        <w:pStyle w:val="Normal"/>
        <w:ind w:hanging="0" w:left="720"/>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 xml:space="preserve">Pont de l’ascension ou Pentecote offert (comme en usine 2 ponts offerts) </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15% d’embauche doit provenir d’anciens stagiaires ou intérimaires.</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 xml:space="preserve">Médaille du travail tous les 5 ans à partir de 15 ans d’ancienneté dans l’entreprise </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Mise en place de bornes électriques pour les voitures sur tous les sites, augmenter le nb de bornes sur le Campus (11 actuellement)</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Mise en place d’un local CSE à la filiale France</w:t>
      </w:r>
    </w:p>
    <w:p>
      <w:pPr>
        <w:pStyle w:val="Normal"/>
        <w:jc w:val="both"/>
        <w:rPr>
          <w:rFonts w:ascii="Arial" w:cs="Arial" w:hAnsi="Arial"/>
          <w:sz w:val="16"/>
          <w:szCs w:val="16"/>
        </w:rPr>
      </w:pPr>
      <w:r>
        <w:rPr>
          <w:rFonts w:ascii="Arial" w:cs="Arial" w:hAnsi="Arial"/>
          <w:sz w:val="16"/>
          <w:szCs w:val="16"/>
        </w:rPr>
      </w:r>
    </w:p>
    <w:p>
      <w:pPr>
        <w:pStyle w:val="Normal"/>
        <w:numPr>
          <w:ilvl w:val="0"/>
          <w:numId w:val="3"/>
        </w:numPr>
        <w:jc w:val="both"/>
        <w:rPr>
          <w:rFonts w:ascii="Arial" w:cs="Arial" w:hAnsi="Arial"/>
          <w:sz w:val="16"/>
          <w:szCs w:val="16"/>
        </w:rPr>
      </w:pPr>
      <w:r>
        <w:rPr>
          <w:rFonts w:ascii="Arial" w:cs="Arial" w:hAnsi="Arial"/>
          <w:sz w:val="16"/>
          <w:szCs w:val="16"/>
        </w:rPr>
        <w:t>Ouverture d’une conciergerie</w:t>
      </w:r>
    </w:p>
    <w:p>
      <w:pPr>
        <w:pStyle w:val="Normal"/>
        <w:ind w:hanging="0" w:left="4248"/>
        <w:jc w:val="both"/>
        <w:rPr>
          <w:rFonts w:ascii="Arial" w:cs="Arial" w:hAnsi="Arial"/>
          <w:sz w:val="16"/>
          <w:szCs w:val="16"/>
        </w:rPr>
      </w:pPr>
      <w:r>
        <w:rPr>
          <w:rFonts w:ascii="Arial" w:cs="Arial" w:hAnsi="Arial"/>
          <w:sz w:val="16"/>
          <w:szCs w:val="16"/>
        </w:rPr>
        <w:t>********************</w:t>
        <w:tab/>
      </w:r>
    </w:p>
    <w:p>
      <w:pPr>
        <w:pStyle w:val="Normal"/>
        <w:pBdr>
          <w:top w:color="000000" w:space="1" w:sz="4" w:val="single"/>
          <w:left w:color="000000" w:space="4" w:sz="4" w:val="single"/>
          <w:bottom w:color="000000" w:space="1" w:sz="4" w:val="single"/>
          <w:right w:color="000000" w:space="4" w:sz="4" w:val="single"/>
        </w:pBdr>
        <w:tabs>
          <w:tab w:pos="708" w:val="clear"/>
          <w:tab w:leader="none" w:pos="5670" w:val="left"/>
        </w:tabs>
        <w:jc w:val="center"/>
        <w:rPr>
          <w:rFonts w:ascii="Arial" w:cs="Arial" w:hAnsi="Arial"/>
          <w:sz w:val="20"/>
          <w:szCs w:val="20"/>
        </w:rPr>
      </w:pPr>
      <w:r>
        <w:rPr>
          <w:rFonts w:ascii="Arial" w:cs="Arial" w:hAnsi="Arial"/>
          <w:sz w:val="20"/>
          <w:szCs w:val="20"/>
        </w:rPr>
        <w:t xml:space="preserve">ANNEXE 2 </w:t>
      </w:r>
    </w:p>
    <w:p>
      <w:pPr>
        <w:pStyle w:val="Normal"/>
        <w:pBdr>
          <w:top w:color="000000" w:space="1" w:sz="4" w:val="single"/>
          <w:left w:color="000000" w:space="4" w:sz="4" w:val="single"/>
          <w:bottom w:color="000000" w:space="1" w:sz="4" w:val="single"/>
          <w:right w:color="000000" w:space="4" w:sz="4" w:val="single"/>
        </w:pBdr>
        <w:tabs>
          <w:tab w:pos="708" w:val="clear"/>
          <w:tab w:leader="none" w:pos="5670" w:val="left"/>
        </w:tabs>
        <w:jc w:val="center"/>
        <w:rPr>
          <w:rFonts w:ascii="Arial" w:cs="Arial" w:hAnsi="Arial"/>
          <w:sz w:val="20"/>
          <w:szCs w:val="20"/>
        </w:rPr>
      </w:pPr>
      <w:r>
        <w:rPr>
          <w:rFonts w:ascii="Arial" w:cs="Arial" w:hAnsi="Arial"/>
          <w:sz w:val="20"/>
          <w:szCs w:val="20"/>
        </w:rPr>
        <w:t xml:space="preserve">REVENDICATIONS  </w:t>
      </w:r>
      <w:r>
        <w:rPr>
          <w:rFonts w:ascii="Arial" w:cs="Arial" w:hAnsi="Arial"/>
          <w:sz w:val="20"/>
          <w:szCs w:val="20"/>
        </w:rPr>
        <w:t>2</w:t>
      </w:r>
      <w:r>
        <w:rPr>
          <w:rFonts w:ascii="Arial" w:cs="Arial" w:hAnsi="Arial"/>
          <w:sz w:val="20"/>
          <w:szCs w:val="20"/>
        </w:rPr>
        <w:t>023</w:t>
      </w:r>
    </w:p>
    <w:p>
      <w:pPr>
        <w:pStyle w:val="Normal"/>
        <w:jc w:val="both"/>
        <w:rPr>
          <w:rFonts w:ascii="Arial" w:cs="Arial" w:hAnsi="Arial"/>
          <w:sz w:val="16"/>
          <w:szCs w:val="16"/>
        </w:rPr>
      </w:pPr>
      <w:r>
        <w:rPr>
          <w:rFonts w:ascii="Arial" w:cs="Arial" w:hAnsi="Arial"/>
          <w:sz w:val="16"/>
          <w:szCs w:val="16"/>
        </w:rPr>
      </w:r>
    </w:p>
    <w:p>
      <w:pPr>
        <w:pStyle w:val="Normal"/>
        <w:jc w:val="both"/>
        <w:rPr>
          <w:rFonts w:ascii="Arial" w:cs="Arial" w:hAnsi="Arial"/>
          <w:sz w:val="16"/>
          <w:szCs w:val="16"/>
        </w:rPr>
      </w:pPr>
      <w:r>
        <w:rPr>
          <w:rFonts w:ascii="Arial" w:cs="Arial" w:hAnsi="Arial"/>
          <w:sz w:val="16"/>
          <w:szCs w:val="16"/>
        </w:rPr>
      </w:r>
    </w:p>
    <w:p>
      <w:pPr>
        <w:pStyle w:val="Normal"/>
        <w:numPr>
          <w:ilvl w:val="0"/>
          <w:numId w:val="9"/>
        </w:numPr>
        <w:jc w:val="both"/>
        <w:rPr>
          <w:rFonts w:ascii="Arial" w:cs="Arial" w:hAnsi="Arial"/>
          <w:sz w:val="16"/>
          <w:szCs w:val="16"/>
        </w:rPr>
      </w:pPr>
      <w:r>
        <w:rPr>
          <w:rFonts w:ascii="Arial" w:cs="Arial" w:hAnsi="Arial"/>
          <w:sz w:val="16"/>
          <w:szCs w:val="16"/>
        </w:rPr>
        <w:t xml:space="preserve">Revalorisation des tickets restaurant à 10€ pour les associés éligibles aux tickets restaurant </w:t>
      </w:r>
    </w:p>
    <w:p>
      <w:pPr>
        <w:pStyle w:val="Normal"/>
        <w:ind w:hanging="0" w:left="720"/>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 xml:space="preserve">Revalorisation de l’indemnité Transport 4 fois par an pour coller aux augmentations régulières des carburants. </w:t>
      </w:r>
    </w:p>
    <w:p>
      <w:pPr>
        <w:pStyle w:val="Normal"/>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Revalorisation de l’abondement de l’entreprise dans la cadre du versement du CET vers le Percol actuellement 25% demande de passer à 50% </w:t>
      </w:r>
    </w:p>
    <w:p>
      <w:pPr>
        <w:pStyle w:val="Normal"/>
        <w:ind w:hanging="0" w:left="720"/>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Création d’un abondement sur les versements vers le PERCOL (participation ou intéressement ou versements volontaires)</w:t>
      </w:r>
    </w:p>
    <w:p>
      <w:pPr>
        <w:pStyle w:val="Normal"/>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Augmenter le nombre de congés pour ancienneté demande de créer des nouveaux paliers : en rouge.</w:t>
      </w:r>
    </w:p>
    <w:p>
      <w:pPr>
        <w:pStyle w:val="Normal"/>
        <w:ind w:hanging="0" w:left="720"/>
        <w:jc w:val="both"/>
        <w:rPr>
          <w:rFonts w:ascii="Arial" w:cs="Arial" w:hAnsi="Arial"/>
          <w:sz w:val="16"/>
          <w:szCs w:val="16"/>
        </w:rPr>
      </w:pPr>
      <w:r>
        <w:rPr>
          <w:rFonts w:ascii="Arial" w:cs="Arial" w:hAnsi="Arial"/>
          <w:sz w:val="16"/>
          <w:szCs w:val="16"/>
        </w:rPr>
      </w:r>
    </w:p>
    <w:p>
      <w:pPr>
        <w:pStyle w:val="Normal"/>
        <w:ind w:hanging="0" w:left="7080"/>
        <w:jc w:val="both"/>
        <w:rPr>
          <w:rFonts w:ascii="Arial" w:cs="Arial" w:hAnsi="Arial"/>
          <w:sz w:val="12"/>
          <w:szCs w:val="12"/>
        </w:rPr>
      </w:pPr>
      <w:r>
        <w:rPr>
          <w:rFonts w:ascii="Arial" w:cs="Arial" w:hAnsi="Arial"/>
          <w:sz w:val="12"/>
          <w:szCs w:val="12"/>
        </w:rPr>
        <w:t>Moins de 5 ans d’ancienneté, acquis = 0 jour</w:t>
      </w:r>
    </w:p>
    <w:p>
      <w:pPr>
        <w:pStyle w:val="Normal"/>
        <w:ind w:hanging="0" w:left="7080"/>
        <w:jc w:val="both"/>
        <w:rPr>
          <w:rFonts w:ascii="Arial" w:cs="Arial" w:hAnsi="Arial"/>
          <w:sz w:val="12"/>
          <w:szCs w:val="12"/>
        </w:rPr>
      </w:pPr>
      <w:r>
        <w:rPr>
          <w:rFonts w:ascii="Arial" w:cs="Arial" w:hAnsi="Arial"/>
          <w:sz w:val="12"/>
          <w:szCs w:val="12"/>
        </w:rPr>
        <w:t xml:space="preserve"> </w:t>
      </w:r>
      <w:r>
        <w:rPr>
          <w:rFonts w:ascii="Arial" w:cs="Arial" w:hAnsi="Arial"/>
          <w:sz w:val="12"/>
          <w:szCs w:val="12"/>
        </w:rPr>
        <w:t>A partir de 5 ans d’ancienneté, acquis = 1 jour</w:t>
      </w:r>
    </w:p>
    <w:p>
      <w:pPr>
        <w:pStyle w:val="Normal"/>
        <w:ind w:hanging="0" w:left="7080"/>
        <w:jc w:val="both"/>
        <w:rPr>
          <w:rFonts w:ascii="Arial" w:cs="Arial" w:hAnsi="Arial"/>
          <w:sz w:val="12"/>
          <w:szCs w:val="12"/>
        </w:rPr>
      </w:pPr>
      <w:r>
        <w:rPr>
          <w:rFonts w:ascii="Arial" w:cs="Arial" w:hAnsi="Arial"/>
          <w:sz w:val="12"/>
          <w:szCs w:val="12"/>
        </w:rPr>
        <w:t xml:space="preserve"> </w:t>
      </w:r>
      <w:r>
        <w:rPr>
          <w:rFonts w:ascii="Arial" w:cs="Arial" w:hAnsi="Arial"/>
          <w:sz w:val="12"/>
          <w:szCs w:val="12"/>
        </w:rPr>
        <w:t>A partir de 8 ans d’ancienneté, acquis = 2 jours</w:t>
      </w:r>
    </w:p>
    <w:p>
      <w:pPr>
        <w:pStyle w:val="Normal"/>
        <w:ind w:hanging="0" w:left="7080"/>
        <w:jc w:val="both"/>
        <w:rPr>
          <w:rFonts w:ascii="Arial" w:cs="Arial" w:hAnsi="Arial"/>
          <w:sz w:val="12"/>
          <w:szCs w:val="12"/>
        </w:rPr>
      </w:pPr>
      <w:r>
        <w:rPr>
          <w:rFonts w:ascii="Arial" w:cs="Arial" w:hAnsi="Arial"/>
          <w:sz w:val="12"/>
          <w:szCs w:val="12"/>
        </w:rPr>
        <w:t xml:space="preserve"> </w:t>
      </w:r>
      <w:r>
        <w:rPr>
          <w:rFonts w:ascii="Arial" w:cs="Arial" w:hAnsi="Arial"/>
          <w:sz w:val="12"/>
          <w:szCs w:val="12"/>
        </w:rPr>
        <w:t xml:space="preserve">A partir de 11 ans d’ancienneté, acquis = 3 jours </w:t>
      </w:r>
    </w:p>
    <w:p>
      <w:pPr>
        <w:pStyle w:val="Normal"/>
        <w:ind w:hanging="0" w:left="7080"/>
        <w:jc w:val="both"/>
        <w:rPr>
          <w:rFonts w:ascii="Arial" w:cs="Arial" w:hAnsi="Arial"/>
          <w:sz w:val="12"/>
          <w:szCs w:val="12"/>
        </w:rPr>
      </w:pPr>
      <w:r>
        <w:rPr>
          <w:rFonts w:ascii="Arial" w:cs="Arial" w:hAnsi="Arial"/>
          <w:sz w:val="12"/>
          <w:szCs w:val="12"/>
        </w:rPr>
        <w:t>A partir de 14 ans d’ancienneté, acquis = 4 jours</w:t>
      </w:r>
    </w:p>
    <w:p>
      <w:pPr>
        <w:pStyle w:val="Normal"/>
        <w:ind w:hanging="0" w:left="7080"/>
        <w:jc w:val="both"/>
        <w:rPr>
          <w:rFonts w:ascii="Arial" w:cs="Arial" w:hAnsi="Arial"/>
          <w:sz w:val="12"/>
          <w:szCs w:val="12"/>
        </w:rPr>
      </w:pPr>
      <w:r>
        <w:rPr>
          <w:rFonts w:ascii="Arial" w:cs="Arial" w:hAnsi="Arial"/>
          <w:sz w:val="12"/>
          <w:szCs w:val="12"/>
        </w:rPr>
        <w:t xml:space="preserve"> </w:t>
      </w:r>
      <w:r>
        <w:rPr>
          <w:rFonts w:ascii="Arial" w:cs="Arial" w:hAnsi="Arial"/>
          <w:sz w:val="12"/>
          <w:szCs w:val="12"/>
        </w:rPr>
        <w:t>A partir de 17 ans d’ancienneté, acquis = 5 jours</w:t>
      </w:r>
    </w:p>
    <w:p>
      <w:pPr>
        <w:pStyle w:val="Normal"/>
        <w:ind w:hanging="0" w:left="7080"/>
        <w:jc w:val="both"/>
        <w:rPr>
          <w:rFonts w:ascii="Arial" w:cs="Arial" w:hAnsi="Arial"/>
          <w:b/>
          <w:b/>
          <w:bCs/>
          <w:sz w:val="12"/>
          <w:szCs w:val="12"/>
        </w:rPr>
      </w:pPr>
      <w:r>
        <w:rPr>
          <w:rFonts w:ascii="Arial" w:cs="Arial" w:hAnsi="Arial"/>
          <w:b/>
          <w:bCs/>
          <w:sz w:val="12"/>
          <w:szCs w:val="12"/>
        </w:rPr>
        <w:t>A partir de 20 ans d’ancienneté, acquis = 6 jours</w:t>
      </w:r>
    </w:p>
    <w:p>
      <w:pPr>
        <w:pStyle w:val="Normal"/>
        <w:ind w:hanging="0" w:left="7080"/>
        <w:jc w:val="both"/>
        <w:rPr>
          <w:rFonts w:ascii="Arial" w:cs="Arial" w:hAnsi="Arial"/>
          <w:b/>
          <w:b/>
          <w:bCs/>
          <w:sz w:val="12"/>
          <w:szCs w:val="12"/>
        </w:rPr>
      </w:pPr>
      <w:r>
        <w:rPr>
          <w:rFonts w:ascii="Arial" w:cs="Arial" w:hAnsi="Arial"/>
          <w:b/>
          <w:bCs/>
          <w:sz w:val="12"/>
          <w:szCs w:val="12"/>
        </w:rPr>
        <w:t>A partir de 23 ans : 7 jours</w:t>
      </w:r>
    </w:p>
    <w:p>
      <w:pPr>
        <w:pStyle w:val="Normal"/>
        <w:ind w:hanging="0" w:left="7080"/>
        <w:jc w:val="both"/>
        <w:rPr>
          <w:rFonts w:ascii="Arial" w:cs="Arial" w:hAnsi="Arial"/>
          <w:b/>
          <w:b/>
          <w:bCs/>
          <w:sz w:val="12"/>
          <w:szCs w:val="12"/>
        </w:rPr>
      </w:pPr>
      <w:r>
        <w:rPr>
          <w:rFonts w:ascii="Arial" w:cs="Arial" w:hAnsi="Arial"/>
          <w:b/>
          <w:bCs/>
          <w:sz w:val="12"/>
          <w:szCs w:val="12"/>
        </w:rPr>
        <w:t>A partir de 26 ans : 8 jours</w:t>
      </w:r>
    </w:p>
    <w:p>
      <w:pPr>
        <w:pStyle w:val="Normal"/>
        <w:ind w:hanging="0" w:left="7080"/>
        <w:jc w:val="both"/>
        <w:rPr>
          <w:rFonts w:ascii="Arial" w:cs="Arial" w:hAnsi="Arial"/>
          <w:b/>
          <w:b/>
          <w:bCs/>
          <w:sz w:val="12"/>
          <w:szCs w:val="12"/>
        </w:rPr>
      </w:pPr>
      <w:r>
        <w:rPr>
          <w:rFonts w:ascii="Arial" w:cs="Arial" w:hAnsi="Arial"/>
          <w:b/>
          <w:bCs/>
          <w:sz w:val="12"/>
          <w:szCs w:val="12"/>
        </w:rPr>
        <w:t>A partir de 29 ans : 9 jours.</w:t>
      </w:r>
    </w:p>
    <w:p>
      <w:pPr>
        <w:pStyle w:val="Normal"/>
        <w:ind w:hanging="0" w:left="7080"/>
        <w:jc w:val="both"/>
        <w:rPr>
          <w:rFonts w:ascii="Arial" w:cs="Arial" w:hAnsi="Arial"/>
          <w:b/>
          <w:b/>
          <w:bCs/>
          <w:sz w:val="12"/>
          <w:szCs w:val="12"/>
        </w:rPr>
      </w:pPr>
      <w:r>
        <w:rPr>
          <w:rFonts w:ascii="Arial" w:cs="Arial" w:hAnsi="Arial"/>
          <w:b/>
          <w:bCs/>
          <w:sz w:val="12"/>
          <w:szCs w:val="12"/>
        </w:rPr>
        <w:t>Au delà de 32 ans : 10 jours.</w:t>
      </w:r>
    </w:p>
    <w:p>
      <w:pPr>
        <w:pStyle w:val="Normal"/>
        <w:jc w:val="both"/>
        <w:rPr>
          <w:rFonts w:ascii="Arial" w:cs="Arial" w:hAnsi="Arial"/>
          <w:b/>
          <w:b/>
          <w:bCs/>
          <w:sz w:val="16"/>
          <w:szCs w:val="16"/>
        </w:rPr>
      </w:pPr>
      <w:r>
        <w:rPr>
          <w:rFonts w:ascii="Arial" w:cs="Arial" w:hAnsi="Arial"/>
          <w:b/>
          <w:bCs/>
          <w:sz w:val="16"/>
          <w:szCs w:val="16"/>
        </w:rPr>
      </w:r>
    </w:p>
    <w:p>
      <w:pPr>
        <w:pStyle w:val="Normal"/>
        <w:numPr>
          <w:ilvl w:val="0"/>
          <w:numId w:val="6"/>
        </w:numPr>
        <w:jc w:val="both"/>
        <w:rPr>
          <w:rFonts w:ascii="Arial" w:cs="Arial" w:hAnsi="Arial"/>
          <w:sz w:val="16"/>
          <w:szCs w:val="16"/>
        </w:rPr>
      </w:pPr>
      <w:r>
        <w:rPr>
          <w:rFonts w:ascii="Arial" w:cs="Arial" w:hAnsi="Arial"/>
          <w:sz w:val="16"/>
          <w:szCs w:val="16"/>
        </w:rPr>
        <w:t>Augmenter le nombre de jour à placer sur le CET de 10 à 15 jours </w:t>
      </w:r>
    </w:p>
    <w:p>
      <w:pPr>
        <w:pStyle w:val="Normal"/>
        <w:ind w:hanging="0" w:left="720"/>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 xml:space="preserve">Augmentation de la prime de mission de 10 à 15%  </w:t>
      </w:r>
    </w:p>
    <w:p>
      <w:pPr>
        <w:pStyle w:val="Normal"/>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 xml:space="preserve">Quel que soit le job et le statut avoir </w:t>
      </w:r>
      <w:r>
        <w:rPr>
          <w:rFonts w:ascii="Arial" w:cs="Arial" w:hAnsi="Arial"/>
          <w:b/>
          <w:bCs/>
          <w:sz w:val="16"/>
          <w:szCs w:val="16"/>
          <w:u w:val="single"/>
        </w:rPr>
        <w:t>au minimum</w:t>
      </w:r>
      <w:r>
        <w:rPr>
          <w:rFonts w:ascii="Arial" w:cs="Arial" w:hAnsi="Arial"/>
          <w:sz w:val="16"/>
          <w:szCs w:val="16"/>
        </w:rPr>
        <w:t xml:space="preserve"> 7,69% de variable pour les populations qui ni sont pas.</w:t>
      </w:r>
    </w:p>
    <w:p>
      <w:pPr>
        <w:pStyle w:val="Normal"/>
        <w:ind w:hanging="0" w:left="720"/>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 xml:space="preserve">Pour les associés éligibles au télétravail : Participation forfaitaire de 35€ par mois si minimum de 4 jours de télétravail par mois.  </w:t>
      </w:r>
    </w:p>
    <w:p>
      <w:pPr>
        <w:pStyle w:val="Normal"/>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 xml:space="preserve">Pour les associés non éligibles au télétravail. (management commercial PSR/Pro/Vet)  Participation forfaitaire de 5€/jour ou accès ticket restaurant quand ils ne sont pas en déplacement  </w:t>
      </w:r>
    </w:p>
    <w:p>
      <w:pPr>
        <w:pStyle w:val="Normal"/>
        <w:ind w:hanging="0" w:left="720"/>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Augmentation de la part employeur mutuelle de 80/20 </w:t>
      </w:r>
    </w:p>
    <w:p>
      <w:pPr>
        <w:pStyle w:val="Normal"/>
        <w:ind w:hanging="0" w:left="720"/>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 xml:space="preserve">Augmentation individuelle des salaires de 4,5% avec la révision des 4 bandes et transformer la prime en augmentation de salaire pour les personnes au dessus de 120%. </w:t>
      </w:r>
    </w:p>
    <w:p>
      <w:pPr>
        <w:pStyle w:val="Normal"/>
        <w:ind w:hanging="0" w:left="720"/>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 xml:space="preserve">Augmentation générale de 4% </w:t>
      </w:r>
    </w:p>
    <w:p>
      <w:pPr>
        <w:pStyle w:val="Normal"/>
        <w:ind w:hanging="0" w:left="720"/>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 xml:space="preserve">Augmentation du budget des œuvres sociales à 1% pour le social.  </w:t>
      </w:r>
    </w:p>
    <w:p>
      <w:pPr>
        <w:pStyle w:val="Normal"/>
        <w:ind w:hanging="0" w:left="720"/>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Insertion d’un nouveau palier à 15 ans avec une prime d’un demi-mois de salaire pour la médaille de travail pour 25 ans 1,5 mois et 2,5 mois pour 35 ans.</w:t>
      </w:r>
    </w:p>
    <w:p>
      <w:pPr>
        <w:pStyle w:val="Normal"/>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Retour à la table des négociations NAO en fin T2 2023 si besoin. </w:t>
      </w:r>
    </w:p>
    <w:p>
      <w:pPr>
        <w:pStyle w:val="Normal"/>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Revalorisation de la prime d’utilisation de domicile pour l’ensemble des forces de ventes : 75€ pour les commerciaux et 100€ pour les CDV.</w:t>
      </w:r>
    </w:p>
    <w:p>
      <w:pPr>
        <w:pStyle w:val="Normal"/>
        <w:jc w:val="both"/>
        <w:rPr>
          <w:rFonts w:ascii="Arial" w:cs="Arial" w:hAnsi="Arial"/>
          <w:sz w:val="16"/>
          <w:szCs w:val="16"/>
        </w:rPr>
      </w:pPr>
      <w:r>
        <w:rPr>
          <w:rFonts w:ascii="Arial" w:cs="Arial" w:hAnsi="Arial"/>
          <w:sz w:val="16"/>
          <w:szCs w:val="16"/>
        </w:rPr>
        <w:t xml:space="preserve"> </w:t>
      </w:r>
    </w:p>
    <w:p>
      <w:pPr>
        <w:pStyle w:val="Normal"/>
        <w:numPr>
          <w:ilvl w:val="0"/>
          <w:numId w:val="6"/>
        </w:numPr>
        <w:jc w:val="both"/>
        <w:rPr>
          <w:rFonts w:ascii="Arial" w:cs="Arial" w:hAnsi="Arial"/>
          <w:sz w:val="16"/>
          <w:szCs w:val="16"/>
        </w:rPr>
      </w:pPr>
      <w:r>
        <w:rPr>
          <w:rFonts w:ascii="Arial" w:cs="Arial" w:hAnsi="Arial"/>
          <w:sz w:val="16"/>
          <w:szCs w:val="16"/>
        </w:rPr>
        <w:t>Possibilité d’utiliser le badge télépéage le WE et Congés.</w:t>
      </w:r>
    </w:p>
    <w:p>
      <w:pPr>
        <w:pStyle w:val="Normal"/>
        <w:jc w:val="both"/>
        <w:rPr>
          <w:rFonts w:ascii="Arial" w:cs="Arial" w:hAnsi="Arial"/>
          <w:sz w:val="16"/>
          <w:szCs w:val="16"/>
        </w:rPr>
      </w:pPr>
      <w:r>
        <w:rPr>
          <w:rFonts w:ascii="Arial" w:cs="Arial" w:hAnsi="Arial"/>
          <w:sz w:val="16"/>
          <w:szCs w:val="16"/>
        </w:rPr>
        <w:t xml:space="preserve"> </w:t>
      </w:r>
    </w:p>
    <w:p>
      <w:pPr>
        <w:pStyle w:val="Normal"/>
        <w:numPr>
          <w:ilvl w:val="0"/>
          <w:numId w:val="6"/>
        </w:numPr>
        <w:jc w:val="both"/>
        <w:rPr>
          <w:rFonts w:ascii="Arial" w:cs="Arial" w:hAnsi="Arial"/>
          <w:sz w:val="16"/>
          <w:szCs w:val="16"/>
        </w:rPr>
      </w:pPr>
      <w:r>
        <w:rPr>
          <w:rFonts w:ascii="Arial" w:cs="Arial" w:hAnsi="Arial"/>
          <w:sz w:val="16"/>
          <w:szCs w:val="16"/>
        </w:rPr>
        <w:t xml:space="preserve">Augmenter les montants de la grille d’intéressement afin que si la cible est atteinte la somme soit de 2000€ minimum. </w:t>
      </w:r>
    </w:p>
    <w:p>
      <w:pPr>
        <w:pStyle w:val="Normal"/>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 xml:space="preserve">Augmenter la réserve de participation au prorata de l’évolution des effectifs et des objectifs demandés. </w:t>
      </w:r>
    </w:p>
    <w:p>
      <w:pPr>
        <w:pStyle w:val="Normal"/>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Green : Participation à l’achat d’un vélo électrique (100€)</w:t>
      </w:r>
    </w:p>
    <w:p>
      <w:pPr>
        <w:pStyle w:val="Normal"/>
        <w:jc w:val="both"/>
        <w:rPr>
          <w:rFonts w:ascii="Arial" w:cs="Arial" w:hAnsi="Arial"/>
          <w:sz w:val="16"/>
          <w:szCs w:val="16"/>
        </w:rPr>
      </w:pPr>
      <w:r>
        <w:rPr>
          <w:rFonts w:ascii="Arial" w:cs="Arial" w:hAnsi="Arial"/>
          <w:sz w:val="16"/>
          <w:szCs w:val="16"/>
        </w:rPr>
      </w:r>
    </w:p>
    <w:p>
      <w:pPr>
        <w:pStyle w:val="Normal"/>
        <w:numPr>
          <w:ilvl w:val="0"/>
          <w:numId w:val="6"/>
        </w:numPr>
        <w:jc w:val="both"/>
        <w:rPr>
          <w:rFonts w:ascii="Arial" w:cs="Arial" w:hAnsi="Arial"/>
          <w:sz w:val="16"/>
          <w:szCs w:val="16"/>
        </w:rPr>
      </w:pPr>
      <w:r>
        <w:rPr>
          <w:rFonts w:ascii="Arial" w:cs="Arial" w:hAnsi="Arial"/>
          <w:sz w:val="16"/>
          <w:szCs w:val="16"/>
        </w:rPr>
        <w:t>Suppression de la pose d’un jour de RTT,CP ou récup pour la journée de solidarité.</w:t>
      </w:r>
    </w:p>
    <w:p>
      <w:pPr>
        <w:pStyle w:val="ListParagraph"/>
        <w:rPr>
          <w:rFonts w:ascii="Arial" w:cs="Arial" w:hAnsi="Arial"/>
          <w:sz w:val="16"/>
          <w:szCs w:val="16"/>
        </w:rPr>
      </w:pPr>
      <w:r>
        <w:rPr>
          <w:rFonts w:ascii="Arial" w:cs="Arial" w:hAnsi="Arial"/>
          <w:sz w:val="16"/>
          <w:szCs w:val="16"/>
        </w:rPr>
      </w:r>
    </w:p>
    <w:p>
      <w:pPr>
        <w:pStyle w:val="Normal"/>
        <w:jc w:val="both"/>
        <w:rPr>
          <w:rFonts w:ascii="Arial" w:cs="Arial" w:hAnsi="Arial"/>
          <w:sz w:val="16"/>
          <w:szCs w:val="16"/>
        </w:rPr>
      </w:pPr>
      <w:r>
        <w:rPr>
          <w:rFonts w:ascii="Arial" w:cs="Arial" w:hAnsi="Arial"/>
          <w:sz w:val="16"/>
          <w:szCs w:val="16"/>
        </w:rPr>
      </w:r>
    </w:p>
    <w:p>
      <w:pPr>
        <w:pStyle w:val="Normal"/>
        <w:ind w:hanging="0" w:left="3540"/>
        <w:jc w:val="both"/>
        <w:rPr>
          <w:rFonts w:ascii="Arial" w:cs="Arial" w:hAnsi="Arial"/>
          <w:sz w:val="16"/>
          <w:szCs w:val="16"/>
        </w:rPr>
      </w:pPr>
      <w:r>
        <w:rPr>
          <w:rFonts w:ascii="Arial" w:cs="Arial" w:hAnsi="Arial"/>
          <w:sz w:val="16"/>
          <w:szCs w:val="16"/>
        </w:rPr>
        <w:t>***********************</w:t>
      </w:r>
    </w:p>
    <w:p>
      <w:pPr>
        <w:pStyle w:val="Normal"/>
        <w:tabs>
          <w:tab w:pos="708" w:val="clear"/>
          <w:tab w:leader="none" w:pos="5670" w:val="left"/>
        </w:tabs>
        <w:jc w:val="both"/>
        <w:rPr>
          <w:rFonts w:ascii="Arial" w:cs="Arial" w:hAnsi="Arial"/>
          <w:sz w:val="20"/>
          <w:szCs w:val="20"/>
        </w:rPr>
      </w:pPr>
      <w:r>
        <w:rPr>
          <w:rFonts w:ascii="Arial" w:cs="Arial" w:hAnsi="Arial"/>
          <w:sz w:val="20"/>
          <w:szCs w:val="20"/>
        </w:rPr>
      </w:r>
    </w:p>
    <w:p>
      <w:pPr>
        <w:pStyle w:val="Normal"/>
        <w:tabs>
          <w:tab w:pos="708" w:val="clear"/>
          <w:tab w:leader="none" w:pos="5670" w:val="left"/>
        </w:tabs>
        <w:jc w:val="both"/>
        <w:rPr>
          <w:rFonts w:ascii="Arial" w:cs="Arial" w:hAnsi="Arial"/>
          <w:sz w:val="20"/>
          <w:szCs w:val="20"/>
        </w:rPr>
      </w:pPr>
      <w:r>
        <w:rPr>
          <w:rFonts w:ascii="Arial" w:cs="Arial" w:hAnsi="Arial"/>
          <w:sz w:val="20"/>
          <w:szCs w:val="20"/>
        </w:rPr>
        <w:tab/>
      </w:r>
    </w:p>
    <w:p>
      <w:pPr>
        <w:pStyle w:val="Normal"/>
        <w:tabs>
          <w:tab w:pos="708" w:val="clear"/>
          <w:tab w:leader="none" w:pos="5670" w:val="left"/>
        </w:tabs>
        <w:jc w:val="both"/>
        <w:rPr>
          <w:rFonts w:ascii="Arial" w:cs="Arial" w:hAnsi="Arial"/>
          <w:sz w:val="20"/>
          <w:szCs w:val="20"/>
        </w:rPr>
      </w:pPr>
      <w:r>
        <w:rPr>
          <w:rFonts w:ascii="Arial" w:cs="Arial" w:hAnsi="Arial"/>
          <w:sz w:val="20"/>
          <w:szCs w:val="20"/>
        </w:rPr>
      </w:r>
    </w:p>
    <w:p>
      <w:pPr>
        <w:pStyle w:val="Normal"/>
        <w:tabs>
          <w:tab w:pos="708" w:val="clear"/>
          <w:tab w:leader="none" w:pos="5670" w:val="left"/>
        </w:tabs>
        <w:jc w:val="both"/>
        <w:rPr>
          <w:rFonts w:ascii="Arial" w:cs="Arial" w:hAnsi="Arial"/>
          <w:sz w:val="20"/>
          <w:szCs w:val="20"/>
        </w:rPr>
      </w:pPr>
      <w:r>
        <w:rPr/>
      </w:r>
    </w:p>
    <w:sectPr>
      <w:footerReference r:id="rId2" w:type="default"/>
      <w:type w:val="nextPage"/>
      <w:pgSz w:h="16838" w:w="11906"/>
      <w:pgMar w:bottom="1134" w:footer="709" w:gutter="0" w:header="0" w:left="964" w:right="964" w:top="1134"/>
      <w:pgNumType w:fmt="decimal"/>
      <w:formProt w:val="false"/>
      <w:textDirection w:val="lrTb"/>
      <w:docGrid w:charSpace="0"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Times">
    <w:altName w:val="Times New Roman"/>
    <w:charset w:val="00"/>
    <w:family w:val="roman"/>
    <w:pitch w:val="variable"/>
  </w:font>
  <w:font w:name="Calibri">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sdt>
    <w:sdtPr>
      <w:docPartObj>
        <w:docPartGallery w:val="Page Numbers (Bottom of Page)"/>
        <w:docPartUnique w:val="true"/>
      </w:docPartObj>
      <w:id w:val="341004224"/>
    </w:sdtPr>
    <w:sdtContent>
      <w:p>
        <w:pPr>
          <w:pStyle w:val="Pieddepage"/>
          <w:jc w:val="right"/>
          <w:rPr/>
        </w:pPr>
        <w:r>
          <w:rPr/>
          <w:fldChar w:fldCharType="begin"/>
        </w:r>
        <w:r>
          <w:rPr/>
          <w:instrText> PAGE </w:instrText>
        </w:r>
        <w:r>
          <w:rPr/>
          <w:fldChar w:fldCharType="separate"/>
        </w:r>
        <w:r>
          <w:rPr/>
          <w:t>4</w:t>
        </w:r>
        <w:r>
          <w:rPr/>
          <w:fldChar w:fldCharType="end"/>
        </w:r>
      </w:p>
    </w:sdtContent>
  </w:sdt>
  <w:p>
    <w:pPr>
      <w:pStyle w:val="Pieddepage"/>
      <w:rPr/>
    </w:pPr>
    <w:r>
      <w:rPr/>
    </w:r>
  </w:p>
</w:ft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360" w:left="720"/>
      </w:pPr>
      <w:rPr>
        <w:rFonts w:ascii="Arial" w:cs="Arial" w:hAnsi="Aria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2">
    <w:lvl w:ilvl="0">
      <w:numFmt w:val="bullet"/>
      <w:lvlText w:val="-"/>
      <w:lvlJc w:val="left"/>
      <w:pPr>
        <w:tabs>
          <w:tab w:pos="0" w:val="num"/>
        </w:tabs>
        <w:ind w:hanging="360" w:left="720"/>
      </w:pPr>
      <w:rPr>
        <w:rFonts w:ascii="Arial" w:cs="Arial" w:hAnsi="Aria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3">
    <w:lvl w:ilvl="0">
      <w:start w:val="1"/>
      <w:numFmt w:val="decimal"/>
      <w:lvlText w:val="%1."/>
      <w:lvlJc w:val="left"/>
      <w:pPr>
        <w:tabs>
          <w:tab w:pos="0" w:val="num"/>
        </w:tabs>
        <w:ind w:hanging="360" w:left="720"/>
      </w:pPr>
    </w:lvl>
    <w:lvl w:ilvl="1">
      <w:start w:val="1"/>
      <w:numFmt w:val="lowerLetter"/>
      <w:lvlText w:val="%2."/>
      <w:lvlJc w:val="left"/>
      <w:pPr>
        <w:tabs>
          <w:tab w:pos="0" w:val="num"/>
        </w:tabs>
        <w:ind w:hanging="360" w:left="1440"/>
      </w:pPr>
    </w:lvl>
    <w:lvl w:ilvl="2">
      <w:start w:val="1"/>
      <w:numFmt w:val="lowerRoman"/>
      <w:lvlText w:val="%3."/>
      <w:lvlJc w:val="right"/>
      <w:pPr>
        <w:tabs>
          <w:tab w:pos="0" w:val="num"/>
        </w:tabs>
        <w:ind w:hanging="180" w:left="2160"/>
      </w:pPr>
    </w:lvl>
    <w:lvl w:ilvl="3">
      <w:start w:val="1"/>
      <w:numFmt w:val="decimal"/>
      <w:lvlText w:val="%4."/>
      <w:lvlJc w:val="left"/>
      <w:pPr>
        <w:tabs>
          <w:tab w:pos="0" w:val="num"/>
        </w:tabs>
        <w:ind w:hanging="360" w:left="2880"/>
      </w:pPr>
    </w:lvl>
    <w:lvl w:ilvl="4">
      <w:start w:val="1"/>
      <w:numFmt w:val="lowerLetter"/>
      <w:lvlText w:val="%5."/>
      <w:lvlJc w:val="left"/>
      <w:pPr>
        <w:tabs>
          <w:tab w:pos="0" w:val="num"/>
        </w:tabs>
        <w:ind w:hanging="360" w:left="3600"/>
      </w:pPr>
    </w:lvl>
    <w:lvl w:ilvl="5">
      <w:start w:val="1"/>
      <w:numFmt w:val="lowerRoman"/>
      <w:lvlText w:val="%6."/>
      <w:lvlJc w:val="right"/>
      <w:pPr>
        <w:tabs>
          <w:tab w:pos="0" w:val="num"/>
        </w:tabs>
        <w:ind w:hanging="180" w:left="4320"/>
      </w:pPr>
    </w:lvl>
    <w:lvl w:ilvl="6">
      <w:start w:val="1"/>
      <w:numFmt w:val="decimal"/>
      <w:lvlText w:val="%7."/>
      <w:lvlJc w:val="left"/>
      <w:pPr>
        <w:tabs>
          <w:tab w:pos="0" w:val="num"/>
        </w:tabs>
        <w:ind w:hanging="360" w:left="5040"/>
      </w:pPr>
    </w:lvl>
    <w:lvl w:ilvl="7">
      <w:start w:val="1"/>
      <w:numFmt w:val="lowerLetter"/>
      <w:lvlText w:val="%8."/>
      <w:lvlJc w:val="left"/>
      <w:pPr>
        <w:tabs>
          <w:tab w:pos="0" w:val="num"/>
        </w:tabs>
        <w:ind w:hanging="360" w:left="5760"/>
      </w:pPr>
    </w:lvl>
    <w:lvl w:ilvl="8">
      <w:start w:val="1"/>
      <w:numFmt w:val="lowerRoman"/>
      <w:lvlText w:val="%9."/>
      <w:lvlJc w:val="right"/>
      <w:pPr>
        <w:tabs>
          <w:tab w:pos="0" w:val="num"/>
        </w:tabs>
        <w:ind w:hanging="180" w:left="6480"/>
      </w:pPr>
    </w:lvl>
  </w:abstractNum>
  <w:abstractNum w:abstractNumId="4">
    <w:lvl w:ilvl="0">
      <w:start w:val="1"/>
      <w:numFmt w:val="bullet"/>
      <w:lvlText w:val=""/>
      <w:lvlJc w:val="left"/>
      <w:pPr>
        <w:tabs>
          <w:tab w:pos="0" w:val="num"/>
        </w:tabs>
        <w:ind w:hanging="360" w:left="1440"/>
      </w:pPr>
      <w:rPr>
        <w:rFonts w:ascii="Wingdings" w:cs="Wingdings" w:hAnsi="Wingdings" w:hint="default"/>
      </w:rPr>
    </w:lvl>
    <w:lvl w:ilvl="1">
      <w:start w:val="1"/>
      <w:numFmt w:val="bullet"/>
      <w:lvlText w:val="o"/>
      <w:lvlJc w:val="left"/>
      <w:pPr>
        <w:tabs>
          <w:tab w:pos="0" w:val="num"/>
        </w:tabs>
        <w:ind w:hanging="360" w:left="2160"/>
      </w:pPr>
      <w:rPr>
        <w:rFonts w:ascii="Courier New" w:cs="Courier New" w:hAnsi="Courier New" w:hint="default"/>
      </w:rPr>
    </w:lvl>
    <w:lvl w:ilvl="2">
      <w:start w:val="1"/>
      <w:numFmt w:val="bullet"/>
      <w:lvlText w:val=""/>
      <w:lvlJc w:val="left"/>
      <w:pPr>
        <w:tabs>
          <w:tab w:pos="0" w:val="num"/>
        </w:tabs>
        <w:ind w:hanging="360" w:left="2880"/>
      </w:pPr>
      <w:rPr>
        <w:rFonts w:ascii="Wingdings" w:cs="Wingdings" w:hAnsi="Wingdings" w:hint="default"/>
      </w:rPr>
    </w:lvl>
    <w:lvl w:ilvl="3">
      <w:start w:val="1"/>
      <w:numFmt w:val="bullet"/>
      <w:lvlText w:val=""/>
      <w:lvlJc w:val="left"/>
      <w:pPr>
        <w:tabs>
          <w:tab w:pos="0" w:val="num"/>
        </w:tabs>
        <w:ind w:hanging="360" w:left="3600"/>
      </w:pPr>
      <w:rPr>
        <w:rFonts w:ascii="Symbol" w:cs="Symbol" w:hAnsi="Symbol" w:hint="default"/>
      </w:rPr>
    </w:lvl>
    <w:lvl w:ilvl="4">
      <w:start w:val="1"/>
      <w:numFmt w:val="bullet"/>
      <w:lvlText w:val="o"/>
      <w:lvlJc w:val="left"/>
      <w:pPr>
        <w:tabs>
          <w:tab w:pos="0" w:val="num"/>
        </w:tabs>
        <w:ind w:hanging="360" w:left="4320"/>
      </w:pPr>
      <w:rPr>
        <w:rFonts w:ascii="Courier New" w:cs="Courier New" w:hAnsi="Courier New" w:hint="default"/>
      </w:rPr>
    </w:lvl>
    <w:lvl w:ilvl="5">
      <w:start w:val="1"/>
      <w:numFmt w:val="bullet"/>
      <w:lvlText w:val=""/>
      <w:lvlJc w:val="left"/>
      <w:pPr>
        <w:tabs>
          <w:tab w:pos="0" w:val="num"/>
        </w:tabs>
        <w:ind w:hanging="360" w:left="5040"/>
      </w:pPr>
      <w:rPr>
        <w:rFonts w:ascii="Wingdings" w:cs="Wingdings" w:hAnsi="Wingdings" w:hint="default"/>
      </w:rPr>
    </w:lvl>
    <w:lvl w:ilvl="6">
      <w:start w:val="1"/>
      <w:numFmt w:val="bullet"/>
      <w:lvlText w:val=""/>
      <w:lvlJc w:val="left"/>
      <w:pPr>
        <w:tabs>
          <w:tab w:pos="0" w:val="num"/>
        </w:tabs>
        <w:ind w:hanging="360" w:left="5760"/>
      </w:pPr>
      <w:rPr>
        <w:rFonts w:ascii="Symbol" w:cs="Symbol" w:hAnsi="Symbol" w:hint="default"/>
      </w:rPr>
    </w:lvl>
    <w:lvl w:ilvl="7">
      <w:start w:val="1"/>
      <w:numFmt w:val="bullet"/>
      <w:lvlText w:val="o"/>
      <w:lvlJc w:val="left"/>
      <w:pPr>
        <w:tabs>
          <w:tab w:pos="0" w:val="num"/>
        </w:tabs>
        <w:ind w:hanging="360" w:left="6480"/>
      </w:pPr>
      <w:rPr>
        <w:rFonts w:ascii="Courier New" w:cs="Courier New" w:hAnsi="Courier New" w:hint="default"/>
      </w:rPr>
    </w:lvl>
    <w:lvl w:ilvl="8">
      <w:start w:val="1"/>
      <w:numFmt w:val="bullet"/>
      <w:lvlText w:val=""/>
      <w:lvlJc w:val="left"/>
      <w:pPr>
        <w:tabs>
          <w:tab w:pos="0" w:val="num"/>
        </w:tabs>
        <w:ind w:hanging="360" w:left="7200"/>
      </w:pPr>
      <w:rPr>
        <w:rFonts w:ascii="Wingdings" w:cs="Wingdings" w:hAnsi="Wingdings" w:hint="default"/>
      </w:rPr>
    </w:lvl>
  </w:abstractNum>
  <w:abstractNum w:abstractNumId="5">
    <w:lvl w:ilvl="0">
      <w:start w:val="1"/>
      <w:numFmt w:val="lowerLetter"/>
      <w:lvlText w:val="%1."/>
      <w:lvlJc w:val="left"/>
      <w:pPr>
        <w:tabs>
          <w:tab w:pos="0" w:val="num"/>
        </w:tabs>
        <w:ind w:hanging="360" w:left="1068"/>
      </w:pPr>
    </w:lvl>
    <w:lvl w:ilvl="1">
      <w:start w:val="1"/>
      <w:numFmt w:val="lowerLetter"/>
      <w:lvlText w:val="%2."/>
      <w:lvlJc w:val="left"/>
      <w:pPr>
        <w:tabs>
          <w:tab w:pos="0" w:val="num"/>
        </w:tabs>
        <w:ind w:hanging="360" w:left="1788"/>
      </w:pPr>
    </w:lvl>
    <w:lvl w:ilvl="2">
      <w:start w:val="1"/>
      <w:numFmt w:val="lowerRoman"/>
      <w:lvlText w:val="%3."/>
      <w:lvlJc w:val="right"/>
      <w:pPr>
        <w:tabs>
          <w:tab w:pos="0" w:val="num"/>
        </w:tabs>
        <w:ind w:hanging="180" w:left="2508"/>
      </w:pPr>
    </w:lvl>
    <w:lvl w:ilvl="3">
      <w:start w:val="1"/>
      <w:numFmt w:val="decimal"/>
      <w:lvlText w:val="%4."/>
      <w:lvlJc w:val="left"/>
      <w:pPr>
        <w:tabs>
          <w:tab w:pos="0" w:val="num"/>
        </w:tabs>
        <w:ind w:hanging="360" w:left="3228"/>
      </w:pPr>
    </w:lvl>
    <w:lvl w:ilvl="4">
      <w:start w:val="1"/>
      <w:numFmt w:val="lowerLetter"/>
      <w:lvlText w:val="%5."/>
      <w:lvlJc w:val="left"/>
      <w:pPr>
        <w:tabs>
          <w:tab w:pos="0" w:val="num"/>
        </w:tabs>
        <w:ind w:hanging="360" w:left="3948"/>
      </w:pPr>
    </w:lvl>
    <w:lvl w:ilvl="5">
      <w:start w:val="1"/>
      <w:numFmt w:val="lowerRoman"/>
      <w:lvlText w:val="%6."/>
      <w:lvlJc w:val="right"/>
      <w:pPr>
        <w:tabs>
          <w:tab w:pos="0" w:val="num"/>
        </w:tabs>
        <w:ind w:hanging="180" w:left="4668"/>
      </w:pPr>
    </w:lvl>
    <w:lvl w:ilvl="6">
      <w:start w:val="1"/>
      <w:numFmt w:val="decimal"/>
      <w:lvlText w:val="%7."/>
      <w:lvlJc w:val="left"/>
      <w:pPr>
        <w:tabs>
          <w:tab w:pos="0" w:val="num"/>
        </w:tabs>
        <w:ind w:hanging="360" w:left="5388"/>
      </w:pPr>
    </w:lvl>
    <w:lvl w:ilvl="7">
      <w:start w:val="1"/>
      <w:numFmt w:val="lowerLetter"/>
      <w:lvlText w:val="%8."/>
      <w:lvlJc w:val="left"/>
      <w:pPr>
        <w:tabs>
          <w:tab w:pos="0" w:val="num"/>
        </w:tabs>
        <w:ind w:hanging="360" w:left="6108"/>
      </w:pPr>
    </w:lvl>
    <w:lvl w:ilvl="8">
      <w:start w:val="1"/>
      <w:numFmt w:val="lowerRoman"/>
      <w:lvlText w:val="%9."/>
      <w:lvlJc w:val="right"/>
      <w:pPr>
        <w:tabs>
          <w:tab w:pos="0" w:val="num"/>
        </w:tabs>
        <w:ind w:hanging="180" w:left="6828"/>
      </w:pPr>
    </w:lvl>
  </w:abstractNum>
  <w:abstractNum w:abstractNumId="6">
    <w:lvl w:ilvl="0">
      <w:start w:val="1"/>
      <w:numFmt w:val="decimal"/>
      <w:lvlText w:val="%1)"/>
      <w:lvlJc w:val="left"/>
      <w:pPr>
        <w:tabs>
          <w:tab w:pos="0" w:val="num"/>
        </w:tabs>
        <w:ind w:hanging="360" w:left="720"/>
      </w:pPr>
    </w:lvl>
    <w:lvl w:ilvl="1">
      <w:start w:val="1"/>
      <w:numFmt w:val="lowerLetter"/>
      <w:lvlText w:val="%2."/>
      <w:lvlJc w:val="left"/>
      <w:pPr>
        <w:tabs>
          <w:tab w:pos="0" w:val="num"/>
        </w:tabs>
        <w:ind w:hanging="360" w:left="1440"/>
      </w:pPr>
    </w:lvl>
    <w:lvl w:ilvl="2">
      <w:start w:val="1"/>
      <w:numFmt w:val="lowerRoman"/>
      <w:lvlText w:val="%3."/>
      <w:lvlJc w:val="right"/>
      <w:pPr>
        <w:tabs>
          <w:tab w:pos="0" w:val="num"/>
        </w:tabs>
        <w:ind w:hanging="180" w:left="2160"/>
      </w:pPr>
    </w:lvl>
    <w:lvl w:ilvl="3">
      <w:start w:val="1"/>
      <w:numFmt w:val="decimal"/>
      <w:lvlText w:val="%4."/>
      <w:lvlJc w:val="left"/>
      <w:pPr>
        <w:tabs>
          <w:tab w:pos="0" w:val="num"/>
        </w:tabs>
        <w:ind w:hanging="360" w:left="2880"/>
      </w:pPr>
    </w:lvl>
    <w:lvl w:ilvl="4">
      <w:start w:val="1"/>
      <w:numFmt w:val="lowerLetter"/>
      <w:lvlText w:val="%5."/>
      <w:lvlJc w:val="left"/>
      <w:pPr>
        <w:tabs>
          <w:tab w:pos="0" w:val="num"/>
        </w:tabs>
        <w:ind w:hanging="360" w:left="3600"/>
      </w:pPr>
    </w:lvl>
    <w:lvl w:ilvl="5">
      <w:start w:val="1"/>
      <w:numFmt w:val="lowerRoman"/>
      <w:lvlText w:val="%6."/>
      <w:lvlJc w:val="right"/>
      <w:pPr>
        <w:tabs>
          <w:tab w:pos="0" w:val="num"/>
        </w:tabs>
        <w:ind w:hanging="180" w:left="4320"/>
      </w:pPr>
    </w:lvl>
    <w:lvl w:ilvl="6">
      <w:start w:val="1"/>
      <w:numFmt w:val="decimal"/>
      <w:lvlText w:val="%7."/>
      <w:lvlJc w:val="left"/>
      <w:pPr>
        <w:tabs>
          <w:tab w:pos="0" w:val="num"/>
        </w:tabs>
        <w:ind w:hanging="360" w:left="5040"/>
      </w:pPr>
    </w:lvl>
    <w:lvl w:ilvl="7">
      <w:start w:val="1"/>
      <w:numFmt w:val="lowerLetter"/>
      <w:lvlText w:val="%8."/>
      <w:lvlJc w:val="left"/>
      <w:pPr>
        <w:tabs>
          <w:tab w:pos="0" w:val="num"/>
        </w:tabs>
        <w:ind w:hanging="360" w:left="5760"/>
      </w:pPr>
    </w:lvl>
    <w:lvl w:ilvl="8">
      <w:start w:val="1"/>
      <w:numFmt w:val="lowerRoman"/>
      <w:lvlText w:val="%9."/>
      <w:lvlJc w:val="right"/>
      <w:pPr>
        <w:tabs>
          <w:tab w:pos="0" w:val="num"/>
        </w:tabs>
        <w:ind w:hanging="180" w:left="6480"/>
      </w:pPr>
    </w:lvl>
  </w:abstractNum>
  <w:abstractNum w:abstractNumId="7">
    <w:lvl w:ilvl="0">
      <w:start w:val="1"/>
      <w:numFmt w:val="decimal"/>
      <w:lvlText w:val="%1."/>
      <w:lvlJc w:val="left"/>
      <w:pPr>
        <w:tabs>
          <w:tab w:pos="0" w:val="num"/>
        </w:tabs>
        <w:ind w:hanging="360" w:left="720"/>
      </w:pPr>
    </w:lvl>
    <w:lvl w:ilvl="1">
      <w:start w:val="1"/>
      <w:numFmt w:val="lowerLetter"/>
      <w:lvlText w:val="%2."/>
      <w:lvlJc w:val="left"/>
      <w:pPr>
        <w:tabs>
          <w:tab w:pos="0" w:val="num"/>
        </w:tabs>
        <w:ind w:hanging="360" w:left="1440"/>
      </w:pPr>
    </w:lvl>
    <w:lvl w:ilvl="2">
      <w:start w:val="1"/>
      <w:numFmt w:val="lowerRoman"/>
      <w:lvlText w:val="%3."/>
      <w:lvlJc w:val="right"/>
      <w:pPr>
        <w:tabs>
          <w:tab w:pos="0" w:val="num"/>
        </w:tabs>
        <w:ind w:hanging="180" w:left="2160"/>
      </w:pPr>
    </w:lvl>
    <w:lvl w:ilvl="3">
      <w:start w:val="1"/>
      <w:numFmt w:val="decimal"/>
      <w:lvlText w:val="%4."/>
      <w:lvlJc w:val="left"/>
      <w:pPr>
        <w:tabs>
          <w:tab w:pos="0" w:val="num"/>
        </w:tabs>
        <w:ind w:hanging="360" w:left="2880"/>
      </w:pPr>
    </w:lvl>
    <w:lvl w:ilvl="4">
      <w:start w:val="1"/>
      <w:numFmt w:val="lowerLetter"/>
      <w:lvlText w:val="%5."/>
      <w:lvlJc w:val="left"/>
      <w:pPr>
        <w:tabs>
          <w:tab w:pos="0" w:val="num"/>
        </w:tabs>
        <w:ind w:hanging="360" w:left="3600"/>
      </w:pPr>
    </w:lvl>
    <w:lvl w:ilvl="5">
      <w:start w:val="1"/>
      <w:numFmt w:val="lowerRoman"/>
      <w:lvlText w:val="%6."/>
      <w:lvlJc w:val="right"/>
      <w:pPr>
        <w:tabs>
          <w:tab w:pos="0" w:val="num"/>
        </w:tabs>
        <w:ind w:hanging="180" w:left="4320"/>
      </w:pPr>
    </w:lvl>
    <w:lvl w:ilvl="6">
      <w:start w:val="1"/>
      <w:numFmt w:val="decimal"/>
      <w:lvlText w:val="%7."/>
      <w:lvlJc w:val="left"/>
      <w:pPr>
        <w:tabs>
          <w:tab w:pos="0" w:val="num"/>
        </w:tabs>
        <w:ind w:hanging="360" w:left="5040"/>
      </w:pPr>
    </w:lvl>
    <w:lvl w:ilvl="7">
      <w:start w:val="1"/>
      <w:numFmt w:val="lowerLetter"/>
      <w:lvlText w:val="%8."/>
      <w:lvlJc w:val="left"/>
      <w:pPr>
        <w:tabs>
          <w:tab w:pos="0" w:val="num"/>
        </w:tabs>
        <w:ind w:hanging="360" w:left="5760"/>
      </w:pPr>
    </w:lvl>
    <w:lvl w:ilvl="8">
      <w:start w:val="1"/>
      <w:numFmt w:val="lowerRoman"/>
      <w:lvlText w:val="%9."/>
      <w:lvlJc w:val="right"/>
      <w:pPr>
        <w:tabs>
          <w:tab w:pos="0" w:val="num"/>
        </w:tabs>
        <w:ind w:hanging="180" w:left="6480"/>
      </w:pPr>
    </w:lvl>
  </w:abstractNum>
  <w:abstractNum w:abstractNumId="8">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6"/>
    <w:lvlOverride w:ilvl="0">
      <w:startOverride w:val="1"/>
    </w:lvlOverride>
  </w:num>
</w:numbering>
</file>

<file path=word/settings.xml><?xml version="1.0" encoding="utf-8"?>
<w:settings xmlns:w="http://schemas.openxmlformats.org/wordprocessingml/2006/main">
  <w:zoom w:percent="65"/>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pPr>
        <w:suppressAutoHyphens w:val="true"/>
      </w:pPr>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bidi w:val="0"/>
      <w:spacing w:after="0" w:before="0"/>
      <w:jc w:val="left"/>
    </w:pPr>
    <w:rPr>
      <w:rFonts w:ascii="Times New Roman" w:cs="Times New Roman" w:eastAsia="Times New Roman" w:hAnsi="Times New Roman"/>
      <w:color w:val="auto"/>
      <w:kern w:val="0"/>
      <w:sz w:val="24"/>
      <w:szCs w:val="24"/>
      <w:lang w:bidi="ar-SA" w:eastAsia="fr-FR" w:val="fr-FR"/>
    </w:rPr>
  </w:style>
  <w:style w:styleId="Titre1" w:type="paragraph">
    <w:name w:val="Heading 1"/>
    <w:basedOn w:val="Normal"/>
    <w:next w:val="Normal"/>
    <w:qFormat/>
    <w:pPr>
      <w:keepNext w:val="true"/>
      <w:outlineLvl w:val="0"/>
    </w:pPr>
    <w:rPr>
      <w:rFonts w:ascii="Arial" w:cs="Arial" w:hAnsi="Arial"/>
      <w:b/>
      <w:bCs/>
      <w:sz w:val="22"/>
    </w:rPr>
  </w:style>
  <w:style w:default="1" w:styleId="DefaultParagraphFont" w:type="character">
    <w:name w:val="Default Paragraph Font"/>
    <w:uiPriority w:val="1"/>
    <w:semiHidden/>
    <w:unhideWhenUsed/>
    <w:qFormat/>
    <w:rPr/>
  </w:style>
  <w:style w:customStyle="1" w:styleId="HeaderChar" w:type="character">
    <w:name w:val="Header Char"/>
    <w:link w:val="Header"/>
    <w:qFormat/>
    <w:rsid w:val="00286a4a"/>
    <w:rPr>
      <w:sz w:val="24"/>
      <w:szCs w:val="24"/>
    </w:rPr>
  </w:style>
  <w:style w:customStyle="1" w:styleId="FooterChar" w:type="character">
    <w:name w:val="Footer Char"/>
    <w:link w:val="Footer"/>
    <w:uiPriority w:val="99"/>
    <w:qFormat/>
    <w:rsid w:val="00286a4a"/>
    <w:rPr>
      <w:sz w:val="24"/>
      <w:szCs w:val="24"/>
    </w:rPr>
  </w:style>
  <w:style w:styleId="LienInternet" w:type="character">
    <w:name w:val="Lien Internet"/>
    <w:uiPriority w:val="99"/>
    <w:unhideWhenUsed/>
    <w:rsid w:val="005633d0"/>
    <w:rPr>
      <w:color w:val="0000FF"/>
      <w:u w:val="single"/>
    </w:rPr>
  </w:style>
  <w:style w:customStyle="1" w:styleId="Texteel" w:type="character">
    <w:name w:val="texteel"/>
    <w:basedOn w:val="DefaultParagraphFont"/>
    <w:qFormat/>
    <w:rsid w:val="006f26b8"/>
    <w:rPr/>
  </w:style>
  <w:style w:customStyle="1" w:styleId="FootnoteTextChar" w:type="character">
    <w:name w:val="Footnote Text Char"/>
    <w:basedOn w:val="DefaultParagraphFont"/>
    <w:link w:val="FootnoteText"/>
    <w:qFormat/>
    <w:rsid w:val="005d3523"/>
    <w:rPr/>
  </w:style>
  <w:style w:styleId="Ancredenotedebasdepage" w:type="character">
    <w:name w:val="Ancre de note de bas de page"/>
    <w:rPr>
      <w:vertAlign w:val="superscript"/>
    </w:rPr>
  </w:style>
  <w:style w:styleId="FootnoteCharacters" w:type="character">
    <w:name w:val="Footnote Characters"/>
    <w:qFormat/>
    <w:rsid w:val="005d3523"/>
    <w:rPr>
      <w:vertAlign w:val="superscript"/>
    </w:rPr>
  </w:style>
  <w:style w:styleId="Annotationreference" w:type="character">
    <w:name w:val="annotation reference"/>
    <w:basedOn w:val="DefaultParagraphFont"/>
    <w:qFormat/>
    <w:rsid w:val="00e70c19"/>
    <w:rPr>
      <w:sz w:val="16"/>
      <w:szCs w:val="16"/>
    </w:rPr>
  </w:style>
  <w:style w:customStyle="1" w:styleId="CommentTextChar" w:type="character">
    <w:name w:val="Comment Text Char"/>
    <w:basedOn w:val="DefaultParagraphFont"/>
    <w:link w:val="CommentText"/>
    <w:qFormat/>
    <w:rsid w:val="00e70c19"/>
    <w:rPr/>
  </w:style>
  <w:style w:customStyle="1" w:styleId="CommentSubjectChar" w:type="character">
    <w:name w:val="Comment Subject Char"/>
    <w:basedOn w:val="CommentTextChar"/>
    <w:link w:val="CommentSubject"/>
    <w:qFormat/>
    <w:rsid w:val="00e70c19"/>
    <w:rPr>
      <w:b/>
      <w:bCs/>
    </w:rPr>
  </w:style>
  <w:style w:customStyle="1" w:styleId="BodyTextChar" w:type="character">
    <w:name w:val="Body Text Char"/>
    <w:basedOn w:val="DefaultParagraphFont"/>
    <w:link w:val="BodyText"/>
    <w:qFormat/>
    <w:rsid w:val="0065608e"/>
    <w:rPr>
      <w:sz w:val="24"/>
      <w:szCs w:val="24"/>
    </w:rPr>
  </w:style>
  <w:style w:styleId="Titre" w:type="paragraph">
    <w:name w:val="Titre"/>
    <w:basedOn w:val="Normal"/>
    <w:next w:val="Corpsdetexte"/>
    <w:qFormat/>
    <w:pPr>
      <w:keepNext w:val="true"/>
      <w:spacing w:after="120" w:before="240"/>
    </w:pPr>
    <w:rPr>
      <w:rFonts w:ascii="Liberation Sans" w:cs="Arial" w:eastAsia="Microsoft YaHei" w:hAnsi="Liberation Sans"/>
      <w:sz w:val="28"/>
      <w:szCs w:val="28"/>
    </w:rPr>
  </w:style>
  <w:style w:styleId="Corpsdetexte" w:type="paragraph">
    <w:name w:val="Body Text"/>
    <w:basedOn w:val="Normal"/>
    <w:link w:val="BodyTextChar"/>
    <w:unhideWhenUsed/>
    <w:rsid w:val="0065608e"/>
    <w:pPr>
      <w:spacing w:after="120" w:before="0"/>
    </w:pPr>
    <w:rPr/>
  </w:style>
  <w:style w:styleId="Liste" w:type="paragraph">
    <w:name w:val="List"/>
    <w:basedOn w:val="Corpsdetexte"/>
    <w:pPr/>
    <w:rPr>
      <w:rFonts w:cs="Arial"/>
    </w:rPr>
  </w:style>
  <w:style w:styleId="Lgende" w:type="paragraph">
    <w:name w:val="Caption"/>
    <w:basedOn w:val="Normal"/>
    <w:qFormat/>
    <w:pPr>
      <w:suppressLineNumbers/>
      <w:spacing w:after="120" w:before="120"/>
    </w:pPr>
    <w:rPr>
      <w:rFonts w:cs="Arial"/>
      <w:i/>
      <w:iCs/>
      <w:sz w:val="24"/>
      <w:szCs w:val="24"/>
    </w:rPr>
  </w:style>
  <w:style w:styleId="Index" w:type="paragraph">
    <w:name w:val="Index"/>
    <w:basedOn w:val="Normal"/>
    <w:qFormat/>
    <w:pPr>
      <w:suppressLineNumbers/>
    </w:pPr>
    <w:rPr>
      <w:rFonts w:cs="Arial"/>
    </w:rPr>
  </w:style>
  <w:style w:styleId="Retraitdecorpsdetexte" w:type="paragraph">
    <w:name w:val="Body Text Indent"/>
    <w:basedOn w:val="Normal"/>
    <w:pPr>
      <w:ind w:hanging="0" w:left="708"/>
    </w:pPr>
    <w:rPr>
      <w:rFonts w:ascii="Arial" w:cs="Arial" w:hAnsi="Arial"/>
      <w:sz w:val="22"/>
      <w:szCs w:val="20"/>
    </w:rPr>
  </w:style>
  <w:style w:styleId="BalloonText" w:type="paragraph">
    <w:name w:val="Balloon Text"/>
    <w:basedOn w:val="Normal"/>
    <w:semiHidden/>
    <w:qFormat/>
    <w:pPr/>
    <w:rPr>
      <w:rFonts w:ascii="Tahoma" w:cs="Tahoma" w:hAnsi="Tahoma"/>
      <w:sz w:val="16"/>
      <w:szCs w:val="16"/>
    </w:rPr>
  </w:style>
  <w:style w:customStyle="1" w:styleId="Titremarge" w:type="paragraph">
    <w:name w:val="titremarge"/>
    <w:basedOn w:val="Normal"/>
    <w:qFormat/>
    <w:rsid w:val="008f1071"/>
    <w:pPr>
      <w:keepNext w:val="true"/>
      <w:keepLines/>
      <w:tabs>
        <w:tab w:pos="708" w:val="clear"/>
        <w:tab w:leader="none" w:pos="648" w:val="left"/>
      </w:tabs>
      <w:overflowPunct w:val="true"/>
      <w:spacing w:after="240" w:before="240" w:line="288" w:lineRule="exact"/>
      <w:ind w:hanging="0" w:left="851"/>
      <w:jc w:val="both"/>
      <w:textAlignment w:val="baseline"/>
    </w:pPr>
    <w:rPr>
      <w:rFonts w:ascii="Times" w:hAnsi="Times"/>
      <w:b/>
      <w:bCs/>
    </w:rPr>
  </w:style>
  <w:style w:styleId="Entteetpieddepage" w:type="paragraph">
    <w:name w:val="En-tête et pied de page"/>
    <w:basedOn w:val="Normal"/>
    <w:qFormat/>
    <w:pPr/>
    <w:rPr/>
  </w:style>
  <w:style w:styleId="Entte" w:type="paragraph">
    <w:name w:val="Header"/>
    <w:basedOn w:val="Normal"/>
    <w:link w:val="HeaderChar"/>
    <w:rsid w:val="00286a4a"/>
    <w:pPr>
      <w:tabs>
        <w:tab w:pos="708" w:val="clear"/>
        <w:tab w:leader="none" w:pos="4536" w:val="center"/>
        <w:tab w:leader="none" w:pos="9072" w:val="right"/>
      </w:tabs>
    </w:pPr>
    <w:rPr/>
  </w:style>
  <w:style w:styleId="Pieddepage" w:type="paragraph">
    <w:name w:val="Footer"/>
    <w:basedOn w:val="Normal"/>
    <w:link w:val="FooterChar"/>
    <w:uiPriority w:val="99"/>
    <w:rsid w:val="00286a4a"/>
    <w:pPr>
      <w:tabs>
        <w:tab w:pos="708" w:val="clear"/>
        <w:tab w:leader="none" w:pos="4536" w:val="center"/>
        <w:tab w:leader="none" w:pos="9072" w:val="right"/>
      </w:tabs>
    </w:pPr>
    <w:rPr/>
  </w:style>
  <w:style w:styleId="NormalWeb" w:type="paragraph">
    <w:name w:val="Normal (Web)"/>
    <w:basedOn w:val="Normal"/>
    <w:uiPriority w:val="99"/>
    <w:unhideWhenUsed/>
    <w:qFormat/>
    <w:rsid w:val="005633d0"/>
    <w:pPr>
      <w:spacing w:afterAutospacing="1" w:beforeAutospacing="1"/>
    </w:pPr>
    <w:rPr/>
  </w:style>
  <w:style w:customStyle="1" w:styleId="Tilev1" w:type="paragraph">
    <w:name w:val="tilev1"/>
    <w:basedOn w:val="Normal"/>
    <w:qFormat/>
    <w:rsid w:val="006f26b8"/>
    <w:pPr>
      <w:spacing w:afterAutospacing="1" w:beforeAutospacing="1"/>
    </w:pPr>
    <w:rPr/>
  </w:style>
  <w:style w:customStyle="1" w:styleId="Tiident" w:type="paragraph">
    <w:name w:val="tiident"/>
    <w:basedOn w:val="Normal"/>
    <w:qFormat/>
    <w:rsid w:val="006f26b8"/>
    <w:pPr>
      <w:spacing w:afterAutospacing="1" w:beforeAutospacing="1"/>
    </w:pPr>
    <w:rPr/>
  </w:style>
  <w:style w:styleId="Notedebasdepage" w:type="paragraph">
    <w:name w:val="Footnote Text"/>
    <w:basedOn w:val="Normal"/>
    <w:link w:val="FootnoteTextChar"/>
    <w:rsid w:val="005d3523"/>
    <w:pPr/>
    <w:rPr>
      <w:sz w:val="20"/>
      <w:szCs w:val="20"/>
    </w:rPr>
  </w:style>
  <w:style w:styleId="ListParagraph" w:type="paragraph">
    <w:name w:val="List Paragraph"/>
    <w:basedOn w:val="Normal"/>
    <w:uiPriority w:val="34"/>
    <w:qFormat/>
    <w:rsid w:val="003d4ae6"/>
    <w:pPr>
      <w:spacing w:after="0" w:before="0"/>
      <w:ind w:hanging="0" w:left="720"/>
      <w:contextualSpacing/>
    </w:pPr>
    <w:rPr/>
  </w:style>
  <w:style w:styleId="Annotationtext" w:type="paragraph">
    <w:name w:val="annotation text"/>
    <w:basedOn w:val="Normal"/>
    <w:link w:val="CommentTextChar"/>
    <w:qFormat/>
    <w:rsid w:val="00e70c19"/>
    <w:pPr/>
    <w:rPr>
      <w:sz w:val="20"/>
      <w:szCs w:val="20"/>
    </w:rPr>
  </w:style>
  <w:style w:styleId="Annotationsubject" w:type="paragraph">
    <w:name w:val="annotation subject"/>
    <w:basedOn w:val="Annotationtext"/>
    <w:next w:val="Annotationtext"/>
    <w:link w:val="CommentSubjectChar"/>
    <w:qFormat/>
    <w:rsid w:val="00e70c19"/>
    <w:pPr/>
    <w:rPr>
      <w:b/>
      <w:bCs/>
    </w:rPr>
  </w:style>
  <w:style w:customStyle="1" w:styleId="Ydp64edc8a0msonormal" w:type="paragraph">
    <w:name w:val="ydp64edc8a0msonormal"/>
    <w:basedOn w:val="Normal"/>
    <w:qFormat/>
    <w:rsid w:val="001a1aa7"/>
    <w:pPr>
      <w:spacing w:afterAutospacing="1" w:beforeAutospacing="1"/>
    </w:pPr>
    <w:rPr>
      <w:rFonts w:ascii="Calibri" w:cs="Calibri" w:eastAsia="Calibri" w:eastAsiaTheme="minorHAnsi" w:hAnsi="Calibri"/>
      <w:sz w:val="22"/>
      <w:szCs w:val="22"/>
    </w:rPr>
  </w:style>
  <w:style w:styleId="Contenudecadre" w:type="paragraph">
    <w:name w:val="Contenu de cadre"/>
    <w:basedOn w:val="Normal"/>
    <w:qFormat/>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styleId="TableGrid" w:type="table">
    <w:name w:val="Table Grid"/>
    <w:basedOn w:val="TableNormal"/>
    <w:rsid w:val="006c10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customXml/item4.xml" Type="http://schemas.openxmlformats.org/officeDocument/2006/relationships/customXml"/><Relationship Id="rId2" Target="footer1.xml" Type="http://schemas.openxmlformats.org/officeDocument/2006/relationships/footer"/><Relationship Id="rId3" Target="numbering.xml" Type="http://schemas.openxmlformats.org/officeDocument/2006/relationships/numbering"/><Relationship Id="rId4" Target="fontTable.xml" Type="http://schemas.openxmlformats.org/officeDocument/2006/relationships/fontTable"/><Relationship Id="rId5" Target="settings.xml" Type="http://schemas.openxmlformats.org/officeDocument/2006/relationships/settings"/><Relationship Id="rId6" Target="theme/theme1.xml" Type="http://schemas.openxmlformats.org/officeDocument/2006/relationships/theme"/><Relationship Id="rId7" Target="../customXml/item1.xml" Type="http://schemas.openxmlformats.org/officeDocument/2006/relationships/customXml"/><Relationship Id="rId8" Target="../customXml/item2.xml" Type="http://schemas.openxmlformats.org/officeDocument/2006/relationships/customXml"/><Relationship Id="rId9" Target="../customXml/item3.xml" Type="http://schemas.openxmlformats.org/officeDocument/2006/relationships/custom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5186267D57B45834999752D7E57E9" ma:contentTypeVersion="13" ma:contentTypeDescription="Create a new document." ma:contentTypeScope="" ma:versionID="7498ee3f1de7d41dc4fe534f40516149">
  <xsd:schema xmlns:xsd="http://www.w3.org/2001/XMLSchema" xmlns:xs="http://www.w3.org/2001/XMLSchema" xmlns:p="http://schemas.microsoft.com/office/2006/metadata/properties" xmlns:ns3="f9429cd6-56c3-4192-89df-a7aef6556baf" xmlns:ns4="5e69e579-65a3-48e7-b46d-ebc0aab49626" targetNamespace="http://schemas.microsoft.com/office/2006/metadata/properties" ma:root="true" ma:fieldsID="be4a7d047bb1a03a4bfc9dd4ecc51904" ns3:_="" ns4:_="">
    <xsd:import namespace="f9429cd6-56c3-4192-89df-a7aef6556baf"/>
    <xsd:import namespace="5e69e579-65a3-48e7-b46d-ebc0aab4962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429cd6-56c3-4192-89df-a7aef6556ba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69e579-65a3-48e7-b46d-ebc0aab4962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BAC35-27DD-4D9E-9530-F6C52D527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429cd6-56c3-4192-89df-a7aef6556baf"/>
    <ds:schemaRef ds:uri="5e69e579-65a3-48e7-b46d-ebc0aab496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14C85C-C20B-43A9-9407-AB11E5A9AA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D9D9A-6FCE-442B-9B93-736E30847C71}">
  <ds:schemaRefs>
    <ds:schemaRef ds:uri="http://schemas.microsoft.com/sharepoint/v3/contenttype/forms"/>
  </ds:schemaRefs>
</ds:datastoreItem>
</file>

<file path=customXml/itemProps4.xml><?xml version="1.0" encoding="utf-8"?>
<ds:datastoreItem xmlns:ds="http://schemas.openxmlformats.org/officeDocument/2006/customXml" ds:itemID="{4CB62E03-427F-4B97-BBB6-6BC1316C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LibreOffice/7.1.8.1$Windows_X86_64 LibreOffice_project/e1f30c802c3269a1d052614453f260e49458c82c</Application>
  <AppVersion>15.0000</AppVersion>
  <Pages>4</Pages>
  <Words>2174</Words>
  <Characters>10723</Characters>
  <CharactersWithSpaces>12771</CharactersWithSpaces>
  <Paragraphs>146</Paragraphs>
  <Company>CWA</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2022-12-15T11:00:38Z</dcterms:created>
  <dc:language>fr-FR</dc:language>
  <cp:revision>1</cp:revision>
  <dc:title>LCH Clearnet</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0x01010031B5186267D57B45834999752D7E57E9</vt:lpwstr>
  </property>
  <property fmtid="{D5CDD505-2E9C-101B-9397-08002B2CF9AE}" name="_NewReviewCycle" pid="3">
    <vt:lpwstr/>
  </property>
</Properties>
</file>