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0" w:after="120"/>
        <w:rPr>
          <w:rFonts w:ascii="Arial" w:hAnsi="Arial" w:cs="Arial"/>
          <w:color w:val="FF0000"/>
          <w:szCs w:val="22"/>
        </w:rPr>
      </w:pPr>
      <w:r>
        <w:rPr>
          <w:rFonts w:cs="Arial" w:ascii="Arial" w:hAnsi="Arial"/>
          <w:szCs w:val="22"/>
        </w:rPr>
        <w:t xml:space="preserve">ACCORD SALARIAL 2022  </w:t>
      </w:r>
    </w:p>
    <w:p>
      <w:pPr>
        <w:pStyle w:val="Subtitle"/>
        <w:pBdr>
          <w:top w:val="single" w:sz="12" w:space="1" w:color="000000" w:shadow="1"/>
          <w:left w:val="single" w:sz="12" w:space="4" w:color="000000" w:shadow="1"/>
          <w:bottom w:val="single" w:sz="12" w:space="1" w:color="000000" w:shadow="1"/>
          <w:right w:val="single" w:sz="12" w:space="4" w:color="000000" w:shadow="1"/>
        </w:pBdr>
        <w:spacing w:before="120" w:after="120"/>
        <w:ind w:left="709" w:right="567" w:hanging="0"/>
        <w:rPr>
          <w:rFonts w:ascii="Arial" w:hAnsi="Arial" w:cs="Arial"/>
          <w:sz w:val="40"/>
          <w:szCs w:val="22"/>
        </w:rPr>
      </w:pPr>
      <w:r>
        <w:rPr>
          <w:rFonts w:cs="Arial" w:ascii="Arial" w:hAnsi="Arial"/>
          <w:sz w:val="40"/>
          <w:szCs w:val="22"/>
        </w:rPr>
        <w:t xml:space="preserve">Sabena technics DNR </w:t>
      </w:r>
    </w:p>
    <w:p>
      <w:pPr>
        <w:pStyle w:val="Heading1"/>
        <w:numPr>
          <w:ilvl w:val="0"/>
          <w:numId w:val="1"/>
        </w:numPr>
        <w:pBdr>
          <w:top w:val="single" w:sz="12" w:space="1" w:color="000000" w:shadow="1"/>
          <w:left w:val="single" w:sz="12" w:space="4" w:color="000000" w:shadow="1"/>
          <w:bottom w:val="single" w:sz="12" w:space="1" w:color="000000" w:shadow="1"/>
          <w:right w:val="single" w:sz="12" w:space="4" w:color="000000" w:shadow="1"/>
        </w:pBdr>
        <w:ind w:left="709" w:right="567" w:hanging="0"/>
        <w:rPr>
          <w:rFonts w:ascii="Arial" w:hAnsi="Arial" w:cs="Arial"/>
          <w:spacing w:val="20"/>
          <w:sz w:val="22"/>
          <w:szCs w:val="22"/>
        </w:rPr>
      </w:pPr>
      <w:r>
        <w:rPr>
          <w:rFonts w:cs="Arial"/>
          <w:spacing w:val="20"/>
          <w:sz w:val="22"/>
          <w:szCs w:val="22"/>
        </w:rPr>
      </w:r>
    </w:p>
    <w:p>
      <w:pPr>
        <w:pStyle w:val="Normal"/>
        <w:ind w:left="708" w:hanging="708"/>
        <w:jc w:val="both"/>
        <w:rPr>
          <w:rFonts w:ascii="Arial" w:hAnsi="Arial" w:cs="Arial"/>
          <w:spacing w:val="20"/>
          <w:sz w:val="22"/>
          <w:szCs w:val="22"/>
        </w:rPr>
      </w:pPr>
      <w:r>
        <w:rPr>
          <w:rFonts w:cs="Arial" w:ascii="Arial" w:hAnsi="Arial"/>
          <w:spacing w:val="20"/>
          <w:sz w:val="22"/>
          <w:szCs w:val="22"/>
        </w:rPr>
      </w:r>
    </w:p>
    <w:p>
      <w:pPr>
        <w:pStyle w:val="Normal"/>
        <w:ind w:left="708" w:hanging="708"/>
        <w:jc w:val="both"/>
        <w:rPr>
          <w:rFonts w:ascii="Arial" w:hAnsi="Arial" w:cs="Arial"/>
        </w:rPr>
      </w:pPr>
      <w:r>
        <w:rPr>
          <w:rFonts w:cs="Arial" w:ascii="Arial" w:hAnsi="Arial"/>
        </w:rPr>
      </w:r>
    </w:p>
    <w:p>
      <w:pPr>
        <w:pStyle w:val="Normal"/>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Entre les soussignés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r>
    </w:p>
    <w:p>
      <w:pPr>
        <w:pStyle w:val="Normal"/>
        <w:jc w:val="both"/>
        <w:rPr/>
      </w:pPr>
      <w:r>
        <w:rPr>
          <w:rFonts w:eastAsia="Times New Roman" w:cs="Arial" w:ascii="Arial" w:hAnsi="Arial"/>
          <w:sz w:val="26"/>
          <w:szCs w:val="26"/>
          <w:lang w:eastAsia="fr-FR"/>
        </w:rPr>
        <w:t xml:space="preserve">La Société Sabena technics DNR, dont le siège social est situé Aéroport de Pleurtuit Saint-Malo, BP 90154, 35801 Dinard Cédex, représentée par xxx, agissant en qualité de Directeur Général, et xxx, agissant en qualité de Directrice des Ressources Humaines,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r>
    </w:p>
    <w:p>
      <w:pPr>
        <w:pStyle w:val="Normal"/>
        <w:tabs>
          <w:tab w:val="right" w:pos="9840" w:leader="none"/>
        </w:tabs>
        <w:ind w:firstLine="708"/>
        <w:rPr>
          <w:rFonts w:ascii="Arial" w:hAnsi="Arial" w:eastAsia="Times New Roman" w:cs="Arial"/>
          <w:sz w:val="26"/>
          <w:szCs w:val="26"/>
          <w:lang w:eastAsia="fr-FR"/>
        </w:rPr>
      </w:pPr>
      <w:r>
        <w:rPr>
          <w:rFonts w:eastAsia="Times New Roman" w:cs="Arial" w:ascii="Arial" w:hAnsi="Arial"/>
          <w:sz w:val="26"/>
          <w:szCs w:val="26"/>
          <w:lang w:eastAsia="fr-FR"/>
        </w:rPr>
        <w:tab/>
        <w:t>D’une part,</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Et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Les organisations syndicales représentatives ci-après désignées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 xml:space="preserve">F.O, représentée par Mr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 xml:space="preserve">SNMSAC, représentée par Mr </w:t>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r>
    </w:p>
    <w:p>
      <w:pPr>
        <w:pStyle w:val="Normal"/>
        <w:rPr>
          <w:rFonts w:ascii="Arial" w:hAnsi="Arial" w:eastAsia="Times New Roman" w:cs="Arial"/>
          <w:sz w:val="26"/>
          <w:szCs w:val="26"/>
          <w:lang w:eastAsia="fr-FR"/>
        </w:rPr>
      </w:pPr>
      <w:r>
        <w:rPr>
          <w:rFonts w:eastAsia="Times New Roman" w:cs="Arial" w:ascii="Arial" w:hAnsi="Arial"/>
          <w:sz w:val="26"/>
          <w:szCs w:val="26"/>
          <w:lang w:eastAsia="fr-FR"/>
        </w:rPr>
        <w:t>D’autre part.</w:t>
      </w:r>
    </w:p>
    <w:p>
      <w:pPr>
        <w:pStyle w:val="Normal"/>
        <w:rPr>
          <w:rFonts w:ascii="Arial" w:hAnsi="Arial" w:cs="Arial"/>
          <w:sz w:val="26"/>
          <w:szCs w:val="26"/>
        </w:rPr>
      </w:pPr>
      <w:r>
        <w:rPr>
          <w:rFonts w:eastAsia="Arial" w:cs="Arial" w:ascii="Arial" w:hAnsi="Arial"/>
          <w:sz w:val="26"/>
          <w:szCs w:val="26"/>
        </w:rPr>
        <w:t xml:space="preserve"> </w:t>
      </w:r>
    </w:p>
    <w:p>
      <w:pPr>
        <w:pStyle w:val="Normal"/>
        <w:rPr>
          <w:rFonts w:ascii="Arial" w:hAnsi="Arial" w:cs="Arial"/>
          <w:sz w:val="26"/>
          <w:szCs w:val="26"/>
        </w:rPr>
      </w:pPr>
      <w:r>
        <w:rPr>
          <w:rFonts w:cs="Arial" w:ascii="Arial" w:hAnsi="Arial"/>
          <w:sz w:val="26"/>
          <w:szCs w:val="26"/>
        </w:rPr>
      </w:r>
    </w:p>
    <w:p>
      <w:pPr>
        <w:pStyle w:val="Normal"/>
        <w:jc w:val="both"/>
        <w:rPr>
          <w:rFonts w:ascii="Arial" w:hAnsi="Arial" w:cs="Arial"/>
          <w:sz w:val="26"/>
          <w:szCs w:val="26"/>
        </w:rPr>
      </w:pPr>
      <w:r>
        <w:rPr>
          <w:rFonts w:cs="Arial" w:ascii="Arial" w:hAnsi="Arial"/>
          <w:sz w:val="26"/>
          <w:szCs w:val="26"/>
        </w:rPr>
      </w:r>
    </w:p>
    <w:p>
      <w:pPr>
        <w:pStyle w:val="Normal"/>
        <w:jc w:val="both"/>
        <w:rPr>
          <w:rFonts w:ascii="Arial" w:hAnsi="Arial" w:cs="Arial"/>
          <w:sz w:val="26"/>
          <w:szCs w:val="26"/>
        </w:rPr>
      </w:pPr>
      <w:r>
        <w:rPr>
          <w:rFonts w:cs="Arial" w:ascii="Arial" w:hAnsi="Arial"/>
          <w:sz w:val="26"/>
          <w:szCs w:val="26"/>
        </w:rPr>
      </w:r>
    </w:p>
    <w:p>
      <w:pPr>
        <w:pStyle w:val="TextBody"/>
        <w:spacing w:before="120" w:after="120"/>
        <w:rPr>
          <w:rFonts w:ascii="Arial" w:hAnsi="Arial" w:cs="Arial"/>
          <w:sz w:val="26"/>
          <w:szCs w:val="26"/>
        </w:rPr>
      </w:pPr>
      <w:r>
        <w:rPr>
          <w:rFonts w:cs="Arial"/>
          <w:sz w:val="26"/>
          <w:szCs w:val="26"/>
        </w:rPr>
      </w:r>
    </w:p>
    <w:p>
      <w:pPr>
        <w:pStyle w:val="TextBody"/>
        <w:spacing w:before="120" w:after="120"/>
        <w:rPr>
          <w:sz w:val="26"/>
          <w:szCs w:val="26"/>
        </w:rPr>
      </w:pPr>
      <w:r>
        <w:rPr>
          <w:sz w:val="26"/>
          <w:szCs w:val="26"/>
        </w:rPr>
      </w:r>
    </w:p>
    <w:p>
      <w:pPr>
        <w:pStyle w:val="TextBody"/>
        <w:spacing w:before="120" w:after="120"/>
        <w:rPr>
          <w:sz w:val="26"/>
          <w:szCs w:val="26"/>
        </w:rPr>
      </w:pPr>
      <w:r>
        <w:rPr>
          <w:sz w:val="26"/>
          <w:szCs w:val="26"/>
        </w:rPr>
      </w:r>
    </w:p>
    <w:p>
      <w:pPr>
        <w:pStyle w:val="TextBody"/>
        <w:numPr>
          <w:ilvl w:val="0"/>
          <w:numId w:val="5"/>
        </w:numPr>
        <w:spacing w:before="120" w:after="120"/>
        <w:rPr>
          <w:b/>
          <w:b/>
          <w:sz w:val="28"/>
          <w:szCs w:val="26"/>
          <w:u w:val="single"/>
        </w:rPr>
      </w:pPr>
      <w:r>
        <w:rPr>
          <w:b/>
          <w:sz w:val="28"/>
          <w:szCs w:val="26"/>
          <w:u w:val="single"/>
        </w:rPr>
        <w:t>Préambule</w:t>
      </w:r>
    </w:p>
    <w:p>
      <w:pPr>
        <w:pStyle w:val="TextBody"/>
        <w:spacing w:before="120" w:after="120"/>
        <w:rPr/>
      </w:pPr>
      <w:r>
        <w:rPr>
          <w:sz w:val="26"/>
          <w:szCs w:val="26"/>
        </w:rPr>
        <w:t>La Direction et les Organisations Syndicales se sont rencontrées les 25 janvier et les 8, 9 et 15 février 2022 dans le cadre des négociations annuelles obligatoires.</w:t>
      </w:r>
    </w:p>
    <w:p>
      <w:pPr>
        <w:pStyle w:val="TextBody"/>
        <w:spacing w:before="120" w:after="120"/>
        <w:rPr>
          <w:sz w:val="26"/>
          <w:szCs w:val="26"/>
        </w:rPr>
      </w:pPr>
      <w:r>
        <w:rPr>
          <w:sz w:val="26"/>
          <w:szCs w:val="26"/>
        </w:rPr>
        <w:t>Lors de la réunion d’ouverture, il a été présenté aux organisations syndicales :</w:t>
      </w:r>
    </w:p>
    <w:p>
      <w:pPr>
        <w:pStyle w:val="TextBody"/>
        <w:numPr>
          <w:ilvl w:val="0"/>
          <w:numId w:val="10"/>
        </w:numPr>
        <w:spacing w:before="120" w:after="120"/>
        <w:rPr/>
      </w:pPr>
      <w:r>
        <w:rPr>
          <w:b/>
          <w:sz w:val="26"/>
          <w:szCs w:val="26"/>
          <w:u w:val="single"/>
        </w:rPr>
        <w:t>Un bilan des informations sociales</w:t>
      </w:r>
      <w:r>
        <w:rPr>
          <w:sz w:val="26"/>
          <w:szCs w:val="26"/>
        </w:rPr>
        <w:t xml:space="preserve"> : </w:t>
      </w:r>
    </w:p>
    <w:p>
      <w:pPr>
        <w:pStyle w:val="TextBody"/>
        <w:numPr>
          <w:ilvl w:val="0"/>
          <w:numId w:val="8"/>
        </w:numPr>
        <w:ind w:left="1060" w:hanging="357"/>
        <w:rPr>
          <w:sz w:val="26"/>
          <w:szCs w:val="26"/>
        </w:rPr>
      </w:pPr>
      <w:r>
        <w:rPr>
          <w:sz w:val="26"/>
          <w:szCs w:val="26"/>
        </w:rPr>
        <w:t>La politique salariale</w:t>
      </w:r>
    </w:p>
    <w:p>
      <w:pPr>
        <w:pStyle w:val="TextBody"/>
        <w:keepLines/>
        <w:numPr>
          <w:ilvl w:val="0"/>
          <w:numId w:val="8"/>
        </w:numPr>
        <w:ind w:left="1060" w:hanging="357"/>
        <w:rPr>
          <w:sz w:val="26"/>
          <w:szCs w:val="26"/>
        </w:rPr>
      </w:pPr>
      <w:r>
        <w:rPr>
          <w:sz w:val="26"/>
          <w:szCs w:val="26"/>
        </w:rPr>
        <w:t>Les dispositions senior retenues</w:t>
      </w:r>
    </w:p>
    <w:p>
      <w:pPr>
        <w:pStyle w:val="TextBody"/>
        <w:numPr>
          <w:ilvl w:val="0"/>
          <w:numId w:val="8"/>
        </w:numPr>
        <w:ind w:left="1060" w:hanging="357"/>
        <w:rPr>
          <w:sz w:val="26"/>
          <w:szCs w:val="26"/>
        </w:rPr>
      </w:pPr>
      <w:r>
        <w:rPr>
          <w:sz w:val="26"/>
          <w:szCs w:val="26"/>
        </w:rPr>
        <w:t>Un état des indicateurs égalité hommes/femmes dont les niveaux de rémunérations et promotions de l’année 2021</w:t>
      </w:r>
    </w:p>
    <w:p>
      <w:pPr>
        <w:pStyle w:val="TextBody"/>
        <w:numPr>
          <w:ilvl w:val="0"/>
          <w:numId w:val="8"/>
        </w:numPr>
        <w:ind w:left="1060" w:hanging="357"/>
        <w:rPr/>
      </w:pPr>
      <w:r>
        <w:rPr>
          <w:sz w:val="26"/>
          <w:szCs w:val="26"/>
        </w:rPr>
        <w:t>La Gestion Prévisionnelle des Emplois et des Compétences</w:t>
      </w:r>
    </w:p>
    <w:p>
      <w:pPr>
        <w:pStyle w:val="TextBody"/>
        <w:numPr>
          <w:ilvl w:val="0"/>
          <w:numId w:val="8"/>
        </w:numPr>
        <w:ind w:left="1060" w:hanging="357"/>
        <w:rPr>
          <w:sz w:val="26"/>
          <w:szCs w:val="26"/>
        </w:rPr>
      </w:pPr>
      <w:r>
        <w:rPr>
          <w:sz w:val="26"/>
          <w:szCs w:val="26"/>
        </w:rPr>
        <w:t>Le bilan des accords 2021</w:t>
      </w:r>
    </w:p>
    <w:p>
      <w:pPr>
        <w:pStyle w:val="TextBody"/>
        <w:spacing w:before="120" w:after="120"/>
        <w:rPr>
          <w:b/>
          <w:b/>
          <w:sz w:val="26"/>
          <w:szCs w:val="26"/>
          <w:u w:val="single"/>
        </w:rPr>
      </w:pPr>
      <w:r>
        <w:rPr>
          <w:b/>
          <w:sz w:val="26"/>
          <w:szCs w:val="26"/>
          <w:u w:val="single"/>
        </w:rPr>
      </w:r>
    </w:p>
    <w:p>
      <w:pPr>
        <w:pStyle w:val="TextBody"/>
        <w:numPr>
          <w:ilvl w:val="0"/>
          <w:numId w:val="10"/>
        </w:numPr>
        <w:spacing w:before="120" w:after="120"/>
        <w:rPr>
          <w:b/>
          <w:b/>
          <w:sz w:val="26"/>
          <w:szCs w:val="26"/>
          <w:u w:val="single"/>
        </w:rPr>
      </w:pPr>
      <w:r>
        <w:rPr>
          <w:b/>
          <w:sz w:val="26"/>
          <w:szCs w:val="26"/>
          <w:u w:val="single"/>
        </w:rPr>
        <w:t xml:space="preserve">Un point sur le contexte économique rencontré par l’entreprise, à savoir : </w:t>
      </w:r>
    </w:p>
    <w:p>
      <w:pPr>
        <w:pStyle w:val="TextBody"/>
        <w:numPr>
          <w:ilvl w:val="0"/>
          <w:numId w:val="7"/>
        </w:numPr>
        <w:tabs>
          <w:tab w:val="left" w:pos="426" w:leader="none"/>
          <w:tab w:val="left" w:pos="1068" w:leader="none"/>
        </w:tabs>
        <w:spacing w:before="120" w:after="120"/>
        <w:ind w:left="1068" w:hanging="360"/>
        <w:rPr>
          <w:sz w:val="26"/>
          <w:szCs w:val="26"/>
        </w:rPr>
      </w:pPr>
      <w:r>
        <w:rPr>
          <w:sz w:val="26"/>
          <w:szCs w:val="26"/>
        </w:rPr>
        <w:t>Les années 2020 et 2021 ont été marquées par la pandémie du COVID-19. Ses impacts économiques ont été très importants sur le secteur aéronautique compte-tenu du niveau de son impact sur le trafic aérien et de la situation financière des compagnies aériennes</w:t>
      </w:r>
    </w:p>
    <w:p>
      <w:pPr>
        <w:pStyle w:val="TextBody"/>
        <w:numPr>
          <w:ilvl w:val="0"/>
          <w:numId w:val="7"/>
        </w:numPr>
        <w:tabs>
          <w:tab w:val="left" w:pos="426" w:leader="none"/>
          <w:tab w:val="left" w:pos="1068" w:leader="none"/>
        </w:tabs>
        <w:spacing w:before="120" w:after="120"/>
        <w:ind w:left="1068" w:hanging="360"/>
        <w:rPr>
          <w:sz w:val="26"/>
          <w:szCs w:val="26"/>
        </w:rPr>
      </w:pPr>
      <w:r>
        <w:rPr>
          <w:sz w:val="26"/>
          <w:szCs w:val="26"/>
        </w:rPr>
        <w:t>Dans ce contexte, notre société a connu une baisse de -16,2% de son chiffre d’affaire entre 2020 et 2019.</w:t>
      </w:r>
    </w:p>
    <w:p>
      <w:pPr>
        <w:pStyle w:val="TextBody"/>
        <w:numPr>
          <w:ilvl w:val="0"/>
          <w:numId w:val="7"/>
        </w:numPr>
        <w:tabs>
          <w:tab w:val="left" w:pos="426" w:leader="none"/>
          <w:tab w:val="left" w:pos="1068" w:leader="none"/>
        </w:tabs>
        <w:spacing w:before="120" w:after="120"/>
        <w:ind w:left="1068" w:hanging="360"/>
        <w:rPr>
          <w:sz w:val="26"/>
          <w:szCs w:val="26"/>
        </w:rPr>
      </w:pPr>
      <w:r>
        <w:rPr>
          <w:sz w:val="26"/>
          <w:szCs w:val="26"/>
        </w:rPr>
        <w:t>Les résultats provisoires 2021 montrent un retrait du Chiffre d’Affaires de -9% entre le réalisé 2021 et le budget 2021.</w:t>
      </w:r>
    </w:p>
    <w:p>
      <w:pPr>
        <w:pStyle w:val="TextBody"/>
        <w:spacing w:before="120" w:after="120"/>
        <w:ind w:left="708" w:hanging="0"/>
        <w:rPr>
          <w:sz w:val="26"/>
          <w:szCs w:val="26"/>
        </w:rPr>
      </w:pPr>
      <w:r>
        <w:rPr>
          <w:sz w:val="26"/>
          <w:szCs w:val="26"/>
        </w:rPr>
        <w:t>Ceci est une résultante directe:</w:t>
      </w:r>
    </w:p>
    <w:p>
      <w:pPr>
        <w:pStyle w:val="TextBody"/>
        <w:numPr>
          <w:ilvl w:val="0"/>
          <w:numId w:val="9"/>
        </w:numPr>
        <w:tabs>
          <w:tab w:val="left" w:pos="426" w:leader="none"/>
          <w:tab w:val="left" w:pos="1068" w:leader="none"/>
        </w:tabs>
        <w:spacing w:before="120" w:after="120"/>
        <w:ind w:left="1428" w:hanging="360"/>
        <w:rPr>
          <w:sz w:val="26"/>
          <w:szCs w:val="26"/>
        </w:rPr>
      </w:pPr>
      <w:r>
        <w:rPr>
          <w:sz w:val="26"/>
          <w:szCs w:val="26"/>
        </w:rPr>
        <w:t xml:space="preserve">d’une part de la </w:t>
      </w:r>
      <w:r>
        <w:rPr>
          <w:b/>
          <w:bCs/>
          <w:sz w:val="26"/>
          <w:szCs w:val="26"/>
        </w:rPr>
        <w:t>baisse des heures de vols</w:t>
      </w:r>
      <w:r>
        <w:rPr>
          <w:sz w:val="26"/>
          <w:szCs w:val="26"/>
        </w:rPr>
        <w:t xml:space="preserve"> des compagnies aériennes (qui à fin 2021 reste de l’ordre de -20% pour le transport régional par rapport à 2019) et d’un effet lié au </w:t>
      </w:r>
      <w:r>
        <w:rPr>
          <w:b/>
          <w:bCs/>
          <w:sz w:val="26"/>
          <w:szCs w:val="26"/>
        </w:rPr>
        <w:t>remplacement d’avion plus anciens par des avions récents</w:t>
      </w:r>
    </w:p>
    <w:p>
      <w:pPr>
        <w:pStyle w:val="TextBody"/>
        <w:numPr>
          <w:ilvl w:val="0"/>
          <w:numId w:val="9"/>
        </w:numPr>
        <w:tabs>
          <w:tab w:val="left" w:pos="426" w:leader="none"/>
          <w:tab w:val="left" w:pos="1068" w:leader="none"/>
        </w:tabs>
        <w:spacing w:before="120" w:after="120"/>
        <w:ind w:left="1428" w:hanging="360"/>
        <w:rPr>
          <w:sz w:val="26"/>
          <w:szCs w:val="26"/>
        </w:rPr>
      </w:pPr>
      <w:r>
        <w:rPr>
          <w:sz w:val="26"/>
          <w:szCs w:val="26"/>
        </w:rPr>
        <w:t xml:space="preserve">d’autre part par la </w:t>
      </w:r>
      <w:r>
        <w:rPr>
          <w:b/>
          <w:bCs/>
          <w:sz w:val="26"/>
          <w:szCs w:val="26"/>
        </w:rPr>
        <w:t>perte du marché MCO des Falcon 50 de la Marine Nationale</w:t>
      </w:r>
      <w:r>
        <w:rPr>
          <w:sz w:val="26"/>
          <w:szCs w:val="26"/>
        </w:rPr>
        <w:t xml:space="preserve"> qui en année pleine représentait près de 12% du chiffre d’Affaires.</w:t>
      </w:r>
    </w:p>
    <w:p>
      <w:pPr>
        <w:pStyle w:val="TextBody"/>
        <w:spacing w:before="120" w:after="120"/>
        <w:ind w:left="348" w:hanging="0"/>
        <w:rPr>
          <w:sz w:val="26"/>
          <w:szCs w:val="26"/>
        </w:rPr>
      </w:pPr>
      <w:r>
        <w:rPr>
          <w:sz w:val="26"/>
          <w:szCs w:val="26"/>
        </w:rPr>
        <w:t>Le maintien de notre Résultat d’exploitation, malgré une baisse de CA est la résultante directe des efforts de chacun pour optimiser notre outil de production et maitriser nos coûts.</w:t>
      </w:r>
    </w:p>
    <w:p>
      <w:pPr>
        <w:pStyle w:val="TextBody"/>
        <w:spacing w:before="120" w:after="120"/>
        <w:rPr>
          <w:sz w:val="26"/>
          <w:szCs w:val="26"/>
        </w:rPr>
      </w:pPr>
      <w:r>
        <w:rPr>
          <w:sz w:val="26"/>
          <w:szCs w:val="26"/>
        </w:rPr>
      </w:r>
    </w:p>
    <w:p>
      <w:pPr>
        <w:pStyle w:val="TextBody"/>
        <w:spacing w:before="120" w:after="120"/>
        <w:ind w:left="348" w:hanging="0"/>
        <w:rPr>
          <w:b/>
          <w:b/>
          <w:bCs/>
          <w:sz w:val="26"/>
          <w:szCs w:val="26"/>
        </w:rPr>
      </w:pPr>
      <w:r>
        <w:rPr>
          <w:sz w:val="26"/>
          <w:szCs w:val="26"/>
        </w:rPr>
        <w:t xml:space="preserve">En terme de </w:t>
      </w:r>
      <w:r>
        <w:rPr>
          <w:b/>
          <w:sz w:val="26"/>
          <w:szCs w:val="26"/>
          <w:u w:val="single"/>
        </w:rPr>
        <w:t>perspectives,</w:t>
      </w:r>
      <w:r>
        <w:rPr>
          <w:b/>
          <w:sz w:val="26"/>
          <w:szCs w:val="26"/>
        </w:rPr>
        <w:t xml:space="preserve"> </w:t>
      </w:r>
      <w:r>
        <w:rPr>
          <w:sz w:val="26"/>
          <w:szCs w:val="26"/>
        </w:rPr>
        <w:t xml:space="preserve">il a été précisé que l’année 2022 est une année importante avec pour </w:t>
      </w:r>
      <w:r>
        <w:rPr>
          <w:b/>
          <w:bCs/>
          <w:sz w:val="26"/>
          <w:szCs w:val="26"/>
        </w:rPr>
        <w:t>enjeu majeur le renouvellement du marché MCO des avions CN235.</w:t>
      </w:r>
    </w:p>
    <w:p>
      <w:pPr>
        <w:pStyle w:val="TextBody"/>
        <w:spacing w:before="120" w:after="120"/>
        <w:ind w:left="348" w:hanging="0"/>
        <w:rPr>
          <w:b/>
          <w:b/>
          <w:bCs/>
          <w:sz w:val="26"/>
          <w:szCs w:val="26"/>
        </w:rPr>
      </w:pPr>
      <w:r>
        <w:rPr>
          <w:b/>
          <w:bCs/>
          <w:sz w:val="26"/>
          <w:szCs w:val="26"/>
        </w:rPr>
      </w:r>
    </w:p>
    <w:p>
      <w:pPr>
        <w:pStyle w:val="TextBody"/>
        <w:spacing w:before="120" w:after="120"/>
        <w:ind w:left="708" w:hanging="0"/>
        <w:rPr>
          <w:sz w:val="26"/>
          <w:szCs w:val="26"/>
        </w:rPr>
      </w:pPr>
      <w:r>
        <w:rPr>
          <w:sz w:val="26"/>
          <w:szCs w:val="26"/>
        </w:rPr>
        <w:t xml:space="preserve">Ce </w:t>
      </w:r>
      <w:r>
        <w:rPr>
          <w:b/>
          <w:bCs/>
          <w:sz w:val="26"/>
          <w:szCs w:val="26"/>
        </w:rPr>
        <w:t>marché est dimensionnant pour la société</w:t>
      </w:r>
      <w:r>
        <w:rPr>
          <w:sz w:val="26"/>
          <w:szCs w:val="26"/>
        </w:rPr>
        <w:t xml:space="preserve"> à plusieurs titres:</w:t>
      </w:r>
    </w:p>
    <w:p>
      <w:pPr>
        <w:pStyle w:val="TextBody"/>
        <w:numPr>
          <w:ilvl w:val="0"/>
          <w:numId w:val="3"/>
        </w:numPr>
        <w:spacing w:before="120" w:after="120"/>
        <w:ind w:left="1428" w:hanging="360"/>
        <w:rPr>
          <w:sz w:val="26"/>
          <w:szCs w:val="26"/>
        </w:rPr>
      </w:pPr>
      <w:r>
        <w:rPr>
          <w:sz w:val="26"/>
          <w:szCs w:val="26"/>
        </w:rPr>
        <w:t xml:space="preserve">Il </w:t>
      </w:r>
      <w:r>
        <w:rPr>
          <w:bCs/>
          <w:sz w:val="26"/>
          <w:szCs w:val="26"/>
        </w:rPr>
        <w:t>mobilise près de 100 personnes sur notre site de Dinard, Evreux et Cayenne</w:t>
      </w:r>
      <w:r>
        <w:rPr>
          <w:sz w:val="26"/>
          <w:szCs w:val="26"/>
        </w:rPr>
        <w:t xml:space="preserve"> et 35 personnes dans le pacifique</w:t>
      </w:r>
    </w:p>
    <w:p>
      <w:pPr>
        <w:pStyle w:val="TextBody"/>
        <w:numPr>
          <w:ilvl w:val="0"/>
          <w:numId w:val="3"/>
        </w:numPr>
        <w:spacing w:before="120" w:after="120"/>
        <w:ind w:left="1428" w:hanging="360"/>
        <w:rPr>
          <w:sz w:val="26"/>
          <w:szCs w:val="26"/>
        </w:rPr>
      </w:pPr>
      <w:r>
        <w:rPr>
          <w:sz w:val="26"/>
          <w:szCs w:val="26"/>
        </w:rPr>
        <w:t>Il représente ces dernières années près de 15% de notre chiffre d’Affaires</w:t>
      </w:r>
    </w:p>
    <w:p>
      <w:pPr>
        <w:pStyle w:val="TextBody"/>
        <w:numPr>
          <w:ilvl w:val="0"/>
          <w:numId w:val="3"/>
        </w:numPr>
        <w:spacing w:before="120" w:after="120"/>
        <w:ind w:left="1428" w:hanging="360"/>
        <w:rPr>
          <w:sz w:val="26"/>
          <w:szCs w:val="26"/>
        </w:rPr>
      </w:pPr>
      <w:r>
        <w:rPr>
          <w:sz w:val="26"/>
          <w:szCs w:val="26"/>
        </w:rPr>
        <w:t>Le futur marché MCO, d’une durée de 10 ans, permettrait:</w:t>
      </w:r>
    </w:p>
    <w:p>
      <w:pPr>
        <w:pStyle w:val="TextBody"/>
        <w:numPr>
          <w:ilvl w:val="1"/>
          <w:numId w:val="3"/>
        </w:numPr>
        <w:spacing w:before="120" w:after="120"/>
        <w:ind w:left="2148" w:hanging="360"/>
        <w:rPr>
          <w:sz w:val="26"/>
          <w:szCs w:val="26"/>
        </w:rPr>
      </w:pPr>
      <w:r>
        <w:rPr>
          <w:sz w:val="26"/>
          <w:szCs w:val="26"/>
        </w:rPr>
        <w:t xml:space="preserve">Une vision et un investissement sur le long terme </w:t>
      </w:r>
    </w:p>
    <w:p>
      <w:pPr>
        <w:pStyle w:val="TextBody"/>
        <w:numPr>
          <w:ilvl w:val="1"/>
          <w:numId w:val="3"/>
        </w:numPr>
        <w:spacing w:before="120" w:after="120"/>
        <w:ind w:left="2148" w:hanging="360"/>
        <w:rPr>
          <w:sz w:val="26"/>
          <w:szCs w:val="26"/>
        </w:rPr>
      </w:pPr>
      <w:r>
        <w:rPr>
          <w:sz w:val="26"/>
          <w:szCs w:val="26"/>
        </w:rPr>
        <w:t>Un développement de nos activités car nous serions en prime, notamment sur les activités support Engineering, CAMO, logistique et réparation équipements</w:t>
      </w:r>
    </w:p>
    <w:p>
      <w:pPr>
        <w:pStyle w:val="TextBody"/>
        <w:numPr>
          <w:ilvl w:val="1"/>
          <w:numId w:val="3"/>
        </w:numPr>
        <w:spacing w:before="120" w:after="120"/>
        <w:ind w:left="2148" w:hanging="360"/>
        <w:rPr>
          <w:sz w:val="26"/>
          <w:szCs w:val="26"/>
        </w:rPr>
      </w:pPr>
      <w:r>
        <w:rPr>
          <w:sz w:val="26"/>
          <w:szCs w:val="26"/>
        </w:rPr>
        <w:t>De capitaliser sur nos savoir-faire et compétences, investir sur la formation de nos personnels et structurer encore mieux nos activités industrielles.</w:t>
      </w:r>
    </w:p>
    <w:p>
      <w:pPr>
        <w:pStyle w:val="TextBody"/>
        <w:spacing w:before="120" w:after="120"/>
        <w:ind w:left="426" w:hanging="0"/>
        <w:rPr>
          <w:sz w:val="26"/>
          <w:szCs w:val="26"/>
        </w:rPr>
      </w:pPr>
      <w:r>
        <w:rPr>
          <w:sz w:val="26"/>
          <w:szCs w:val="26"/>
        </w:rPr>
        <w:t>Les chantiers ATL2 et ABE NG permettent de construire un socle de notre activité AFM, malgré un nombre d’heures de maintenance développées relativement faible. D’où la nécessité de consolider de l’activité Airframe CN235 et ATR</w:t>
      </w:r>
    </w:p>
    <w:p>
      <w:pPr>
        <w:pStyle w:val="TextBody"/>
        <w:spacing w:before="120" w:after="120"/>
        <w:ind w:left="426" w:hanging="0"/>
        <w:rPr>
          <w:sz w:val="26"/>
          <w:szCs w:val="26"/>
        </w:rPr>
      </w:pPr>
      <w:r>
        <w:rPr>
          <w:sz w:val="26"/>
          <w:szCs w:val="26"/>
        </w:rPr>
        <w:t>Nos activités Component Civil et Contrats PBH continuent de se développer progressivement, malgré la baisse constatée des heures de vol lié à la pandémie. La crise de ces deux dernières années a permis de démontrer notre résilience forte et le gain de parts de marché.</w:t>
      </w:r>
    </w:p>
    <w:p>
      <w:pPr>
        <w:pStyle w:val="TextBody"/>
        <w:spacing w:before="120" w:after="120"/>
        <w:rPr>
          <w:sz w:val="26"/>
          <w:szCs w:val="26"/>
        </w:rPr>
      </w:pPr>
      <w:r>
        <w:rPr>
          <w:sz w:val="26"/>
          <w:szCs w:val="26"/>
        </w:rPr>
      </w:r>
    </w:p>
    <w:p>
      <w:pPr>
        <w:pStyle w:val="TextBody"/>
        <w:numPr>
          <w:ilvl w:val="0"/>
          <w:numId w:val="10"/>
        </w:numPr>
        <w:rPr>
          <w:b/>
          <w:b/>
          <w:sz w:val="26"/>
          <w:szCs w:val="26"/>
          <w:u w:val="single"/>
        </w:rPr>
      </w:pPr>
      <w:r>
        <w:rPr>
          <w:b/>
          <w:sz w:val="26"/>
          <w:szCs w:val="26"/>
          <w:u w:val="single"/>
        </w:rPr>
        <w:t>Concernant les mesures sociales :</w:t>
      </w:r>
    </w:p>
    <w:p>
      <w:pPr>
        <w:pStyle w:val="TextBody"/>
        <w:spacing w:before="120" w:after="120"/>
        <w:ind w:left="360" w:hanging="0"/>
        <w:rPr/>
      </w:pPr>
      <w:r>
        <w:rPr>
          <w:rFonts w:eastAsia="Calibri"/>
          <w:sz w:val="26"/>
          <w:szCs w:val="26"/>
          <w:lang w:eastAsia="en-US"/>
        </w:rPr>
        <w:t>Il a été rappelé la mise en place d’une prime PEPA de 300 € en 2020 et de 1000 € en 2021 permettant de soutenir le pouvoir d’achat des collaborateurs.</w:t>
      </w:r>
    </w:p>
    <w:p>
      <w:pPr>
        <w:pStyle w:val="TextBody"/>
        <w:spacing w:before="120" w:after="120"/>
        <w:ind w:left="360" w:hanging="0"/>
        <w:rPr/>
      </w:pPr>
      <w:r>
        <w:rPr>
          <w:rFonts w:eastAsia="Calibri"/>
          <w:sz w:val="26"/>
          <w:szCs w:val="26"/>
          <w:lang w:eastAsia="en-US"/>
        </w:rPr>
        <w:t>Pour cette année 2022, la Direction a souhaité commencer les NAO au plus tôt, afin d’une part de rendre les mesures d’augmentations générales effectives au plus tôt, et d’autre part figer les hypothèses de coûts pour la réponse à l’appel d’offre du MCO des CN235 dont le dénouement ne se fera qu’à l’été 2022.</w:t>
      </w:r>
    </w:p>
    <w:p>
      <w:pPr>
        <w:pStyle w:val="Paragraphedeliste"/>
        <w:ind w:left="0" w:hanging="0"/>
        <w:jc w:val="both"/>
        <w:rPr>
          <w:rFonts w:ascii="Arial" w:hAnsi="Arial" w:eastAsia="Calibri" w:cs="Arial"/>
          <w:bCs/>
          <w:sz w:val="26"/>
          <w:szCs w:val="26"/>
          <w:lang w:eastAsia="en-US"/>
        </w:rPr>
      </w:pPr>
      <w:r>
        <w:rPr>
          <w:rFonts w:eastAsia="Calibri" w:cs="Arial" w:ascii="Arial" w:hAnsi="Arial"/>
          <w:bCs/>
          <w:sz w:val="26"/>
          <w:szCs w:val="26"/>
          <w:lang w:eastAsia="en-US"/>
        </w:rPr>
      </w:r>
      <w:r>
        <w:br w:type="page"/>
      </w:r>
    </w:p>
    <w:p>
      <w:pPr>
        <w:pStyle w:val="Paragraphedeliste"/>
        <w:ind w:left="0" w:hanging="0"/>
        <w:jc w:val="both"/>
        <w:rPr>
          <w:rFonts w:ascii="Arial" w:hAnsi="Arial" w:cs="Arial"/>
          <w:bCs/>
          <w:sz w:val="26"/>
          <w:szCs w:val="26"/>
        </w:rPr>
      </w:pPr>
      <w:r>
        <w:rPr>
          <w:rFonts w:cs="Arial" w:ascii="Arial" w:hAnsi="Arial"/>
          <w:bCs/>
          <w:sz w:val="26"/>
          <w:szCs w:val="26"/>
        </w:rPr>
      </w:r>
    </w:p>
    <w:p>
      <w:pPr>
        <w:pStyle w:val="TextBody"/>
        <w:numPr>
          <w:ilvl w:val="0"/>
          <w:numId w:val="5"/>
        </w:numPr>
        <w:spacing w:before="120" w:after="120"/>
        <w:rPr/>
      </w:pPr>
      <w:r>
        <w:rPr>
          <w:b/>
          <w:sz w:val="28"/>
          <w:szCs w:val="26"/>
          <w:u w:val="single"/>
        </w:rPr>
        <w:t>Négociations salariales 2022</w:t>
      </w:r>
    </w:p>
    <w:p>
      <w:pPr>
        <w:pStyle w:val="Paragraphedeliste"/>
        <w:ind w:left="360" w:hanging="0"/>
        <w:jc w:val="both"/>
        <w:rPr>
          <w:rFonts w:ascii="Arial" w:hAnsi="Arial" w:cs="Arial"/>
          <w:b/>
          <w:b/>
          <w:bCs/>
          <w:sz w:val="26"/>
          <w:szCs w:val="26"/>
          <w:u w:val="single"/>
        </w:rPr>
      </w:pPr>
      <w:r>
        <w:rPr>
          <w:rFonts w:cs="Arial" w:ascii="Arial" w:hAnsi="Arial"/>
          <w:b/>
          <w:bCs/>
          <w:sz w:val="26"/>
          <w:szCs w:val="26"/>
          <w:u w:val="single"/>
        </w:rPr>
      </w:r>
    </w:p>
    <w:p>
      <w:pPr>
        <w:pStyle w:val="Paragraphedeliste"/>
        <w:ind w:left="0" w:hanging="0"/>
        <w:jc w:val="both"/>
        <w:rPr>
          <w:rFonts w:ascii="Arial" w:hAnsi="Arial" w:cs="Arial"/>
          <w:bCs/>
          <w:sz w:val="26"/>
          <w:szCs w:val="26"/>
        </w:rPr>
      </w:pPr>
      <w:r>
        <w:rPr>
          <w:rFonts w:cs="Arial" w:ascii="Arial" w:hAnsi="Arial"/>
          <w:bCs/>
          <w:sz w:val="26"/>
          <w:szCs w:val="26"/>
        </w:rPr>
        <w:t>Le niveau d’inflation indiqué par l’INSEE pour l’année 2021 est de 1,6%.</w:t>
      </w:r>
    </w:p>
    <w:p>
      <w:pPr>
        <w:pStyle w:val="Paragraphedeliste"/>
        <w:ind w:left="0" w:hanging="0"/>
        <w:jc w:val="both"/>
        <w:rPr>
          <w:rFonts w:ascii="Arial" w:hAnsi="Arial" w:cs="Arial"/>
          <w:bCs/>
          <w:sz w:val="26"/>
          <w:szCs w:val="26"/>
        </w:rPr>
      </w:pPr>
      <w:r>
        <w:rPr>
          <w:rFonts w:cs="Arial" w:ascii="Arial" w:hAnsi="Arial"/>
          <w:bCs/>
          <w:sz w:val="26"/>
          <w:szCs w:val="26"/>
        </w:rPr>
      </w:r>
    </w:p>
    <w:p>
      <w:pPr>
        <w:pStyle w:val="Paragraphedeliste"/>
        <w:ind w:left="0" w:hanging="0"/>
        <w:jc w:val="both"/>
        <w:rPr/>
      </w:pPr>
      <w:r>
        <w:rPr>
          <w:rFonts w:cs="Arial" w:ascii="Arial" w:hAnsi="Arial"/>
          <w:bCs/>
          <w:sz w:val="26"/>
          <w:szCs w:val="26"/>
        </w:rPr>
        <w:t>Aussi, lors de la réunion du 25 Janvier 2021, la Direction a proposé d’appliquer :</w:t>
      </w:r>
    </w:p>
    <w:p>
      <w:pPr>
        <w:pStyle w:val="Paragraphedeliste"/>
        <w:numPr>
          <w:ilvl w:val="0"/>
          <w:numId w:val="6"/>
        </w:numPr>
        <w:jc w:val="both"/>
        <w:rPr>
          <w:rFonts w:ascii="Arial" w:hAnsi="Arial" w:cs="Arial"/>
          <w:bCs/>
          <w:sz w:val="26"/>
          <w:szCs w:val="26"/>
        </w:rPr>
      </w:pPr>
      <w:r>
        <w:rPr>
          <w:rFonts w:cs="Arial" w:ascii="Arial" w:hAnsi="Arial"/>
          <w:bCs/>
          <w:sz w:val="26"/>
          <w:szCs w:val="26"/>
        </w:rPr>
        <w:t>Une Augmentation Générale de 1,8% applicable à compter 1</w:t>
      </w:r>
      <w:r>
        <w:rPr>
          <w:rFonts w:cs="Arial" w:ascii="Arial" w:hAnsi="Arial"/>
          <w:bCs/>
          <w:sz w:val="26"/>
          <w:szCs w:val="26"/>
          <w:vertAlign w:val="superscript"/>
        </w:rPr>
        <w:t>er</w:t>
      </w:r>
      <w:r>
        <w:rPr>
          <w:rFonts w:cs="Arial" w:ascii="Arial" w:hAnsi="Arial"/>
          <w:bCs/>
          <w:sz w:val="26"/>
          <w:szCs w:val="26"/>
        </w:rPr>
        <w:t xml:space="preserve"> Février 2022, pour tout salarié dont le salaire annuel brut serait inférieur à 65 000 €;</w:t>
      </w:r>
    </w:p>
    <w:p>
      <w:pPr>
        <w:pStyle w:val="Paragraphedeliste"/>
        <w:ind w:left="0" w:hanging="0"/>
        <w:jc w:val="both"/>
        <w:rPr>
          <w:rFonts w:ascii="Arial" w:hAnsi="Arial" w:cs="Arial"/>
          <w:b/>
          <w:b/>
          <w:bCs/>
          <w:sz w:val="26"/>
          <w:szCs w:val="26"/>
          <w:u w:val="single"/>
        </w:rPr>
      </w:pPr>
      <w:r>
        <w:rPr>
          <w:rFonts w:cs="Arial" w:ascii="Arial" w:hAnsi="Arial"/>
          <w:b/>
          <w:bCs/>
          <w:sz w:val="26"/>
          <w:szCs w:val="26"/>
          <w:u w:val="single"/>
        </w:rPr>
      </w:r>
    </w:p>
    <w:p>
      <w:pPr>
        <w:pStyle w:val="Paragraphedeliste"/>
        <w:ind w:left="0" w:hanging="0"/>
        <w:jc w:val="both"/>
        <w:rPr>
          <w:rFonts w:ascii="Arial" w:hAnsi="Arial" w:cs="Arial"/>
          <w:bCs/>
          <w:sz w:val="26"/>
          <w:szCs w:val="26"/>
        </w:rPr>
      </w:pPr>
      <w:r>
        <w:rPr>
          <w:rFonts w:cs="Arial" w:ascii="Arial" w:hAnsi="Arial"/>
          <w:bCs/>
          <w:sz w:val="26"/>
          <w:szCs w:val="26"/>
        </w:rPr>
        <w:t xml:space="preserve">Le lundi 31 Janvier 2022, les organisations syndicales ont fait part de leurs attentes : </w:t>
      </w:r>
    </w:p>
    <w:p>
      <w:pPr>
        <w:pStyle w:val="Paragraphedeliste"/>
        <w:numPr>
          <w:ilvl w:val="0"/>
          <w:numId w:val="2"/>
        </w:numPr>
        <w:jc w:val="both"/>
        <w:rPr>
          <w:rFonts w:ascii="Arial" w:hAnsi="Arial" w:cs="Arial"/>
          <w:bCs/>
          <w:sz w:val="26"/>
          <w:szCs w:val="26"/>
        </w:rPr>
      </w:pPr>
      <w:r>
        <w:rPr>
          <w:rFonts w:cs="Arial" w:ascii="Arial" w:hAnsi="Arial"/>
          <w:bCs/>
          <w:sz w:val="26"/>
          <w:szCs w:val="26"/>
        </w:rPr>
        <w:t>Une augmentation générale de 5,5% des salaires</w:t>
      </w:r>
    </w:p>
    <w:p>
      <w:pPr>
        <w:pStyle w:val="Paragraphedeliste"/>
        <w:numPr>
          <w:ilvl w:val="0"/>
          <w:numId w:val="2"/>
        </w:numPr>
        <w:jc w:val="both"/>
        <w:rPr>
          <w:rFonts w:ascii="Arial" w:hAnsi="Arial" w:cs="Arial"/>
          <w:bCs/>
          <w:sz w:val="26"/>
          <w:szCs w:val="26"/>
        </w:rPr>
      </w:pPr>
      <w:r>
        <w:rPr>
          <w:rFonts w:cs="Arial" w:ascii="Arial" w:hAnsi="Arial"/>
          <w:bCs/>
          <w:sz w:val="26"/>
          <w:szCs w:val="26"/>
        </w:rPr>
        <w:t>Une modification de l’accord horaire variable, permettant une plage de flexibilité de 30mn au lieu de 15mn pour les salariés qui ne sont pas en équipes et non concernés par l’accord de modulation</w:t>
      </w:r>
    </w:p>
    <w:p>
      <w:pPr>
        <w:pStyle w:val="Paragraphedeliste"/>
        <w:numPr>
          <w:ilvl w:val="0"/>
          <w:numId w:val="2"/>
        </w:numPr>
        <w:jc w:val="both"/>
        <w:rPr>
          <w:rFonts w:ascii="Arial" w:hAnsi="Arial" w:cs="Arial"/>
          <w:bCs/>
          <w:sz w:val="26"/>
          <w:szCs w:val="26"/>
        </w:rPr>
      </w:pPr>
      <w:r>
        <w:rPr>
          <w:rFonts w:cs="Arial" w:ascii="Arial" w:hAnsi="Arial"/>
          <w:bCs/>
          <w:sz w:val="26"/>
          <w:szCs w:val="26"/>
        </w:rPr>
        <w:t>Une évolution de l’indice 185 à celui du 195</w:t>
      </w:r>
    </w:p>
    <w:p>
      <w:pPr>
        <w:pStyle w:val="Paragraphedeliste"/>
        <w:ind w:left="0" w:hanging="0"/>
        <w:jc w:val="both"/>
        <w:rPr>
          <w:rFonts w:ascii="Arial" w:hAnsi="Arial" w:cs="Arial"/>
          <w:bCs/>
          <w:sz w:val="26"/>
          <w:szCs w:val="26"/>
        </w:rPr>
      </w:pPr>
      <w:r>
        <w:rPr>
          <w:rFonts w:cs="Arial" w:ascii="Arial" w:hAnsi="Arial"/>
          <w:bCs/>
          <w:sz w:val="26"/>
          <w:szCs w:val="26"/>
        </w:rPr>
      </w:r>
    </w:p>
    <w:p>
      <w:pPr>
        <w:pStyle w:val="Paragraphedeliste"/>
        <w:ind w:left="0" w:hanging="0"/>
        <w:jc w:val="both"/>
        <w:rPr>
          <w:rFonts w:ascii="Arial" w:hAnsi="Arial" w:cs="Arial"/>
          <w:bCs/>
          <w:sz w:val="26"/>
          <w:szCs w:val="26"/>
        </w:rPr>
      </w:pPr>
      <w:r>
        <w:rPr>
          <w:rFonts w:cs="Arial" w:ascii="Arial" w:hAnsi="Arial"/>
          <w:bCs/>
          <w:sz w:val="26"/>
          <w:szCs w:val="26"/>
        </w:rPr>
        <w:t xml:space="preserve">Lors des réunions suivantes les organisations syndicales ont souhaité maintenir un pourcentage d’augmentation additionné d’un talon de sorte à ne pas provoquer un effet de tassement entre les salaires. </w:t>
      </w:r>
    </w:p>
    <w:p>
      <w:pPr>
        <w:pStyle w:val="Paragraphedeliste"/>
        <w:ind w:left="0" w:hanging="0"/>
        <w:jc w:val="both"/>
        <w:rPr>
          <w:rFonts w:ascii="Arial" w:hAnsi="Arial" w:cs="Arial"/>
          <w:bCs/>
          <w:sz w:val="26"/>
          <w:szCs w:val="26"/>
        </w:rPr>
      </w:pPr>
      <w:r>
        <w:rPr>
          <w:rFonts w:cs="Arial" w:ascii="Arial" w:hAnsi="Arial"/>
          <w:bCs/>
          <w:sz w:val="26"/>
          <w:szCs w:val="26"/>
        </w:rPr>
        <w:t>Il a été également demandé à la Direction de prendre en charge une part mutuelle supérieure à celle des 50% actuel.</w:t>
      </w:r>
    </w:p>
    <w:p>
      <w:pPr>
        <w:pStyle w:val="Paragraphedeliste"/>
        <w:ind w:left="0" w:hanging="0"/>
        <w:jc w:val="both"/>
        <w:rPr>
          <w:rFonts w:ascii="Arial" w:hAnsi="Arial" w:cs="Arial"/>
          <w:bCs/>
          <w:color w:val="FF0000"/>
          <w:sz w:val="26"/>
          <w:szCs w:val="26"/>
        </w:rPr>
      </w:pPr>
      <w:r>
        <w:rPr>
          <w:rFonts w:cs="Arial" w:ascii="Arial" w:hAnsi="Arial"/>
          <w:bCs/>
          <w:color w:val="FF0000"/>
          <w:sz w:val="26"/>
          <w:szCs w:val="26"/>
        </w:rPr>
      </w:r>
    </w:p>
    <w:p>
      <w:pPr>
        <w:pStyle w:val="Paragraphedeliste"/>
        <w:ind w:left="0" w:hanging="0"/>
        <w:jc w:val="both"/>
        <w:rPr/>
      </w:pPr>
      <w:r>
        <w:rPr>
          <w:rFonts w:cs="Arial" w:ascii="Arial" w:hAnsi="Arial"/>
          <w:bCs/>
          <w:sz w:val="26"/>
          <w:szCs w:val="26"/>
        </w:rPr>
        <w:t xml:space="preserve">Concernant la mesure relative à une modification de l’accord horaire variable, il a été réaffirmé (tel qu’indiqué lors du CSE du mois de janvier 2022) le maintien de l’esprit de cet accord qui était de permettre une souplesse dans l’organisation des horaires notamment en cas d’arrivée après l’horaire programmé, de permettre la possible réduction/extension de la plage de pause du midi pour le personnel support et définir des règles applicables de façon uniforme pour les chefs de service afin d’éviter des différences de traitement et simplifier les validation horaire. </w:t>
      </w:r>
    </w:p>
    <w:p>
      <w:pPr>
        <w:pStyle w:val="Paragraphedeliste"/>
        <w:ind w:left="0" w:hanging="0"/>
        <w:jc w:val="both"/>
        <w:rPr>
          <w:rFonts w:ascii="Arial" w:hAnsi="Arial" w:cs="Arial"/>
          <w:bCs/>
          <w:sz w:val="26"/>
          <w:szCs w:val="26"/>
        </w:rPr>
      </w:pPr>
      <w:r>
        <w:rPr>
          <w:rFonts w:cs="Arial" w:ascii="Arial" w:hAnsi="Arial"/>
          <w:bCs/>
          <w:sz w:val="26"/>
          <w:szCs w:val="26"/>
        </w:rPr>
        <w:t xml:space="preserve">Il n’est donc pas envisageable de l’additionner d’une nouveau un compteur de temps, ni de désorganiser l’amplitude horaire de la journée de travail à la fois pour l’équipe, la hiérarchie et les relations internes ou externes. </w:t>
      </w:r>
    </w:p>
    <w:p>
      <w:pPr>
        <w:pStyle w:val="Paragraphedeliste"/>
        <w:ind w:left="0" w:hanging="0"/>
        <w:jc w:val="both"/>
        <w:rPr>
          <w:rFonts w:ascii="Arial" w:hAnsi="Arial" w:cs="Arial"/>
          <w:bCs/>
          <w:color w:val="FF0000"/>
          <w:sz w:val="26"/>
          <w:szCs w:val="26"/>
        </w:rPr>
      </w:pPr>
      <w:r>
        <w:rPr>
          <w:rFonts w:cs="Arial" w:ascii="Arial" w:hAnsi="Arial"/>
          <w:bCs/>
          <w:color w:val="FF0000"/>
          <w:sz w:val="26"/>
          <w:szCs w:val="26"/>
        </w:rPr>
      </w:r>
    </w:p>
    <w:p>
      <w:pPr>
        <w:pStyle w:val="Paragraphedeliste"/>
        <w:ind w:left="0" w:hanging="0"/>
        <w:jc w:val="both"/>
        <w:rPr>
          <w:rFonts w:ascii="Arial" w:hAnsi="Arial" w:cs="Arial"/>
          <w:bCs/>
          <w:color w:val="FF0000"/>
          <w:sz w:val="26"/>
          <w:szCs w:val="26"/>
        </w:rPr>
      </w:pPr>
      <w:r>
        <w:rPr>
          <w:rFonts w:cs="Arial" w:ascii="Arial" w:hAnsi="Arial"/>
          <w:bCs/>
          <w:sz w:val="26"/>
          <w:szCs w:val="26"/>
        </w:rPr>
        <w:t>Concernant la mesure demandant l’évolution de l’indice 185 à celui du 195, celle-ci ne peut en aucun cas faire l’objet d’une règle automatique mais bien d’une évaluation des compétences et de l’autonomie sur la fonction. Il est toutefois indiqué qu’une attention particulière sera apportée à ces coefficients pour les personnes pouvant prétendre à passer à l’indice supérieur.</w:t>
      </w:r>
    </w:p>
    <w:p>
      <w:pPr>
        <w:pStyle w:val="Paragraphedeliste"/>
        <w:ind w:left="0" w:hanging="0"/>
        <w:jc w:val="both"/>
        <w:rPr>
          <w:rFonts w:ascii="Arial" w:hAnsi="Arial" w:cs="Arial"/>
          <w:bCs/>
          <w:sz w:val="26"/>
          <w:szCs w:val="26"/>
        </w:rPr>
      </w:pPr>
      <w:r>
        <w:rPr>
          <w:rFonts w:cs="Arial" w:ascii="Arial" w:hAnsi="Arial"/>
          <w:bCs/>
          <w:color w:val="FF0000"/>
          <w:sz w:val="26"/>
          <w:szCs w:val="26"/>
        </w:rPr>
        <w:br/>
      </w:r>
      <w:r>
        <w:rPr>
          <w:rFonts w:cs="Arial" w:ascii="Arial" w:hAnsi="Arial"/>
          <w:sz w:val="26"/>
          <w:szCs w:val="26"/>
        </w:rPr>
        <w:t>Pour les autres requêtes sollicitées, la Direction et les Organisations Syndicales ont donc conclus pour a</w:t>
      </w:r>
      <w:r>
        <w:rPr>
          <w:rFonts w:cs="Arial" w:ascii="Arial" w:hAnsi="Arial"/>
          <w:bCs/>
          <w:sz w:val="26"/>
          <w:szCs w:val="26"/>
        </w:rPr>
        <w:t>boutir aux dispositions suivantes.</w:t>
      </w:r>
    </w:p>
    <w:p>
      <w:pPr>
        <w:pStyle w:val="Paragraphedeliste"/>
        <w:ind w:left="0" w:hanging="0"/>
        <w:jc w:val="both"/>
        <w:rPr>
          <w:rFonts w:ascii="Arial" w:hAnsi="Arial" w:cs="Arial"/>
          <w:bCs/>
          <w:sz w:val="26"/>
          <w:szCs w:val="26"/>
        </w:rPr>
      </w:pPr>
      <w:r>
        <w:rPr>
          <w:rFonts w:cs="Arial" w:ascii="Arial" w:hAnsi="Arial"/>
          <w:bCs/>
          <w:sz w:val="26"/>
          <w:szCs w:val="26"/>
        </w:rPr>
      </w:r>
    </w:p>
    <w:p>
      <w:pPr>
        <w:pStyle w:val="Normal"/>
        <w:ind w:left="708" w:hanging="0"/>
        <w:jc w:val="both"/>
        <w:rPr/>
      </w:pPr>
      <w:r>
        <w:rPr>
          <w:rFonts w:cs="Arial" w:ascii="Arial" w:hAnsi="Arial"/>
          <w:b/>
          <w:sz w:val="26"/>
          <w:szCs w:val="26"/>
        </w:rPr>
        <w:t>Article 2.1 – Population non cadre</w:t>
      </w:r>
    </w:p>
    <w:p>
      <w:pPr>
        <w:pStyle w:val="Normal"/>
        <w:jc w:val="both"/>
        <w:rPr/>
      </w:pPr>
      <w:r>
        <w:rPr>
          <w:rFonts w:cs="Arial" w:ascii="Arial" w:hAnsi="Arial"/>
          <w:bCs/>
          <w:sz w:val="26"/>
          <w:szCs w:val="26"/>
        </w:rPr>
        <w:t>Une mesure d’augmentation générale sera attribuée à hauteur de </w:t>
      </w:r>
      <w:r>
        <w:rPr>
          <w:rFonts w:cs="Arial" w:ascii="Arial" w:hAnsi="Arial"/>
          <w:b/>
          <w:bCs/>
          <w:sz w:val="26"/>
          <w:szCs w:val="26"/>
        </w:rPr>
        <w:t>2%</w:t>
      </w:r>
      <w:r>
        <w:rPr>
          <w:rFonts w:cs="Arial" w:ascii="Arial" w:hAnsi="Arial"/>
          <w:bCs/>
          <w:sz w:val="26"/>
          <w:szCs w:val="26"/>
        </w:rPr>
        <w:t xml:space="preserve"> pour les personnels des filières logistiques, maintenance et supports. Cette mesure sera appliquée, pour les personnels présents à l’effectif à la date de signature du présent accord, à date d’effet au 1er février 2022.</w:t>
      </w:r>
      <w:r>
        <w:rPr>
          <w:rFonts w:cs="Arial" w:ascii="Arial" w:hAnsi="Arial"/>
          <w:sz w:val="26"/>
          <w:szCs w:val="26"/>
        </w:rPr>
        <w:t xml:space="preserve"> Cette mesure impactera les éléments variables à compter de la paye du mois de mars 2022 (activité de février 2022). Cette augmentation sera portée sur le salaire de base 35H, ce qui impactera le « forfait 35-39H » à due proportion.</w:t>
      </w:r>
    </w:p>
    <w:p>
      <w:pPr>
        <w:pStyle w:val="Normal"/>
        <w:jc w:val="both"/>
        <w:rPr>
          <w:rFonts w:ascii="Arial" w:hAnsi="Arial" w:cs="Arial"/>
          <w:sz w:val="26"/>
          <w:szCs w:val="26"/>
        </w:rPr>
      </w:pPr>
      <w:r>
        <w:rPr>
          <w:rFonts w:cs="Arial" w:ascii="Arial" w:hAnsi="Arial"/>
          <w:sz w:val="26"/>
          <w:szCs w:val="26"/>
        </w:rPr>
        <w:t xml:space="preserve">A cette mesure sera ajoutée un montant fixe (sur la base 35h) de </w:t>
      </w:r>
      <w:r>
        <w:rPr>
          <w:rFonts w:cs="Arial" w:ascii="Arial" w:hAnsi="Arial"/>
          <w:b/>
          <w:sz w:val="26"/>
          <w:szCs w:val="26"/>
        </w:rPr>
        <w:t>26,65 euros</w:t>
      </w:r>
      <w:r>
        <w:rPr>
          <w:rFonts w:cs="Arial" w:ascii="Arial" w:hAnsi="Arial"/>
          <w:sz w:val="26"/>
          <w:szCs w:val="26"/>
        </w:rPr>
        <w:t xml:space="preserve"> brut soit </w:t>
      </w:r>
      <w:r>
        <w:rPr>
          <w:rFonts w:cs="Arial" w:ascii="Arial" w:hAnsi="Arial"/>
          <w:b/>
          <w:sz w:val="26"/>
          <w:szCs w:val="26"/>
        </w:rPr>
        <w:t>30 euros</w:t>
      </w:r>
      <w:r>
        <w:rPr>
          <w:rFonts w:cs="Arial" w:ascii="Arial" w:hAnsi="Arial"/>
          <w:sz w:val="26"/>
          <w:szCs w:val="26"/>
        </w:rPr>
        <w:t>* brut avec l’impact du forfait 35-39H.</w:t>
      </w:r>
    </w:p>
    <w:p>
      <w:pPr>
        <w:pStyle w:val="Normal"/>
        <w:jc w:val="both"/>
        <w:rPr>
          <w:rFonts w:ascii="Arial" w:hAnsi="Arial" w:cs="Arial"/>
          <w:sz w:val="26"/>
          <w:szCs w:val="26"/>
        </w:rPr>
      </w:pPr>
      <w:r>
        <w:rPr>
          <w:rFonts w:cs="Arial" w:ascii="Arial" w:hAnsi="Arial"/>
          <w:sz w:val="26"/>
          <w:szCs w:val="26"/>
        </w:rPr>
        <w:t xml:space="preserve">*(26,65/151.67) x 4,3333 x 4h x 10% = 30 euros </w:t>
      </w:r>
    </w:p>
    <w:p>
      <w:pPr>
        <w:pStyle w:val="Normal"/>
        <w:jc w:val="both"/>
        <w:rPr>
          <w:rFonts w:ascii="Arial" w:hAnsi="Arial" w:cs="Arial"/>
          <w:sz w:val="26"/>
          <w:szCs w:val="26"/>
        </w:rPr>
      </w:pPr>
      <w:r>
        <w:rPr>
          <w:rFonts w:cs="Arial" w:ascii="Arial" w:hAnsi="Arial"/>
          <w:sz w:val="26"/>
          <w:szCs w:val="26"/>
        </w:rPr>
      </w:r>
    </w:p>
    <w:p>
      <w:pPr>
        <w:pStyle w:val="Normal"/>
        <w:ind w:left="708" w:hanging="0"/>
        <w:jc w:val="both"/>
        <w:rPr>
          <w:rFonts w:ascii="Arial" w:hAnsi="Arial" w:cs="Arial"/>
          <w:b/>
          <w:b/>
          <w:sz w:val="26"/>
          <w:szCs w:val="26"/>
        </w:rPr>
      </w:pPr>
      <w:r>
        <w:rPr>
          <w:rFonts w:cs="Arial" w:ascii="Arial" w:hAnsi="Arial"/>
          <w:b/>
          <w:sz w:val="26"/>
          <w:szCs w:val="26"/>
        </w:rPr>
        <w:t>Article 1.2 – Population cadre</w:t>
      </w:r>
    </w:p>
    <w:p>
      <w:pPr>
        <w:pStyle w:val="Normal"/>
        <w:jc w:val="both"/>
        <w:rPr/>
      </w:pPr>
      <w:r>
        <w:rPr>
          <w:rFonts w:cs="Arial" w:ascii="Arial" w:hAnsi="Arial"/>
          <w:bCs/>
          <w:sz w:val="26"/>
          <w:szCs w:val="26"/>
        </w:rPr>
        <w:t xml:space="preserve">Il est convenu d’attribuer une mesure d’augmentation générale de </w:t>
      </w:r>
      <w:r>
        <w:rPr>
          <w:rFonts w:cs="Arial" w:ascii="Arial" w:hAnsi="Arial"/>
          <w:b/>
          <w:bCs/>
          <w:sz w:val="26"/>
          <w:szCs w:val="26"/>
        </w:rPr>
        <w:t>2%</w:t>
      </w:r>
      <w:r>
        <w:rPr>
          <w:rFonts w:cs="Arial" w:ascii="Arial" w:hAnsi="Arial"/>
          <w:bCs/>
          <w:sz w:val="26"/>
          <w:szCs w:val="26"/>
        </w:rPr>
        <w:t xml:space="preserve"> pour les cadres dont le salaire brut annuel est inférieur à 65 000 euros.</w:t>
      </w:r>
    </w:p>
    <w:p>
      <w:pPr>
        <w:pStyle w:val="Normal"/>
        <w:jc w:val="both"/>
        <w:rPr/>
      </w:pPr>
      <w:r>
        <w:rPr>
          <w:rFonts w:cs="Arial" w:ascii="Arial" w:hAnsi="Arial"/>
          <w:bCs/>
          <w:sz w:val="26"/>
          <w:szCs w:val="26"/>
        </w:rPr>
        <w:t xml:space="preserve">Cette mesure sera appliquée, pour les personnels présents à l’effectif à la date de signature du présent accord, à date d’effet au 1er février 2022. </w:t>
      </w:r>
    </w:p>
    <w:p>
      <w:pPr>
        <w:pStyle w:val="Paragraphedeliste"/>
        <w:ind w:left="0" w:hanging="0"/>
        <w:jc w:val="both"/>
        <w:rPr>
          <w:rFonts w:ascii="Arial" w:hAnsi="Arial" w:cs="Arial"/>
          <w:bCs/>
          <w:sz w:val="26"/>
          <w:szCs w:val="26"/>
        </w:rPr>
      </w:pPr>
      <w:r>
        <w:rPr>
          <w:rFonts w:cs="Arial" w:ascii="Arial" w:hAnsi="Arial"/>
          <w:bCs/>
          <w:sz w:val="26"/>
          <w:szCs w:val="26"/>
        </w:rPr>
      </w:r>
    </w:p>
    <w:p>
      <w:pPr>
        <w:pStyle w:val="Paragraphedeliste"/>
        <w:ind w:left="0" w:hanging="0"/>
        <w:jc w:val="both"/>
        <w:rPr>
          <w:rFonts w:ascii="Arial" w:hAnsi="Arial" w:cs="Arial"/>
          <w:bCs/>
          <w:sz w:val="26"/>
          <w:szCs w:val="26"/>
        </w:rPr>
      </w:pPr>
      <w:r>
        <w:rPr>
          <w:rFonts w:cs="Arial" w:ascii="Arial" w:hAnsi="Arial"/>
          <w:bCs/>
          <w:sz w:val="26"/>
          <w:szCs w:val="26"/>
        </w:rPr>
      </w:r>
    </w:p>
    <w:p>
      <w:pPr>
        <w:pStyle w:val="TextBody"/>
        <w:numPr>
          <w:ilvl w:val="0"/>
          <w:numId w:val="4"/>
        </w:numPr>
        <w:rPr>
          <w:b/>
          <w:b/>
          <w:sz w:val="26"/>
          <w:szCs w:val="26"/>
        </w:rPr>
      </w:pPr>
      <w:r>
        <w:rPr>
          <w:b/>
          <w:sz w:val="26"/>
          <w:szCs w:val="26"/>
        </w:rPr>
        <w:t xml:space="preserve">Augmentation de la prise en charge de la part mutuelle </w:t>
      </w:r>
    </w:p>
    <w:p>
      <w:pPr>
        <w:pStyle w:val="TextBody"/>
        <w:rPr>
          <w:b/>
          <w:b/>
          <w:color w:val="FF0000"/>
          <w:sz w:val="26"/>
          <w:szCs w:val="26"/>
        </w:rPr>
      </w:pPr>
      <w:r>
        <w:rPr>
          <w:b/>
          <w:color w:val="FF0000"/>
          <w:sz w:val="26"/>
          <w:szCs w:val="26"/>
        </w:rPr>
      </w:r>
    </w:p>
    <w:p>
      <w:pPr>
        <w:pStyle w:val="Paragraphedeliste"/>
        <w:ind w:left="0" w:hanging="0"/>
        <w:jc w:val="both"/>
        <w:rPr>
          <w:rFonts w:ascii="Arial" w:hAnsi="Arial" w:cs="Arial"/>
          <w:bCs/>
          <w:sz w:val="26"/>
          <w:szCs w:val="26"/>
        </w:rPr>
      </w:pPr>
      <w:r>
        <w:rPr>
          <w:rFonts w:cs="Arial" w:ascii="Arial" w:hAnsi="Arial"/>
          <w:bCs/>
          <w:sz w:val="26"/>
          <w:szCs w:val="26"/>
        </w:rPr>
        <w:t>Il est décidé de porter la prise en charge employeur pour l’ensemble des catégories professionnelles de 50% à 55% à date d’effet au 1</w:t>
      </w:r>
      <w:r>
        <w:rPr>
          <w:rFonts w:cs="Arial" w:ascii="Arial" w:hAnsi="Arial"/>
          <w:bCs/>
          <w:sz w:val="26"/>
          <w:szCs w:val="26"/>
          <w:vertAlign w:val="superscript"/>
        </w:rPr>
        <w:t>er</w:t>
      </w:r>
      <w:r>
        <w:rPr>
          <w:rFonts w:cs="Arial" w:ascii="Arial" w:hAnsi="Arial"/>
          <w:bCs/>
          <w:sz w:val="26"/>
          <w:szCs w:val="26"/>
        </w:rPr>
        <w:t xml:space="preserve"> février 2022 (impact sur paye de février). </w:t>
      </w:r>
    </w:p>
    <w:p>
      <w:pPr>
        <w:pStyle w:val="Paragraphedeliste"/>
        <w:ind w:left="0" w:hanging="0"/>
        <w:jc w:val="both"/>
        <w:rPr/>
      </w:pPr>
      <w:r>
        <w:rPr>
          <w:rFonts w:cs="Arial" w:ascii="Arial" w:hAnsi="Arial"/>
          <w:bCs/>
          <w:sz w:val="26"/>
          <w:szCs w:val="26"/>
        </w:rPr>
        <w:t xml:space="preserve">En conséquence, les prises en charge évolueront comme suit : </w:t>
      </w:r>
    </w:p>
    <w:p>
      <w:pPr>
        <w:pStyle w:val="Paragraphedeliste"/>
        <w:ind w:left="0" w:hanging="0"/>
        <w:jc w:val="both"/>
        <w:rPr>
          <w:rFonts w:ascii="Arial" w:hAnsi="Arial" w:cs="Arial"/>
          <w:bCs/>
          <w:color w:val="FF0000"/>
          <w:sz w:val="26"/>
          <w:szCs w:val="26"/>
        </w:rPr>
      </w:pPr>
      <w:r>
        <w:rPr/>
        <w:drawing>
          <wp:inline distT="0" distB="0" distL="0" distR="0">
            <wp:extent cx="5756910" cy="15735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 t="-20" r="-5" b="-20"/>
                    <a:stretch>
                      <a:fillRect/>
                    </a:stretch>
                  </pic:blipFill>
                  <pic:spPr bwMode="auto">
                    <a:xfrm>
                      <a:off x="0" y="0"/>
                      <a:ext cx="5756910" cy="1573530"/>
                    </a:xfrm>
                    <a:prstGeom prst="rect">
                      <a:avLst/>
                    </a:prstGeom>
                  </pic:spPr>
                </pic:pic>
              </a:graphicData>
            </a:graphic>
          </wp:inline>
        </w:drawing>
      </w:r>
    </w:p>
    <w:p>
      <w:pPr>
        <w:pStyle w:val="TextBody"/>
        <w:rPr>
          <w:rFonts w:ascii="Arial" w:hAnsi="Arial" w:cs="Arial"/>
          <w:b/>
          <w:b/>
          <w:bCs/>
          <w:color w:val="FF0000"/>
          <w:sz w:val="26"/>
          <w:szCs w:val="26"/>
        </w:rPr>
      </w:pPr>
      <w:r>
        <w:rPr>
          <w:rFonts w:cs="Arial"/>
          <w:b/>
          <w:bCs/>
          <w:color w:val="FF0000"/>
          <w:sz w:val="26"/>
          <w:szCs w:val="26"/>
        </w:rPr>
      </w:r>
    </w:p>
    <w:p>
      <w:pPr>
        <w:pStyle w:val="TITREARTICLE"/>
        <w:spacing w:before="0" w:after="120"/>
        <w:rPr/>
      </w:pPr>
      <w:r>
        <w:rPr>
          <w:sz w:val="26"/>
          <w:szCs w:val="26"/>
        </w:rPr>
        <w:t>Article 2 : Formalités</w:t>
      </w:r>
    </w:p>
    <w:p>
      <w:pPr>
        <w:pStyle w:val="Heading1"/>
        <w:numPr>
          <w:ilvl w:val="0"/>
          <w:numId w:val="1"/>
        </w:numPr>
        <w:shd w:fill="FFFFFF" w:val="clear"/>
        <w:spacing w:before="280" w:after="280"/>
        <w:jc w:val="both"/>
        <w:rPr>
          <w:rFonts w:cs="Times"/>
          <w:b w:val="false"/>
          <w:b w:val="false"/>
          <w:caps w:val="false"/>
          <w:smallCaps w:val="false"/>
          <w:sz w:val="26"/>
          <w:szCs w:val="26"/>
        </w:rPr>
      </w:pPr>
      <w:r>
        <w:rPr>
          <w:rFonts w:cs="Times"/>
          <w:b w:val="false"/>
          <w:caps w:val="false"/>
          <w:smallCaps w:val="false"/>
          <w:sz w:val="26"/>
          <w:szCs w:val="26"/>
        </w:rPr>
        <w:t>Le présent accord sera déposé par voie électronique, via la plateforme TéléAccords (https://www.teleaccords.travail-emploi.gouv.fr), à la Direction Régionale de l’Economie, de l’Emploi, du Travail et des Solidarités (DREETS) de Rennes. Un exemplaire devra également être déposé au greffe du conseil de prud'hommes de Saint Malo, dans les 15 jours suivant sa date limite de conclusion.</w:t>
      </w:r>
    </w:p>
    <w:p>
      <w:pPr>
        <w:pStyle w:val="Normal"/>
        <w:jc w:val="both"/>
        <w:rPr>
          <w:rFonts w:ascii="Arial" w:hAnsi="Arial" w:cs="Arial"/>
          <w:b/>
          <w:b/>
          <w:smallCaps/>
          <w:sz w:val="26"/>
          <w:szCs w:val="26"/>
        </w:rPr>
      </w:pPr>
      <w:r>
        <w:rPr>
          <w:rFonts w:cs="Arial" w:ascii="Arial" w:hAnsi="Arial"/>
          <w:b/>
          <w:smallCaps/>
          <w:sz w:val="26"/>
          <w:szCs w:val="26"/>
        </w:rPr>
      </w:r>
    </w:p>
    <w:p>
      <w:pPr>
        <w:pStyle w:val="TextBody"/>
        <w:spacing w:lineRule="auto" w:line="480"/>
        <w:rPr>
          <w:sz w:val="26"/>
          <w:szCs w:val="26"/>
        </w:rPr>
      </w:pPr>
      <w:r>
        <w:rPr>
          <w:sz w:val="26"/>
          <w:szCs w:val="26"/>
        </w:rPr>
        <w:t>Fait à Dinard, le 15 février 2022</w:t>
      </w:r>
    </w:p>
    <w:p>
      <w:pPr>
        <w:pStyle w:val="TextBody"/>
        <w:spacing w:lineRule="auto" w:line="480"/>
        <w:ind w:left="5664" w:hanging="0"/>
        <w:rPr/>
      </w:pPr>
      <w:r>
        <w:rPr>
          <w:sz w:val="26"/>
          <w:szCs w:val="26"/>
        </w:rPr>
        <w:t>En 5 exemplaires Originaux</w:t>
        <w:tab/>
      </w:r>
    </w:p>
    <w:p>
      <w:pPr>
        <w:pStyle w:val="Normalps"/>
        <w:ind w:left="708" w:hanging="708"/>
        <w:rPr>
          <w:rFonts w:ascii="Arial" w:hAnsi="Arial" w:cs="Arial"/>
          <w:szCs w:val="24"/>
        </w:rPr>
      </w:pPr>
      <w:r>
        <w:rPr>
          <w:rFonts w:cs="Arial" w:ascii="Arial" w:hAnsi="Arial"/>
          <w:b/>
          <w:szCs w:val="24"/>
          <w:u w:val="single"/>
        </w:rPr>
        <w:t>Pour la Direction</w:t>
      </w:r>
    </w:p>
    <w:p>
      <w:pPr>
        <w:pStyle w:val="Normalps"/>
        <w:tabs>
          <w:tab w:val="left" w:pos="5245" w:leader="none"/>
        </w:tabs>
        <w:ind w:left="708" w:hanging="708"/>
        <w:rPr>
          <w:rFonts w:ascii="Arial" w:hAnsi="Arial" w:cs="Arial"/>
          <w:szCs w:val="24"/>
        </w:rPr>
      </w:pPr>
      <w:r>
        <w:rPr>
          <w:rFonts w:cs="Arial" w:ascii="Arial" w:hAnsi="Arial"/>
          <w:szCs w:val="24"/>
        </w:rPr>
      </w:r>
    </w:p>
    <w:p>
      <w:pPr>
        <w:pStyle w:val="Normalps"/>
        <w:tabs>
          <w:tab w:val="left" w:pos="5245" w:leader="none"/>
        </w:tabs>
        <w:ind w:left="708" w:hanging="708"/>
        <w:rPr>
          <w:rFonts w:ascii="Arial" w:hAnsi="Arial" w:cs="Arial"/>
          <w:szCs w:val="24"/>
        </w:rPr>
      </w:pPr>
      <w:r>
        <w:rPr>
          <w:rFonts w:cs="Arial" w:ascii="Arial" w:hAnsi="Arial"/>
          <w:szCs w:val="24"/>
        </w:rPr>
      </w:r>
    </w:p>
    <w:p>
      <w:pPr>
        <w:pStyle w:val="Normalps"/>
        <w:tabs>
          <w:tab w:val="left" w:pos="5245" w:leader="none"/>
        </w:tabs>
        <w:ind w:left="708" w:hanging="708"/>
        <w:rPr>
          <w:rFonts w:ascii="Arial" w:hAnsi="Arial" w:cs="Arial"/>
          <w:szCs w:val="24"/>
        </w:rPr>
      </w:pPr>
      <w:r>
        <w:rPr>
          <w:rFonts w:cs="Arial" w:ascii="Arial" w:hAnsi="Arial"/>
          <w:szCs w:val="24"/>
        </w:rPr>
      </w:r>
    </w:p>
    <w:p>
      <w:pPr>
        <w:pStyle w:val="Normalps"/>
        <w:tabs>
          <w:tab w:val="left" w:pos="5245" w:leader="none"/>
        </w:tabs>
        <w:ind w:left="708" w:hanging="708"/>
        <w:rPr>
          <w:rFonts w:ascii="Arial" w:hAnsi="Arial" w:cs="Arial"/>
          <w:szCs w:val="24"/>
        </w:rPr>
      </w:pPr>
      <w:r>
        <w:rPr>
          <w:rFonts w:cs="Arial" w:ascii="Arial" w:hAnsi="Arial"/>
          <w:szCs w:val="24"/>
        </w:rPr>
        <w:t>Monsieur</w:t>
        <w:tab/>
        <w:t xml:space="preserve">Madame </w:t>
      </w:r>
    </w:p>
    <w:p>
      <w:pPr>
        <w:pStyle w:val="Normalps"/>
        <w:tabs>
          <w:tab w:val="left" w:pos="4678" w:leader="none"/>
        </w:tabs>
        <w:ind w:left="708" w:hanging="708"/>
        <w:jc w:val="left"/>
        <w:rPr/>
      </w:pPr>
      <w:r>
        <w:rPr>
          <w:rFonts w:cs="Arial" w:ascii="Arial" w:hAnsi="Arial"/>
          <w:szCs w:val="24"/>
        </w:rPr>
        <w:t xml:space="preserve">Directeur Général                                                Directrice des Ressources Humaines </w:t>
      </w:r>
    </w:p>
    <w:p>
      <w:pPr>
        <w:pStyle w:val="Normalps"/>
        <w:tabs>
          <w:tab w:val="left" w:pos="5529" w:leader="none"/>
        </w:tabs>
        <w:ind w:left="708" w:hanging="708"/>
        <w:rPr>
          <w:rFonts w:ascii="Arial" w:hAnsi="Arial" w:cs="Arial"/>
          <w:b/>
          <w:b/>
          <w:szCs w:val="24"/>
          <w:u w:val="single"/>
        </w:rPr>
      </w:pPr>
      <w:r>
        <w:rPr>
          <w:rFonts w:cs="Arial" w:ascii="Arial" w:hAnsi="Arial"/>
          <w:b/>
          <w:szCs w:val="24"/>
          <w:u w:val="single"/>
        </w:rPr>
      </w:r>
    </w:p>
    <w:p>
      <w:pPr>
        <w:pStyle w:val="Normalps"/>
        <w:tabs>
          <w:tab w:val="left" w:pos="5529" w:leader="none"/>
        </w:tabs>
        <w:ind w:left="708" w:hanging="708"/>
        <w:rPr>
          <w:rFonts w:ascii="Arial" w:hAnsi="Arial" w:cs="Arial"/>
          <w:b/>
          <w:b/>
          <w:szCs w:val="24"/>
          <w:u w:val="single"/>
        </w:rPr>
      </w:pPr>
      <w:r>
        <w:rPr>
          <w:rFonts w:cs="Arial" w:ascii="Arial" w:hAnsi="Arial"/>
          <w:b/>
          <w:szCs w:val="24"/>
          <w:u w:val="single"/>
        </w:rPr>
        <w:t>Pour les Organisations Syndicales</w:t>
      </w:r>
    </w:p>
    <w:p>
      <w:pPr>
        <w:pStyle w:val="Normalps"/>
        <w:tabs>
          <w:tab w:val="left" w:pos="5670" w:leader="none"/>
          <w:tab w:val="left" w:pos="7200" w:leader="none"/>
        </w:tabs>
        <w:ind w:left="708" w:hanging="708"/>
        <w:rPr>
          <w:rFonts w:ascii="Arial" w:hAnsi="Arial" w:cs="Arial"/>
          <w:b/>
          <w:b/>
          <w:szCs w:val="24"/>
          <w:u w:val="single"/>
        </w:rPr>
      </w:pPr>
      <w:r>
        <w:rPr>
          <w:rFonts w:cs="Arial" w:ascii="Arial" w:hAnsi="Arial"/>
          <w:b/>
          <w:szCs w:val="24"/>
          <w:u w:val="single"/>
        </w:rPr>
      </w:r>
    </w:p>
    <w:p>
      <w:pPr>
        <w:pStyle w:val="Normalps"/>
        <w:tabs>
          <w:tab w:val="left" w:pos="5670" w:leader="none"/>
          <w:tab w:val="left" w:pos="7200" w:leader="none"/>
        </w:tabs>
        <w:ind w:left="708" w:hanging="708"/>
        <w:rPr/>
      </w:pPr>
      <w:r>
        <w:rPr>
          <w:rFonts w:cs="Arial" w:ascii="Arial" w:hAnsi="Arial"/>
          <w:szCs w:val="24"/>
        </w:rPr>
        <w:t xml:space="preserve">Monsieur </w:t>
        <w:tab/>
        <w:t>Monsieur</w:t>
        <w:tab/>
      </w:r>
    </w:p>
    <w:p>
      <w:pPr>
        <w:pStyle w:val="TextBody"/>
        <w:tabs>
          <w:tab w:val="left" w:pos="426" w:leader="none"/>
          <w:tab w:val="left" w:pos="5670" w:leader="none"/>
        </w:tabs>
        <w:ind w:left="708" w:hanging="708"/>
        <w:jc w:val="left"/>
        <w:rPr>
          <w:sz w:val="24"/>
          <w:szCs w:val="24"/>
        </w:rPr>
      </w:pPr>
      <w:r>
        <w:rPr>
          <w:sz w:val="24"/>
          <w:szCs w:val="24"/>
        </w:rPr>
        <w:t>Délégué Syndical F.O.</w:t>
        <w:tab/>
        <w:t>Délégué Syndical SNMSAC</w:t>
      </w:r>
      <w:r>
        <w:rPr>
          <w:rFonts w:cs="Arial"/>
          <w:sz w:val="24"/>
          <w:szCs w:val="24"/>
        </w:rPr>
        <w:tab/>
      </w:r>
    </w:p>
    <w:p>
      <w:pPr>
        <w:pStyle w:val="TextBody"/>
        <w:tabs>
          <w:tab w:val="left" w:pos="426" w:leader="none"/>
          <w:tab w:val="left" w:pos="5670" w:leader="none"/>
        </w:tabs>
        <w:ind w:left="708" w:hanging="708"/>
        <w:rPr>
          <w:rFonts w:cs="Arial"/>
          <w:sz w:val="24"/>
          <w:szCs w:val="24"/>
        </w:rPr>
      </w:pPr>
      <w:r>
        <w:rPr>
          <w:rFonts w:cs="Arial"/>
          <w:sz w:val="24"/>
          <w:szCs w:val="24"/>
        </w:rPr>
      </w:r>
    </w:p>
    <w:p>
      <w:pPr>
        <w:pStyle w:val="Normalps"/>
        <w:tabs>
          <w:tab w:val="left" w:pos="5670" w:leader="none"/>
          <w:tab w:val="left" w:pos="7200" w:leader="none"/>
        </w:tabs>
        <w:ind w:left="708" w:hanging="708"/>
        <w:rPr>
          <w:rFonts w:ascii="Arial" w:hAnsi="Arial" w:cs="Arial"/>
          <w:sz w:val="24"/>
          <w:szCs w:val="24"/>
        </w:rPr>
      </w:pPr>
      <w:r>
        <w:rPr>
          <w:rFonts w:cs="Arial" w:ascii="Arial" w:hAnsi="Arial"/>
          <w:sz w:val="24"/>
          <w:szCs w:val="24"/>
        </w:rPr>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Helvetica">
    <w:altName w:val="Arial"/>
    <w:charset w:val="00"/>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rPr/>
    </w:lvl>
  </w:abstractNum>
  <w:abstractNum w:abstractNumId="5">
    <w:lvl w:ilvl="0">
      <w:start w:val="1"/>
      <w:numFmt w:val="decimal"/>
      <w:lvlText w:val="%1."/>
      <w:lvlJc w:val="left"/>
      <w:pPr>
        <w:ind w:left="360" w:hanging="360"/>
      </w:pPr>
      <w:rPr>
        <w:sz w:val="28"/>
        <w:b/>
        <w:szCs w:val="26"/>
      </w:rPr>
    </w:lvl>
  </w:abstractNum>
  <w:abstractNum w:abstractNumId="6">
    <w:lvl w:ilvl="0">
      <w:start w:val="1"/>
      <w:numFmt w:val="bullet"/>
      <w:lvlText w:val="•"/>
      <w:lvlJc w:val="left"/>
      <w:pPr>
        <w:tabs>
          <w:tab w:val="num" w:pos="720"/>
        </w:tabs>
        <w:ind w:left="720" w:hanging="360"/>
      </w:pPr>
      <w:rPr>
        <w:rFonts w:ascii="Arial" w:hAnsi="Arial" w:cs="Arial" w:hint="default"/>
        <w:rFonts w:cs="Arial"/>
      </w:rPr>
    </w:lvl>
  </w:abstractNum>
  <w:abstractNum w:abstractNumId="7">
    <w:lvl w:ilvl="0">
      <w:start w:val="1"/>
      <w:numFmt w:val="bullet"/>
      <w:lvlText w:val="•"/>
      <w:lvlJc w:val="left"/>
      <w:pPr>
        <w:tabs>
          <w:tab w:val="num" w:pos="720"/>
        </w:tabs>
        <w:ind w:left="720" w:hanging="360"/>
      </w:pPr>
      <w:rPr>
        <w:rFonts w:ascii="Arial" w:hAnsi="Arial" w:cs="Arial" w:hint="default"/>
        <w:rFonts w:cs="Arial"/>
      </w:rPr>
    </w:lvl>
  </w:abstractNum>
  <w:abstractNum w:abstractNumId="8">
    <w:lvl w:ilvl="0">
      <w:numFmt w:val="bullet"/>
      <w:lvlText w:val="-"/>
      <w:lvlJc w:val="left"/>
      <w:pPr>
        <w:tabs>
          <w:tab w:val="num" w:pos="1065"/>
        </w:tabs>
        <w:ind w:left="1065" w:hanging="360"/>
      </w:pPr>
      <w:rPr>
        <w:rFonts w:ascii="Times New Roman" w:hAnsi="Times New Roman" w:cs="Times New Roman" w:hint="default"/>
        <w:sz w:val="26"/>
        <w:szCs w:val="26"/>
        <w:rFonts w:cs="Times New Roman"/>
      </w:rPr>
    </w:lvl>
  </w:abstractNum>
  <w:abstractNum w:abstractNumId="9">
    <w:lvl w:ilvl="0">
      <w:start w:val="1"/>
      <w:numFmt w:val="bullet"/>
      <w:lvlText w:val="-"/>
      <w:lvlJc w:val="left"/>
      <w:pPr>
        <w:tabs>
          <w:tab w:val="num" w:pos="1080"/>
        </w:tabs>
        <w:ind w:left="1080" w:hanging="360"/>
      </w:pPr>
      <w:rPr>
        <w:rFonts w:ascii="Times New Roman" w:hAnsi="Times New Roman" w:cs="Times New Roman" w:hint="default"/>
        <w:rFonts w:cs="Times New Roman"/>
      </w:rPr>
    </w:lvl>
  </w:abstractNum>
  <w:abstractNum w:abstractNumId="10">
    <w:lvl w:ilvl="0">
      <w:start w:val="1"/>
      <w:numFmt w:val="lowerLetter"/>
      <w:lvlText w:val="%1)"/>
      <w:lvlJc w:val="left"/>
      <w:pPr>
        <w:ind w:left="720" w:hanging="360"/>
      </w:pPr>
      <w:rPr>
        <w:sz w:val="26"/>
        <w:u w:val="single"/>
        <w:b/>
        <w:szCs w:val="2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fr-FR" w:bidi="ar-SA" w:eastAsia="zh-CN"/>
    </w:rPr>
  </w:style>
  <w:style w:type="paragraph" w:styleId="Heading1">
    <w:name w:val="Heading 1"/>
    <w:basedOn w:val="Normal"/>
    <w:next w:val="Normal"/>
    <w:qFormat/>
    <w:pPr>
      <w:keepNext w:val="true"/>
      <w:numPr>
        <w:ilvl w:val="0"/>
        <w:numId w:val="1"/>
      </w:numPr>
      <w:spacing w:lineRule="auto" w:line="240" w:before="0" w:after="0"/>
      <w:jc w:val="center"/>
      <w:outlineLvl w:val="0"/>
    </w:pPr>
    <w:rPr>
      <w:rFonts w:ascii="Arial" w:hAnsi="Arial" w:eastAsia="Times New Roman" w:cs="Arial"/>
      <w:b/>
      <w:smallCaps/>
      <w:sz w:val="24"/>
      <w:szCs w:val="20"/>
    </w:rPr>
  </w:style>
  <w:style w:type="paragraph" w:styleId="Heading2">
    <w:name w:val="Heading 2"/>
    <w:basedOn w:val="Normal"/>
    <w:next w:val="Normal"/>
    <w:qFormat/>
    <w:pPr>
      <w:keepNext w:val="true"/>
      <w:numPr>
        <w:ilvl w:val="1"/>
        <w:numId w:val="1"/>
      </w:numPr>
      <w:spacing w:before="240" w:after="60"/>
      <w:outlineLvl w:val="1"/>
    </w:pPr>
    <w:rPr>
      <w:rFonts w:ascii="Cambria" w:hAnsi="Cambria" w:eastAsia="Times New Roman" w:cs="Times New Roman"/>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Times New Roman"/>
      <w:b/>
      <w:bCs/>
      <w:sz w:val="26"/>
      <w:szCs w:val="26"/>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Times New Roman"/>
      <w:b/>
      <w:bCs/>
      <w:i/>
      <w:iCs/>
      <w:sz w:val="26"/>
      <w:szCs w:val="26"/>
    </w:rPr>
  </w:style>
  <w:style w:type="paragraph" w:styleId="Heading6">
    <w:name w:val="Heading 6"/>
    <w:basedOn w:val="Normal"/>
    <w:next w:val="Normal"/>
    <w:qFormat/>
    <w:pPr>
      <w:numPr>
        <w:ilvl w:val="5"/>
        <w:numId w:val="1"/>
      </w:numPr>
      <w:spacing w:before="240" w:after="60"/>
      <w:outlineLvl w:val="5"/>
    </w:pPr>
    <w:rPr>
      <w:rFonts w:ascii="Calibri" w:hAnsi="Calibri" w:eastAsia="Times New Roman" w:cs="Times New Roman"/>
      <w:b/>
      <w:bCs/>
    </w:rPr>
  </w:style>
  <w:style w:type="character" w:styleId="WW8Num1z0">
    <w:name w:val="WW8Num1z0"/>
    <w:qFormat/>
    <w:rPr/>
  </w:style>
  <w:style w:type="character" w:styleId="WW8Num2z0">
    <w:name w:val="WW8Num2z0"/>
    <w:qFormat/>
    <w:rPr>
      <w:rFonts w:ascii="Arial" w:hAnsi="Arial" w:cs="Arial"/>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8z0">
    <w:name w:val="WW8Num8z0"/>
    <w:qFormat/>
    <w:rPr>
      <w:rFonts w:ascii="Arial" w:hAnsi="Arial" w:cs="Aria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b/>
      <w:sz w:val="28"/>
      <w:szCs w:val="2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w:hAnsi="Arial" w:cs="Aria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Arial" w:hAnsi="Arial" w:cs="Arial"/>
    </w:rPr>
  </w:style>
  <w:style w:type="character" w:styleId="WW8Num16z0">
    <w:name w:val="WW8Num16z0"/>
    <w:qFormat/>
    <w:rPr>
      <w:rFonts w:ascii="Arial" w:hAnsi="Arial" w:eastAsia="Times New Roman" w:cs="Arial"/>
      <w:b/>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b/>
    </w:rPr>
  </w:style>
  <w:style w:type="character" w:styleId="WW8Num18z0">
    <w:name w:val="WW8Num18z0"/>
    <w:qFormat/>
    <w:rPr/>
  </w:style>
  <w:style w:type="character" w:styleId="WW8Num19z0">
    <w:name w:val="WW8Num19z0"/>
    <w:qFormat/>
    <w:rPr>
      <w:rFonts w:ascii="Times New Roman" w:hAnsi="Times New Roman" w:cs="Times New Roman"/>
      <w:sz w:val="26"/>
      <w:szCs w:val="26"/>
    </w:rPr>
  </w:style>
  <w:style w:type="character" w:styleId="WW8Num20z0">
    <w:name w:val="WW8Num20z0"/>
    <w:qFormat/>
    <w:rPr>
      <w:rFonts w:ascii="Arial" w:hAnsi="Arial" w:cs="Arial"/>
    </w:rPr>
  </w:style>
  <w:style w:type="character" w:styleId="WW8Num21z0">
    <w:name w:val="WW8Num21z0"/>
    <w:qFormat/>
    <w:rPr>
      <w:rFonts w:ascii="Arial" w:hAnsi="Arial" w:cs="Arial"/>
    </w:rPr>
  </w:style>
  <w:style w:type="character" w:styleId="WW8Num21z3">
    <w:name w:val="WW8Num21z3"/>
    <w:qFormat/>
    <w:rPr>
      <w:rFonts w:ascii="Times New Roman" w:hAnsi="Times New Roman" w:cs="Times New Roman"/>
    </w:rPr>
  </w:style>
  <w:style w:type="character" w:styleId="WW8Num22z0">
    <w:name w:val="WW8Num22z0"/>
    <w:qFormat/>
    <w:rPr>
      <w:rFonts w:ascii="Arial" w:hAnsi="Arial" w:eastAsia="Times New Roman" w:cs="Arial"/>
      <w:sz w:val="18"/>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Arial" w:hAnsi="Arial" w:cs="Arial"/>
    </w:rPr>
  </w:style>
  <w:style w:type="character" w:styleId="WW8Num26z0">
    <w:name w:val="WW8Num26z0"/>
    <w:qFormat/>
    <w:rPr>
      <w:rFonts w:ascii="Times New Roman" w:hAnsi="Times New Roman" w:cs="Times New Roman"/>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Arial" w:hAnsi="Arial" w:cs="Arial"/>
    </w:rPr>
  </w:style>
  <w:style w:type="character" w:styleId="WW8Num30z0">
    <w:name w:val="WW8Num30z0"/>
    <w:qFormat/>
    <w:rPr>
      <w:rFonts w:ascii="Times New Roman" w:hAnsi="Times New Roman" w:cs="Times New Roman"/>
    </w:rPr>
  </w:style>
  <w:style w:type="character" w:styleId="WW8Num31z0">
    <w:name w:val="WW8Num31z0"/>
    <w:qFormat/>
    <w:rPr>
      <w:rFonts w:ascii="Times New Roman" w:hAnsi="Times New Roman" w:cs="Times New Roman"/>
    </w:rPr>
  </w:style>
  <w:style w:type="character" w:styleId="WW8Num32z0">
    <w:name w:val="WW8Num32z0"/>
    <w:qFormat/>
    <w:rPr>
      <w:rFonts w:ascii="Arial" w:hAnsi="Arial" w:cs="Aria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Arial" w:hAnsi="Arial" w:eastAsia="Calibri"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ahoma" w:hAnsi="Tahoma" w:cs="Tahoma"/>
    </w:rPr>
  </w:style>
  <w:style w:type="character" w:styleId="WW8Num39z0">
    <w:name w:val="WW8Num39z0"/>
    <w:qFormat/>
    <w:rPr>
      <w:rFonts w:ascii="Arial" w:hAnsi="Arial" w:cs="Arial"/>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b/>
      <w:sz w:val="26"/>
      <w:szCs w:val="26"/>
      <w:u w:val="single"/>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rFonts w:ascii="Arial" w:hAnsi="Arial" w:cs="Arial"/>
    </w:rPr>
  </w:style>
  <w:style w:type="character" w:styleId="WW8Num45z0">
    <w:name w:val="WW8Num45z0"/>
    <w:qFormat/>
    <w:rPr>
      <w:rFonts w:ascii="Times New Roman" w:hAnsi="Times New Roman" w:cs="Times New Roman"/>
    </w:rPr>
  </w:style>
  <w:style w:type="character" w:styleId="WW8Num46z0">
    <w:name w:val="WW8Num46z0"/>
    <w:qFormat/>
    <w:rPr>
      <w:rFonts w:ascii="Symbol" w:hAnsi="Symbol" w:cs="Symbol"/>
      <w:sz w:val="20"/>
    </w:rPr>
  </w:style>
  <w:style w:type="character" w:styleId="WW8Num46z1">
    <w:name w:val="WW8Num46z1"/>
    <w:qFormat/>
    <w:rPr>
      <w:rFonts w:ascii="Courier New" w:hAnsi="Courier New" w:cs="Courier New"/>
      <w:sz w:val="20"/>
    </w:rPr>
  </w:style>
  <w:style w:type="character" w:styleId="WW8Num46z2">
    <w:name w:val="WW8Num46z2"/>
    <w:qFormat/>
    <w:rPr>
      <w:rFonts w:ascii="Wingdings" w:hAnsi="Wingdings" w:cs="Wingdings"/>
      <w:sz w:val="20"/>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Policepardfaut">
    <w:name w:val="Police par défaut"/>
    <w:qFormat/>
    <w:rPr/>
  </w:style>
  <w:style w:type="character" w:styleId="Titre1Car">
    <w:name w:val="Titre 1 Car"/>
    <w:qFormat/>
    <w:rPr>
      <w:rFonts w:ascii="Arial" w:hAnsi="Arial" w:eastAsia="Times New Roman" w:cs="Arial"/>
      <w:b/>
      <w:smallCaps/>
      <w:sz w:val="24"/>
    </w:rPr>
  </w:style>
  <w:style w:type="character" w:styleId="TitreCar">
    <w:name w:val="Titre Car"/>
    <w:qFormat/>
    <w:rPr>
      <w:rFonts w:ascii="Tahoma" w:hAnsi="Tahoma" w:eastAsia="Times New Roman" w:cs="Tahoma"/>
      <w:b/>
      <w:spacing w:val="20"/>
      <w:sz w:val="40"/>
    </w:rPr>
  </w:style>
  <w:style w:type="character" w:styleId="SoustitreCar">
    <w:name w:val="Sous-titre Car"/>
    <w:qFormat/>
    <w:rPr>
      <w:rFonts w:ascii="Tahoma" w:hAnsi="Tahoma" w:eastAsia="Times New Roman" w:cs="Tahoma"/>
      <w:sz w:val="32"/>
    </w:rPr>
  </w:style>
  <w:style w:type="character" w:styleId="Titre3Car">
    <w:name w:val="Titre 3 Car"/>
    <w:qFormat/>
    <w:rPr>
      <w:rFonts w:ascii="Cambria" w:hAnsi="Cambria" w:eastAsia="Times New Roman" w:cs="Times New Roman"/>
      <w:b/>
      <w:bCs/>
      <w:sz w:val="26"/>
      <w:szCs w:val="26"/>
    </w:rPr>
  </w:style>
  <w:style w:type="character" w:styleId="CorpsdetexteCar">
    <w:name w:val="Corps de texte Car"/>
    <w:qFormat/>
    <w:rPr>
      <w:rFonts w:ascii="Arial" w:hAnsi="Arial" w:eastAsia="Times New Roman" w:cs="Arial"/>
    </w:rPr>
  </w:style>
  <w:style w:type="character" w:styleId="Titre2Car">
    <w:name w:val="Titre 2 Car"/>
    <w:qFormat/>
    <w:rPr>
      <w:rFonts w:ascii="Cambria" w:hAnsi="Cambria" w:eastAsia="Times New Roman" w:cs="Times New Roman"/>
      <w:b/>
      <w:bCs/>
      <w:i/>
      <w:iCs/>
      <w:sz w:val="28"/>
      <w:szCs w:val="28"/>
    </w:rPr>
  </w:style>
  <w:style w:type="character" w:styleId="Titre5Car">
    <w:name w:val="Titre 5 Car"/>
    <w:qFormat/>
    <w:rPr>
      <w:rFonts w:ascii="Calibri" w:hAnsi="Calibri" w:eastAsia="Times New Roman" w:cs="Times New Roman"/>
      <w:b/>
      <w:bCs/>
      <w:i/>
      <w:iCs/>
      <w:sz w:val="26"/>
      <w:szCs w:val="26"/>
    </w:rPr>
  </w:style>
  <w:style w:type="character" w:styleId="Titre6Car">
    <w:name w:val="Titre 6 Car"/>
    <w:qFormat/>
    <w:rPr>
      <w:rFonts w:ascii="Calibri" w:hAnsi="Calibri" w:eastAsia="Times New Roman" w:cs="Times New Roman"/>
      <w:b/>
      <w:bCs/>
      <w:sz w:val="22"/>
      <w:szCs w:val="22"/>
    </w:rPr>
  </w:style>
  <w:style w:type="character" w:styleId="RetraitcorpsdetexteCar">
    <w:name w:val="Retrait corps de texte Car"/>
    <w:qFormat/>
    <w:rPr>
      <w:sz w:val="22"/>
      <w:szCs w:val="22"/>
    </w:rPr>
  </w:style>
  <w:style w:type="character" w:styleId="EntteCar">
    <w:name w:val="En-tête Car"/>
    <w:qFormat/>
    <w:rPr>
      <w:sz w:val="22"/>
      <w:szCs w:val="22"/>
    </w:rPr>
  </w:style>
  <w:style w:type="character" w:styleId="PieddepageCar">
    <w:name w:val="Pied de page Car"/>
    <w:qFormat/>
    <w:rPr>
      <w:sz w:val="22"/>
      <w:szCs w:val="22"/>
    </w:rPr>
  </w:style>
  <w:style w:type="character" w:styleId="TextedebullesCar">
    <w:name w:val="Texte de bulles Car"/>
    <w:qFormat/>
    <w:rPr>
      <w:rFonts w:ascii="Tahoma" w:hAnsi="Tahoma" w:cs="Tahoma"/>
      <w:sz w:val="16"/>
      <w:szCs w:val="16"/>
    </w:rPr>
  </w:style>
  <w:style w:type="character" w:styleId="InternetLink">
    <w:name w:val="Internet Link"/>
    <w:rPr>
      <w:color w:val="0000FF"/>
      <w:u w:val="single"/>
    </w:rPr>
  </w:style>
  <w:style w:type="character" w:styleId="Txtmodifiable">
    <w:name w:val="txt_modifiable"/>
    <w:qFormat/>
    <w:rPr/>
  </w:style>
  <w:style w:type="paragraph" w:styleId="Heading">
    <w:name w:val="Heading"/>
    <w:basedOn w:val="Normal"/>
    <w:next w:val="TextBody"/>
    <w:qFormat/>
    <w:pPr>
      <w:pBdr>
        <w:top w:val="single" w:sz="12" w:space="1" w:color="000000" w:shadow="1"/>
        <w:left w:val="single" w:sz="12" w:space="4" w:color="000000" w:shadow="1"/>
        <w:bottom w:val="single" w:sz="12" w:space="1" w:color="000000" w:shadow="1"/>
        <w:right w:val="single" w:sz="12" w:space="4" w:color="000000" w:shadow="1"/>
      </w:pBdr>
      <w:spacing w:lineRule="auto" w:line="240" w:before="120" w:after="120"/>
      <w:ind w:left="709" w:right="567" w:hanging="0"/>
      <w:jc w:val="center"/>
    </w:pPr>
    <w:rPr>
      <w:rFonts w:ascii="Tahoma" w:hAnsi="Tahoma" w:eastAsia="Times New Roman" w:cs="Tahoma"/>
      <w:b/>
      <w:spacing w:val="20"/>
      <w:sz w:val="40"/>
      <w:szCs w:val="20"/>
    </w:rPr>
  </w:style>
  <w:style w:type="paragraph" w:styleId="TextBody">
    <w:name w:val="Body Text"/>
    <w:basedOn w:val="Normal"/>
    <w:pPr>
      <w:tabs>
        <w:tab w:val="left" w:pos="426" w:leader="none"/>
      </w:tabs>
      <w:spacing w:lineRule="auto" w:line="240" w:before="0" w:after="0"/>
      <w:jc w:val="both"/>
    </w:pPr>
    <w:rPr>
      <w:rFonts w:ascii="Arial" w:hAnsi="Arial" w:eastAsia="Times New Roman" w:cs="Arial"/>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ubtitle">
    <w:name w:val="Subtitle"/>
    <w:basedOn w:val="Normal"/>
    <w:next w:val="TextBody"/>
    <w:qFormat/>
    <w:pPr>
      <w:spacing w:lineRule="auto" w:line="240" w:before="0" w:after="0"/>
      <w:jc w:val="center"/>
    </w:pPr>
    <w:rPr>
      <w:rFonts w:ascii="Tahoma" w:hAnsi="Tahoma" w:eastAsia="Times New Roman" w:cs="Tahoma"/>
      <w:sz w:val="32"/>
      <w:szCs w:val="20"/>
    </w:rPr>
  </w:style>
  <w:style w:type="paragraph" w:styleId="Normalps">
    <w:name w:val="Normal.ps"/>
    <w:qFormat/>
    <w:pPr>
      <w:keepLines/>
      <w:widowControl/>
      <w:spacing w:before="240" w:after="0"/>
      <w:ind w:left="851" w:hanging="0"/>
      <w:jc w:val="both"/>
    </w:pPr>
    <w:rPr>
      <w:rFonts w:ascii="Times New Roman" w:hAnsi="Times New Roman" w:eastAsia="Times New Roman" w:cs="Times New Roman"/>
      <w:color w:val="auto"/>
      <w:sz w:val="24"/>
      <w:szCs w:val="20"/>
      <w:lang w:val="fr-FR" w:bidi="ar-SA" w:eastAsia="zh-CN"/>
    </w:rPr>
  </w:style>
  <w:style w:type="paragraph" w:styleId="TITREARTICLE">
    <w:name w:val="TITRE ARTICLE"/>
    <w:basedOn w:val="Heading2"/>
    <w:qFormat/>
    <w:pPr>
      <w:numPr>
        <w:ilvl w:val="0"/>
        <w:numId w:val="0"/>
      </w:numPr>
      <w:spacing w:lineRule="auto" w:line="240" w:before="360" w:after="120"/>
      <w:jc w:val="both"/>
    </w:pPr>
    <w:rPr>
      <w:rFonts w:ascii="Arial" w:hAnsi="Arial" w:eastAsia="Times New Roman" w:cs="Times New Roman"/>
      <w:bCs w:val="false"/>
      <w:i w:val="false"/>
      <w:iCs w:val="false"/>
      <w:sz w:val="22"/>
      <w:szCs w:val="20"/>
    </w:rPr>
  </w:style>
  <w:style w:type="paragraph" w:styleId="TITREssARTICLE">
    <w:name w:val="TITRE ssARTICLE"/>
    <w:basedOn w:val="Normal"/>
    <w:qFormat/>
    <w:pPr>
      <w:keepNext w:val="true"/>
      <w:spacing w:lineRule="auto" w:line="240" w:before="240" w:after="120"/>
      <w:jc w:val="both"/>
      <w:outlineLvl w:val="1"/>
    </w:pPr>
    <w:rPr>
      <w:rFonts w:ascii="Arial" w:hAnsi="Arial" w:eastAsia="Times New Roman" w:cs="Arial"/>
      <w:b/>
      <w:szCs w:val="20"/>
    </w:rPr>
  </w:style>
  <w:style w:type="paragraph" w:styleId="TextBodyIndent">
    <w:name w:val="Body Text Indent"/>
    <w:basedOn w:val="Normal"/>
    <w:pPr>
      <w:spacing w:before="0" w:after="120"/>
      <w:ind w:left="283" w:hanging="0"/>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
    <w:name w:val="li"/>
    <w:next w:val="Normal"/>
    <w:qFormat/>
    <w:pPr>
      <w:keepNext w:val="true"/>
      <w:widowControl/>
      <w:pBdr>
        <w:bottom w:val="single" w:sz="6" w:space="5" w:color="000000"/>
      </w:pBdr>
      <w:suppressAutoHyphens w:val="true"/>
      <w:spacing w:before="1100" w:after="480"/>
    </w:pPr>
    <w:rPr>
      <w:rFonts w:ascii="Helvetica" w:hAnsi="Helvetica" w:eastAsia="Times New Roman" w:cs="Helvetica"/>
      <w:b/>
      <w:color w:val="auto"/>
      <w:sz w:val="28"/>
      <w:szCs w:val="20"/>
      <w:lang w:val="fr-FR" w:eastAsia="en-GB" w:bidi="ar-SA"/>
    </w:rPr>
  </w:style>
  <w:style w:type="paragraph" w:styleId="Paragraphedeliste">
    <w:name w:val="Paragraphe de liste"/>
    <w:basedOn w:val="Normal"/>
    <w:qFormat/>
    <w:pPr>
      <w:spacing w:lineRule="auto" w:line="240" w:before="0" w:after="0"/>
      <w:ind w:left="720" w:hanging="0"/>
      <w:contextualSpacing/>
    </w:pPr>
    <w:rPr>
      <w:rFonts w:ascii="Times" w:hAnsi="Times" w:eastAsia="Times New Roman" w:cs="Times"/>
      <w:sz w:val="24"/>
      <w:szCs w:val="24"/>
    </w:rPr>
  </w:style>
  <w:style w:type="paragraph" w:styleId="TexteFax">
    <w:name w:val="texte Fax"/>
    <w:basedOn w:val="Header"/>
    <w:qFormat/>
    <w:pPr>
      <w:tabs>
        <w:tab w:val="left" w:pos="1701" w:leader="none"/>
        <w:tab w:val="left" w:pos="4678" w:leader="none"/>
      </w:tabs>
      <w:suppressAutoHyphens w:val="true"/>
      <w:spacing w:lineRule="auto" w:line="240" w:before="0" w:after="0"/>
    </w:pPr>
    <w:rPr>
      <w:rFonts w:ascii="Arial" w:hAnsi="Arial" w:eastAsia="Times New Roman" w:cs="Arial"/>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2022-02-07T18:40:00Z</dcterms:created>
  <dc:creator/>
  <dc:description/>
  <dc:language>en-GB</dc:language>
  <cp:lastModifiedBy/>
  <cp:lastPrinted>2021-07-08T20:01:00Z</cp:lastPrinted>
  <dcterms:modified xsi:type="dcterms:W3CDTF">2022-05-23T11:26:00Z</dcterms:modified>
  <cp:revision>27</cp:revision>
  <dc:subject/>
  <dc:title/>
</cp:coreProperties>
</file>