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1"/>
        <w:rPr>
          <w:rFonts w:ascii="Arial Narrow" w:hAnsi="Arial Narrow" w:cs="Arial Narrow"/>
          <w:lang w:val="en-GB" w:eastAsia="en-GB"/>
        </w:rPr>
      </w:pPr>
      <w:r>
        <w:rPr>
          <w:rFonts w:cs="Arial Narrow" w:ascii="Arial Narrow" w:hAnsi="Arial Narrow"/>
          <w:lang w:val="en-GB" w:eastAsia="en-GB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-51435</wp:posOffset>
                </wp:positionH>
                <wp:positionV relativeFrom="paragraph">
                  <wp:posOffset>116205</wp:posOffset>
                </wp:positionV>
                <wp:extent cx="1379220" cy="11430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1143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34060" cy="777875"/>
                                  <wp:effectExtent l="0" t="0" r="0" b="0"/>
                                  <wp:docPr id="2" name="Imag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6" t="-6" r="-6" b="-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4060" cy="777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AFPI Bretagne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DIAFOR Organisation</w:t>
                            </w:r>
                          </w:p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08.6pt;height:90pt;mso-wrap-distance-left:9.05pt;mso-wrap-distance-right:9.05pt;margin-top:9.15pt;mso-position-vertical-relative:text;margin-left:-4.0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lang w:val="en-GB" w:eastAsia="en-GB"/>
                        </w:rPr>
                        <w:drawing>
                          <wp:inline distT="0" distB="0" distL="0" distR="0">
                            <wp:extent cx="734060" cy="777875"/>
                            <wp:effectExtent l="0" t="0" r="0" b="0"/>
                            <wp:docPr id="3" name="Imag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6" t="-6" r="-6" b="-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4060" cy="777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AFPI Bretagne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DIAFOR Organisation</w:t>
                      </w:r>
                    </w:p>
                    <w:p>
                      <w:pPr>
                        <w:pStyle w:val="Normal"/>
                        <w:rPr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pBdr>
          <w:bottom w:val="single" w:sz="4" w:space="10" w:color="000000"/>
        </w:pBdr>
        <w:spacing w:before="0" w:after="0"/>
        <w:jc w:val="center"/>
        <w:rPr>
          <w:rFonts w:ascii="Arial Narrow" w:hAnsi="Arial Narrow" w:cs="Arial Narrow"/>
          <w:b/>
          <w:b/>
          <w:bCs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</w:r>
    </w:p>
    <w:p>
      <w:pPr>
        <w:pStyle w:val="TextBody"/>
        <w:pBdr>
          <w:bottom w:val="single" w:sz="4" w:space="10" w:color="000000"/>
        </w:pBdr>
        <w:spacing w:before="0" w:after="0"/>
        <w:jc w:val="center"/>
        <w:rPr/>
      </w:pPr>
      <w:r>
        <w:rPr>
          <w:rFonts w:eastAsia="Arial" w:cs="Arial"/>
          <w:b/>
          <w:bCs/>
          <w:sz w:val="24"/>
          <w:szCs w:val="24"/>
        </w:rPr>
        <w:t xml:space="preserve">                          </w:t>
      </w:r>
      <w:r>
        <w:rPr>
          <w:rFonts w:cs="Arial"/>
          <w:b/>
          <w:bCs/>
          <w:sz w:val="24"/>
          <w:szCs w:val="24"/>
        </w:rPr>
        <w:t xml:space="preserve">Accord NAO 2022 </w:t>
      </w:r>
    </w:p>
    <w:p>
      <w:pPr>
        <w:pStyle w:val="TextBody"/>
        <w:pBdr>
          <w:bottom w:val="single" w:sz="4" w:space="10" w:color="000000"/>
        </w:pBdr>
        <w:spacing w:before="0" w:after="0"/>
        <w:jc w:val="center"/>
        <w:rPr>
          <w:rFonts w:cs="Arial"/>
          <w:b/>
          <w:b/>
          <w:bCs/>
          <w:sz w:val="24"/>
          <w:szCs w:val="24"/>
        </w:rPr>
      </w:pPr>
      <w:r>
        <w:rPr>
          <w:rFonts w:eastAsia="Arial" w:cs="Arial"/>
          <w:b/>
          <w:bCs/>
          <w:sz w:val="24"/>
          <w:szCs w:val="24"/>
        </w:rPr>
        <w:t xml:space="preserve">                       </w:t>
      </w:r>
      <w:r>
        <w:rPr>
          <w:rFonts w:cs="Arial"/>
          <w:b/>
          <w:bCs/>
          <w:sz w:val="24"/>
          <w:szCs w:val="24"/>
        </w:rPr>
        <w:t>AFPI Bretagne / DIAFOR Organisation</w:t>
      </w:r>
    </w:p>
    <w:p>
      <w:pPr>
        <w:pStyle w:val="TextBody"/>
        <w:pBdr>
          <w:bottom w:val="single" w:sz="4" w:space="10" w:color="000000"/>
        </w:pBdr>
        <w:spacing w:before="0" w:after="0"/>
        <w:jc w:val="center"/>
        <w:rPr/>
      </w:pPr>
      <w:r>
        <w:rPr>
          <w:rFonts w:eastAsia="Arial" w:cs="Arial"/>
          <w:b/>
          <w:bCs/>
          <w:sz w:val="24"/>
          <w:szCs w:val="24"/>
        </w:rPr>
        <w:t xml:space="preserve">                             </w:t>
      </w:r>
      <w:r>
        <w:rPr>
          <w:rFonts w:cs="Arial"/>
          <w:b/>
          <w:bCs/>
          <w:sz w:val="22"/>
          <w:szCs w:val="24"/>
        </w:rPr>
        <w:t xml:space="preserve">Sur les Rémunérations, l’Organisation du temps de travail </w:t>
      </w:r>
    </w:p>
    <w:p>
      <w:pPr>
        <w:pStyle w:val="TextBody"/>
        <w:pBdr>
          <w:bottom w:val="single" w:sz="4" w:space="10" w:color="000000"/>
        </w:pBdr>
        <w:spacing w:before="0" w:after="0"/>
        <w:jc w:val="center"/>
        <w:rPr>
          <w:rFonts w:cs="Arial"/>
          <w:b/>
          <w:b/>
          <w:bCs/>
          <w:sz w:val="22"/>
          <w:szCs w:val="24"/>
        </w:rPr>
      </w:pPr>
      <w:r>
        <w:rPr>
          <w:rFonts w:eastAsia="Arial" w:cs="Arial"/>
          <w:b/>
          <w:bCs/>
          <w:sz w:val="22"/>
          <w:szCs w:val="24"/>
        </w:rPr>
        <w:t xml:space="preserve">                                 </w:t>
      </w:r>
      <w:r>
        <w:rPr>
          <w:rFonts w:cs="Arial"/>
          <w:b/>
          <w:bCs/>
          <w:sz w:val="22"/>
          <w:szCs w:val="24"/>
        </w:rPr>
        <w:t>le Partage de la valeur ajoutée  et sur l’égalité professionnelle</w:t>
      </w:r>
    </w:p>
    <w:p>
      <w:pPr>
        <w:pStyle w:val="TextBody"/>
        <w:pBdr>
          <w:bottom w:val="single" w:sz="4" w:space="10" w:color="000000"/>
        </w:pBdr>
        <w:spacing w:before="0" w:after="0"/>
        <w:jc w:val="center"/>
        <w:rPr>
          <w:rFonts w:cs="Arial"/>
          <w:b/>
          <w:b/>
          <w:bCs/>
          <w:sz w:val="18"/>
          <w:szCs w:val="24"/>
        </w:rPr>
      </w:pPr>
      <w:r>
        <w:rPr>
          <w:rFonts w:eastAsia="Arial" w:cs="Arial"/>
          <w:b/>
          <w:bCs/>
          <w:sz w:val="22"/>
          <w:szCs w:val="24"/>
        </w:rPr>
        <w:t xml:space="preserve">                    </w:t>
      </w:r>
      <w:r>
        <w:rPr>
          <w:rFonts w:cs="Arial"/>
          <w:b/>
          <w:bCs/>
          <w:sz w:val="22"/>
          <w:szCs w:val="24"/>
        </w:rPr>
        <w:t xml:space="preserve">entre les Femmes et les Hommes </w:t>
      </w:r>
    </w:p>
    <w:p>
      <w:pPr>
        <w:pStyle w:val="Normal"/>
        <w:suppressAutoHyphens w:val="false"/>
        <w:rPr>
          <w:b/>
          <w:b/>
          <w:sz w:val="22"/>
          <w:lang w:eastAsia="fr-FR"/>
        </w:rPr>
      </w:pPr>
      <w:r>
        <w:rPr>
          <w:b/>
          <w:sz w:val="22"/>
          <w:lang w:eastAsia="fr-FR"/>
        </w:rPr>
        <w:t>Conclu entre :</w:t>
      </w:r>
    </w:p>
    <w:p>
      <w:pPr>
        <w:pStyle w:val="Normal"/>
        <w:suppressAutoHyphens w:val="false"/>
        <w:rPr/>
      </w:pPr>
      <w:r>
        <w:rPr>
          <w:sz w:val="22"/>
          <w:lang w:eastAsia="fr-FR"/>
        </w:rPr>
        <w:t xml:space="preserve">L’UES AFPI Bretagne / DIAFOR Organisation, représentée par M             , Directeur Général  </w:t>
      </w:r>
    </w:p>
    <w:p>
      <w:pPr>
        <w:pStyle w:val="Normal"/>
        <w:suppressAutoHyphens w:val="false"/>
        <w:ind w:left="5664" w:firstLine="708"/>
        <w:rPr>
          <w:sz w:val="22"/>
          <w:lang w:eastAsia="fr-FR"/>
        </w:rPr>
      </w:pPr>
      <w:r>
        <w:rPr>
          <w:sz w:val="22"/>
          <w:lang w:eastAsia="fr-FR"/>
        </w:rPr>
        <w:t>D’une part,</w:t>
      </w:r>
    </w:p>
    <w:p>
      <w:pPr>
        <w:pStyle w:val="Normal"/>
        <w:suppressAutoHyphens w:val="false"/>
        <w:rPr>
          <w:b/>
          <w:b/>
          <w:sz w:val="22"/>
          <w:lang w:eastAsia="fr-FR"/>
        </w:rPr>
      </w:pPr>
      <w:r>
        <w:rPr>
          <w:b/>
          <w:sz w:val="22"/>
          <w:lang w:eastAsia="fr-FR"/>
        </w:rPr>
        <w:t xml:space="preserve">Et 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L’Organisation syndicale représentative au sein de l’UES (*)</w:t>
      </w:r>
    </w:p>
    <w:p>
      <w:pPr>
        <w:pStyle w:val="Normal"/>
        <w:suppressAutoHyphens w:val="false"/>
        <w:rPr/>
      </w:pPr>
      <w:r>
        <w:rPr>
          <w:sz w:val="22"/>
          <w:lang w:eastAsia="fr-FR"/>
        </w:rPr>
        <w:t xml:space="preserve">Le syndicat CFDT représenté par M               </w:t>
      </w:r>
      <w:r>
        <w:rPr>
          <w:b/>
          <w:sz w:val="22"/>
          <w:lang w:eastAsia="fr-FR"/>
        </w:rPr>
        <w:t xml:space="preserve"> </w:t>
      </w:r>
      <w:r>
        <w:rPr>
          <w:sz w:val="22"/>
          <w:lang w:eastAsia="fr-FR"/>
        </w:rPr>
        <w:t>en sa qualité de délégué syndical</w:t>
      </w:r>
    </w:p>
    <w:p>
      <w:pPr>
        <w:pStyle w:val="Normal"/>
        <w:suppressAutoHyphens w:val="false"/>
        <w:rPr>
          <w:rFonts w:eastAsia="Arial"/>
          <w:sz w:val="22"/>
          <w:lang w:eastAsia="fr-FR"/>
        </w:rPr>
      </w:pPr>
      <w:r>
        <w:rPr>
          <w:rFonts w:eastAsia="Arial"/>
          <w:sz w:val="22"/>
          <w:lang w:eastAsia="fr-FR"/>
        </w:rPr>
        <w:t xml:space="preserve"> 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ab/>
        <w:tab/>
        <w:tab/>
        <w:tab/>
        <w:tab/>
        <w:tab/>
        <w:tab/>
        <w:tab/>
        <w:tab/>
        <w:t>D’autre part,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Les partenaires sociaux ont engagé des négociations selon le calendrier suivant :</w:t>
      </w:r>
    </w:p>
    <w:p>
      <w:pPr>
        <w:pStyle w:val="Normal"/>
        <w:numPr>
          <w:ilvl w:val="0"/>
          <w:numId w:val="2"/>
        </w:numPr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Mardi 20 avril 2022</w:t>
      </w:r>
    </w:p>
    <w:p>
      <w:pPr>
        <w:pStyle w:val="Normal"/>
        <w:numPr>
          <w:ilvl w:val="0"/>
          <w:numId w:val="2"/>
        </w:numPr>
        <w:suppressAutoHyphens w:val="false"/>
        <w:rPr/>
      </w:pPr>
      <w:r>
        <w:rPr>
          <w:sz w:val="22"/>
          <w:lang w:eastAsia="fr-FR"/>
        </w:rPr>
        <w:t xml:space="preserve">Mercredi 4 mai 2022 </w:t>
      </w:r>
    </w:p>
    <w:p>
      <w:pPr>
        <w:pStyle w:val="Normal"/>
        <w:numPr>
          <w:ilvl w:val="0"/>
          <w:numId w:val="2"/>
        </w:numPr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Mercredi 18 mai 2022</w:t>
      </w:r>
    </w:p>
    <w:p>
      <w:pPr>
        <w:pStyle w:val="Normal"/>
        <w:numPr>
          <w:ilvl w:val="0"/>
          <w:numId w:val="2"/>
        </w:numPr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Lundi 30 mai 2022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La Négociation a porté sur :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numPr>
          <w:ilvl w:val="0"/>
          <w:numId w:val="6"/>
        </w:numPr>
        <w:suppressAutoHyphens w:val="false"/>
        <w:rPr/>
      </w:pPr>
      <w:r>
        <w:rPr>
          <w:sz w:val="22"/>
          <w:lang w:eastAsia="fr-FR"/>
        </w:rPr>
        <w:t xml:space="preserve">La rémunération, le temps de travail et le partage de la valeur ajoutée ; </w:t>
      </w:r>
    </w:p>
    <w:p>
      <w:pPr>
        <w:pStyle w:val="Normal"/>
        <w:numPr>
          <w:ilvl w:val="0"/>
          <w:numId w:val="6"/>
        </w:numPr>
        <w:suppressAutoHyphens w:val="false"/>
        <w:ind w:left="714" w:hanging="357"/>
        <w:rPr/>
      </w:pPr>
      <w:r>
        <w:rPr>
          <w:sz w:val="22"/>
          <w:lang w:eastAsia="fr-FR"/>
        </w:rPr>
        <w:t xml:space="preserve">L’égalité professionnelle entre les femmes et les hommes ; </w:t>
      </w:r>
    </w:p>
    <w:p>
      <w:pPr>
        <w:pStyle w:val="Normal"/>
        <w:numPr>
          <w:ilvl w:val="0"/>
          <w:numId w:val="6"/>
        </w:numPr>
        <w:suppressAutoHyphens w:val="false"/>
        <w:ind w:left="714" w:hanging="357"/>
        <w:rPr>
          <w:sz w:val="22"/>
          <w:lang w:eastAsia="fr-FR"/>
        </w:rPr>
      </w:pPr>
      <w:r>
        <w:rPr>
          <w:sz w:val="22"/>
          <w:lang w:eastAsia="fr-FR"/>
        </w:rPr>
        <w:t>La Durée effective et l’organisation du temps de travail (tps partiels, journée de solidarité …) ;</w:t>
      </w:r>
    </w:p>
    <w:p>
      <w:pPr>
        <w:pStyle w:val="Normal"/>
        <w:suppressAutoHyphens w:val="false"/>
        <w:spacing w:before="100" w:after="100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spacing w:before="100" w:after="100"/>
        <w:rPr>
          <w:sz w:val="22"/>
          <w:lang w:eastAsia="fr-FR"/>
        </w:rPr>
      </w:pPr>
      <w:r>
        <w:rPr>
          <w:sz w:val="22"/>
          <w:lang w:eastAsia="fr-FR"/>
        </w:rPr>
        <w:t>Cette négociation s’est appuyée sur les données de la base de données économiques et sociales.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A l’issue de la négociation annuelle obligatoire, il a été convenu ce qui suit :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lang w:eastAsia="fr-FR"/>
        </w:rPr>
      </w:pPr>
      <w:r>
        <w:rPr>
          <w:rFonts w:eastAsia="Arial"/>
          <w:lang w:eastAsia="fr-FR"/>
        </w:rPr>
        <w:t xml:space="preserve"> </w:t>
      </w:r>
    </w:p>
    <w:p>
      <w:pPr>
        <w:pStyle w:val="Heading1"/>
        <w:numPr>
          <w:ilvl w:val="0"/>
          <w:numId w:val="1"/>
        </w:numPr>
        <w:rPr/>
      </w:pPr>
      <w:r>
        <w:rPr/>
        <w:t>Champ d’application de l’accord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Le présent accord s’applique au personnel salarié travaillant à ce jour à l’AFPI Bretagne et/ou DIAFOR Organisation, avec une ancienneté de 3 mois mini à la date de signature du présent accord.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lang w:eastAsia="fr-FR"/>
        </w:rPr>
      </w:pPr>
      <w:r>
        <w:rPr>
          <w:rFonts w:eastAsia="Arial"/>
          <w:lang w:eastAsia="fr-FR"/>
        </w:rPr>
        <w:t xml:space="preserve"> </w:t>
      </w:r>
    </w:p>
    <w:p>
      <w:pPr>
        <w:pStyle w:val="Heading1"/>
        <w:numPr>
          <w:ilvl w:val="0"/>
          <w:numId w:val="1"/>
        </w:numPr>
        <w:rPr/>
      </w:pPr>
      <w:r>
        <w:rPr/>
        <w:t>Dispositions de l’accord</w:t>
      </w:r>
    </w:p>
    <w:p>
      <w:pPr>
        <w:pStyle w:val="Normal"/>
        <w:suppressAutoHyphens w:val="false"/>
        <w:jc w:val="right"/>
        <w:rPr>
          <w:lang w:eastAsia="fr-FR"/>
        </w:rPr>
      </w:pPr>
      <w:r>
        <w:rPr>
          <w:lang w:eastAsia="fr-FR"/>
        </w:rPr>
      </w:r>
    </w:p>
    <w:p>
      <w:pPr>
        <w:pStyle w:val="Heading1"/>
        <w:numPr>
          <w:ilvl w:val="1"/>
          <w:numId w:val="1"/>
        </w:numPr>
        <w:rPr>
          <w:sz w:val="22"/>
        </w:rPr>
      </w:pPr>
      <w:r>
        <w:rPr>
          <w:sz w:val="22"/>
        </w:rPr>
        <w:t>Salaires effectifs et éléments périphériques de rémunération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2"/>
          <w:numId w:val="1"/>
        </w:numPr>
        <w:rPr>
          <w:sz w:val="22"/>
        </w:rPr>
      </w:pPr>
      <w:r>
        <w:rPr>
          <w:sz w:val="22"/>
        </w:rPr>
        <w:t>Salaires effectifs</w:t>
      </w:r>
    </w:p>
    <w:p>
      <w:pPr>
        <w:pStyle w:val="Normal"/>
        <w:autoSpaceDE w:val="false"/>
        <w:ind w:left="432" w:firstLine="277"/>
        <w:rPr>
          <w:rFonts w:cs="Arial"/>
          <w:b/>
          <w:b/>
          <w:sz w:val="22"/>
          <w:szCs w:val="24"/>
        </w:rPr>
      </w:pPr>
      <w:r>
        <w:rPr>
          <w:rFonts w:cs="Arial"/>
          <w:sz w:val="22"/>
          <w:szCs w:val="24"/>
        </w:rPr>
        <w:t>Non Cadres </w:t>
        <w:tab/>
        <w:t xml:space="preserve">: </w:t>
        <w:tab/>
        <w:t xml:space="preserve">Augmentation générale de </w:t>
      </w:r>
      <w:r>
        <w:rPr>
          <w:rFonts w:cs="Arial"/>
          <w:b/>
          <w:sz w:val="22"/>
          <w:szCs w:val="24"/>
        </w:rPr>
        <w:t xml:space="preserve">1000 € Brut annuel (ETP) </w:t>
      </w:r>
      <w:r>
        <w:rPr>
          <w:rFonts w:cs="Arial"/>
          <w:sz w:val="22"/>
          <w:szCs w:val="24"/>
        </w:rPr>
        <w:t>sur 12 mois</w:t>
      </w:r>
    </w:p>
    <w:p>
      <w:pPr>
        <w:pStyle w:val="Normal"/>
        <w:autoSpaceDE w:val="false"/>
        <w:ind w:left="709" w:hanging="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Cette augmentation forfaitaire sera proratisée en fonction du temps de travail pour les salariés à temps partiel.</w:t>
      </w:r>
    </w:p>
    <w:p>
      <w:pPr>
        <w:pStyle w:val="Normal"/>
        <w:autoSpaceDE w:val="false"/>
        <w:ind w:left="432" w:firstLine="27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</w:r>
    </w:p>
    <w:p>
      <w:pPr>
        <w:pStyle w:val="Normal"/>
        <w:autoSpaceDE w:val="false"/>
        <w:ind w:left="432" w:firstLine="277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Cadres </w:t>
        <w:tab/>
        <w:t>:</w:t>
        <w:tab/>
        <w:t xml:space="preserve">Augmentation individuelle : enveloppe </w:t>
      </w:r>
      <w:r>
        <w:rPr>
          <w:rFonts w:cs="Arial"/>
          <w:b/>
          <w:sz w:val="22"/>
          <w:szCs w:val="24"/>
        </w:rPr>
        <w:t>de 2.8%</w:t>
      </w:r>
    </w:p>
    <w:p>
      <w:pPr>
        <w:pStyle w:val="Normal"/>
        <w:autoSpaceDE w:val="false"/>
        <w:ind w:left="432" w:hanging="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</w:r>
    </w:p>
    <w:p>
      <w:pPr>
        <w:pStyle w:val="Normal"/>
        <w:autoSpaceDE w:val="false"/>
        <w:ind w:left="432" w:firstLine="277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Application à effet rétroactif au 1</w:t>
      </w:r>
      <w:r>
        <w:rPr>
          <w:rFonts w:cs="Arial"/>
          <w:sz w:val="22"/>
          <w:szCs w:val="24"/>
          <w:vertAlign w:val="superscript"/>
        </w:rPr>
        <w:t>er</w:t>
      </w:r>
      <w:r>
        <w:rPr>
          <w:rFonts w:cs="Arial"/>
          <w:sz w:val="22"/>
          <w:szCs w:val="24"/>
        </w:rPr>
        <w:t xml:space="preserve"> janvier 2022</w:t>
      </w:r>
    </w:p>
    <w:p>
      <w:pPr>
        <w:pStyle w:val="Normal"/>
        <w:tabs>
          <w:tab w:val="left" w:pos="1305" w:leader="none"/>
        </w:tabs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2"/>
          <w:numId w:val="1"/>
        </w:numPr>
        <w:rPr>
          <w:sz w:val="22"/>
        </w:rPr>
      </w:pPr>
      <w:r>
        <w:rPr>
          <w:sz w:val="22"/>
        </w:rPr>
        <w:t>Eléments périphériques de rémunération</w:t>
      </w:r>
    </w:p>
    <w:p>
      <w:pPr>
        <w:pStyle w:val="Normal"/>
        <w:ind w:firstLine="709"/>
        <w:rPr>
          <w:b/>
          <w:b/>
          <w:sz w:val="22"/>
        </w:rPr>
      </w:pPr>
      <w:r>
        <w:rPr>
          <w:b/>
          <w:sz w:val="22"/>
        </w:rPr>
        <w:t>Pécule de vacances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>La Direction s’engage à verser un montant minimum forfaitaire de 10€ brut/sal. Par association.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</w:rPr>
        <w:t>Les règles d’éligibilité restent inchangées pour l’attribution du pécule de vacances, à savoir la présence dans les effectifs au moment du versement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ind w:firstLine="709"/>
        <w:rPr>
          <w:b/>
          <w:b/>
          <w:sz w:val="22"/>
        </w:rPr>
      </w:pPr>
      <w:r>
        <w:rPr>
          <w:b/>
          <w:sz w:val="22"/>
        </w:rPr>
        <w:t>Prime de fin d’année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</w:rPr>
        <w:t>La Direction d’engage à verser un montant minimum forfaitaire de 100€ brut/sal. (prime et majoration de prime cumulées)</w:t>
      </w:r>
    </w:p>
    <w:p>
      <w:pPr>
        <w:pStyle w:val="Normal"/>
        <w:numPr>
          <w:ilvl w:val="0"/>
          <w:numId w:val="3"/>
        </w:numPr>
        <w:rPr>
          <w:sz w:val="22"/>
        </w:rPr>
      </w:pPr>
      <w:r>
        <w:rPr>
          <w:sz w:val="22"/>
        </w:rPr>
        <w:t>Les règles d’éligibilité restent inchangées pour l’attribution de la prime de fin d’année, à savoir la présence dans les effectifs le mois de versement avec majoration pour tous les salariés justifiant de 6 mois d’ancienneté cumulée dans l’année d’attribution.</w:t>
      </w:r>
    </w:p>
    <w:p>
      <w:pPr>
        <w:pStyle w:val="Normal"/>
        <w:ind w:left="1069"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Intéressement et sur-intéressement</w:t>
      </w:r>
    </w:p>
    <w:p>
      <w:pPr>
        <w:pStyle w:val="Normal"/>
        <w:numPr>
          <w:ilvl w:val="0"/>
          <w:numId w:val="7"/>
        </w:numPr>
        <w:suppressAutoHyphens w:val="false"/>
        <w:rPr/>
      </w:pPr>
      <w:r>
        <w:rPr>
          <w:rFonts w:cs="Arial"/>
          <w:sz w:val="22"/>
          <w:szCs w:val="22"/>
          <w:lang w:eastAsia="fr-FR"/>
        </w:rPr>
        <w:t xml:space="preserve">L’intéressement fait l’objet d’un accord spécifique. L’accord en cours couvre la période 2021-2023 ; </w:t>
      </w:r>
    </w:p>
    <w:p>
      <w:pPr>
        <w:pStyle w:val="Normal"/>
        <w:suppressAutoHyphens w:val="false"/>
        <w:ind w:left="720" w:firstLine="345"/>
        <w:rPr/>
      </w:pPr>
      <w:r>
        <w:rPr>
          <w:rFonts w:cs="Arial"/>
          <w:sz w:val="22"/>
          <w:szCs w:val="22"/>
          <w:lang w:eastAsia="fr-FR"/>
        </w:rPr>
        <w:t>Le calcul prévisionnel de la prime d’intéressement sur l’exercice 2021 est estimé à :</w:t>
      </w:r>
    </w:p>
    <w:p>
      <w:pPr>
        <w:pStyle w:val="Normal"/>
        <w:numPr>
          <w:ilvl w:val="1"/>
          <w:numId w:val="2"/>
        </w:numPr>
        <w:suppressAutoHyphens w:val="false"/>
        <w:rPr>
          <w:rFonts w:cs="Arial"/>
          <w:sz w:val="22"/>
          <w:szCs w:val="22"/>
          <w:lang w:eastAsia="fr-FR"/>
        </w:rPr>
      </w:pPr>
      <w:r>
        <w:rPr>
          <w:rFonts w:cs="Arial"/>
          <w:sz w:val="22"/>
          <w:szCs w:val="22"/>
          <w:lang w:eastAsia="fr-FR"/>
        </w:rPr>
        <w:t>Environ 1113 € brut / salarié ETP (présence 1820 heures sur l’année)</w:t>
      </w:r>
    </w:p>
    <w:p>
      <w:pPr>
        <w:pStyle w:val="Normal"/>
        <w:numPr>
          <w:ilvl w:val="1"/>
          <w:numId w:val="2"/>
        </w:numPr>
        <w:suppressAutoHyphens w:val="false"/>
        <w:rPr/>
      </w:pPr>
      <w:r>
        <w:rPr>
          <w:rFonts w:cs="Arial"/>
          <w:sz w:val="22"/>
          <w:szCs w:val="22"/>
          <w:lang w:eastAsia="fr-FR"/>
        </w:rPr>
        <w:t xml:space="preserve">Environ 1005 € net / salarié ETP (présence 1820 heures sur l’année), </w:t>
      </w:r>
    </w:p>
    <w:p>
      <w:pPr>
        <w:pStyle w:val="Normal"/>
        <w:suppressAutoHyphens w:val="false"/>
        <w:ind w:left="705" w:hanging="0"/>
        <w:rPr>
          <w:rFonts w:cs="Arial"/>
          <w:sz w:val="22"/>
          <w:szCs w:val="22"/>
          <w:lang w:eastAsia="fr-FR"/>
        </w:rPr>
      </w:pPr>
      <w:r>
        <w:rPr>
          <w:rFonts w:cs="Arial"/>
          <w:sz w:val="22"/>
          <w:szCs w:val="22"/>
          <w:lang w:eastAsia="fr-FR"/>
        </w:rPr>
      </w:r>
    </w:p>
    <w:p>
      <w:pPr>
        <w:pStyle w:val="Normal"/>
        <w:suppressAutoHyphens w:val="false"/>
        <w:ind w:left="705" w:hanging="0"/>
        <w:rPr>
          <w:rFonts w:cs="Arial"/>
          <w:sz w:val="22"/>
          <w:szCs w:val="22"/>
          <w:lang w:eastAsia="fr-FR"/>
        </w:rPr>
      </w:pPr>
      <w:r>
        <w:rPr>
          <w:rFonts w:cs="Arial"/>
          <w:sz w:val="22"/>
          <w:szCs w:val="22"/>
          <w:lang w:eastAsia="fr-FR"/>
        </w:rPr>
        <w:t xml:space="preserve">Déclenchement d’un sur-intéressement de </w:t>
      </w:r>
    </w:p>
    <w:p>
      <w:pPr>
        <w:pStyle w:val="Normal"/>
        <w:numPr>
          <w:ilvl w:val="1"/>
          <w:numId w:val="2"/>
        </w:numPr>
        <w:suppressAutoHyphens w:val="false"/>
        <w:rPr/>
      </w:pPr>
      <w:r>
        <w:rPr>
          <w:rFonts w:cs="Arial"/>
          <w:sz w:val="22"/>
          <w:szCs w:val="22"/>
          <w:lang w:eastAsia="fr-FR"/>
        </w:rPr>
        <w:t xml:space="preserve">Environ 1 495 € net / sal etp (présence 1820 heures sur l’année) </w:t>
      </w:r>
    </w:p>
    <w:p>
      <w:pPr>
        <w:pStyle w:val="Normal"/>
        <w:suppressAutoHyphens w:val="false"/>
        <w:rPr>
          <w:rFonts w:cs="Arial"/>
          <w:sz w:val="22"/>
          <w:szCs w:val="22"/>
          <w:lang w:eastAsia="fr-FR"/>
        </w:rPr>
      </w:pPr>
      <w:r>
        <w:rPr>
          <w:rFonts w:cs="Arial"/>
          <w:sz w:val="22"/>
          <w:szCs w:val="22"/>
          <w:lang w:eastAsia="fr-FR"/>
        </w:rPr>
      </w:r>
    </w:p>
    <w:p>
      <w:pPr>
        <w:pStyle w:val="Normal"/>
        <w:suppressAutoHyphens w:val="false"/>
        <w:ind w:left="705" w:hanging="0"/>
        <w:rPr/>
      </w:pPr>
      <w:r>
        <w:rPr>
          <w:rFonts w:cs="Arial"/>
          <w:sz w:val="22"/>
          <w:szCs w:val="22"/>
          <w:lang w:eastAsia="fr-FR"/>
        </w:rPr>
        <w:t>Soit un montant Intéressement + sur-intéressement sur l’exercice 2021 :</w:t>
      </w:r>
    </w:p>
    <w:p>
      <w:pPr>
        <w:pStyle w:val="Normal"/>
        <w:numPr>
          <w:ilvl w:val="1"/>
          <w:numId w:val="2"/>
        </w:numPr>
        <w:suppressAutoHyphens w:val="false"/>
        <w:rPr/>
      </w:pPr>
      <w:r>
        <w:rPr>
          <w:rFonts w:cs="Arial"/>
          <w:sz w:val="22"/>
          <w:szCs w:val="22"/>
          <w:lang w:eastAsia="fr-FR"/>
        </w:rPr>
        <w:t xml:space="preserve">Environ </w:t>
      </w:r>
      <w:r>
        <w:rPr>
          <w:rFonts w:cs="Arial"/>
          <w:b/>
          <w:sz w:val="22"/>
          <w:szCs w:val="22"/>
          <w:lang w:eastAsia="fr-FR"/>
        </w:rPr>
        <w:t>2500 € net</w:t>
      </w:r>
      <w:r>
        <w:rPr>
          <w:rFonts w:cs="Arial"/>
          <w:sz w:val="22"/>
          <w:szCs w:val="22"/>
          <w:lang w:eastAsia="fr-FR"/>
        </w:rPr>
        <w:t xml:space="preserve"> / sal etp (présence 1820 heures sur l’année) </w:t>
      </w:r>
    </w:p>
    <w:p>
      <w:pPr>
        <w:pStyle w:val="Normal"/>
        <w:suppressAutoHyphens w:val="false"/>
        <w:rPr>
          <w:rFonts w:cs="Arial"/>
          <w:sz w:val="22"/>
          <w:szCs w:val="22"/>
          <w:lang w:eastAsia="fr-FR"/>
        </w:rPr>
      </w:pPr>
      <w:r>
        <w:rPr>
          <w:rFonts w:cs="Arial"/>
          <w:sz w:val="22"/>
          <w:szCs w:val="22"/>
          <w:lang w:eastAsia="fr-FR"/>
        </w:rPr>
      </w:r>
    </w:p>
    <w:p>
      <w:pPr>
        <w:pStyle w:val="Normal"/>
        <w:suppressAutoHyphens w:val="false"/>
        <w:rPr>
          <w:rFonts w:cs="Arial"/>
          <w:sz w:val="22"/>
          <w:szCs w:val="22"/>
          <w:lang w:eastAsia="fr-FR"/>
        </w:rPr>
      </w:pPr>
      <w:r>
        <w:rPr>
          <w:rFonts w:cs="Arial"/>
          <w:sz w:val="22"/>
          <w:szCs w:val="22"/>
          <w:lang w:eastAsia="fr-FR"/>
        </w:rPr>
      </w:r>
    </w:p>
    <w:p>
      <w:pPr>
        <w:pStyle w:val="Heading1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Participation</w:t>
      </w:r>
    </w:p>
    <w:p>
      <w:pPr>
        <w:pStyle w:val="Normal"/>
        <w:suppressAutoHyphens w:val="false"/>
        <w:ind w:left="705" w:hanging="0"/>
        <w:rPr>
          <w:rFonts w:cs="Arial"/>
          <w:i/>
          <w:i/>
          <w:sz w:val="22"/>
          <w:szCs w:val="22"/>
          <w:lang w:eastAsia="fr-FR"/>
        </w:rPr>
      </w:pPr>
      <w:r>
        <w:rPr>
          <w:rFonts w:cs="Arial"/>
          <w:sz w:val="22"/>
          <w:szCs w:val="22"/>
          <w:lang w:eastAsia="fr-FR"/>
        </w:rPr>
        <w:t>Les résultats sur l’exercice 2021 ne déclenche pas de participation ni sur la structure AFPI ni sur la structure DIAFOR.</w:t>
      </w:r>
    </w:p>
    <w:p>
      <w:pPr>
        <w:pStyle w:val="Normal"/>
        <w:suppressAutoHyphens w:val="false"/>
        <w:ind w:left="705" w:hanging="0"/>
        <w:rPr>
          <w:rFonts w:cs="Arial"/>
          <w:i/>
          <w:i/>
          <w:sz w:val="22"/>
          <w:szCs w:val="22"/>
          <w:lang w:eastAsia="fr-FR"/>
        </w:rPr>
      </w:pPr>
      <w:r>
        <w:rPr>
          <w:rFonts w:cs="Arial"/>
          <w:i/>
          <w:sz w:val="22"/>
          <w:szCs w:val="22"/>
          <w:lang w:eastAsia="fr-FR"/>
        </w:rPr>
      </w:r>
    </w:p>
    <w:p>
      <w:pPr>
        <w:pStyle w:val="Normal"/>
        <w:rPr>
          <w:rFonts w:cs="Arial"/>
          <w:i/>
          <w:i/>
          <w:sz w:val="22"/>
          <w:szCs w:val="22"/>
          <w:lang w:eastAsia="fr-FR"/>
        </w:rPr>
      </w:pPr>
      <w:r>
        <w:rPr>
          <w:rFonts w:cs="Arial"/>
          <w:i/>
          <w:sz w:val="22"/>
          <w:szCs w:val="22"/>
          <w:lang w:eastAsia="fr-FR"/>
        </w:rPr>
      </w:r>
    </w:p>
    <w:p>
      <w:pPr>
        <w:pStyle w:val="Heading1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Mesures visant à supprimer les écarts de rémunération entre les femmes et les hommes</w:t>
      </w:r>
    </w:p>
    <w:p>
      <w:pPr>
        <w:pStyle w:val="Normal"/>
        <w:ind w:left="576" w:hanging="0"/>
        <w:rPr/>
      </w:pPr>
      <w:r>
        <w:rPr>
          <w:sz w:val="22"/>
        </w:rPr>
        <w:t>La Direction précise que pour cette année 2021, l’index Egalité Femmes-Hommes (Egapro) n’est pas calculable en raison des effectifs des groupes valides inférieur à 40% de l’effectif (à noter qu’il était calculable et égal à 86/100 l’an passé).</w:t>
      </w:r>
    </w:p>
    <w:p>
      <w:pPr>
        <w:pStyle w:val="Normal"/>
        <w:ind w:left="576" w:hanging="0"/>
        <w:rPr>
          <w:sz w:val="22"/>
        </w:rPr>
      </w:pPr>
      <w:r>
        <w:rPr>
          <w:sz w:val="22"/>
        </w:rPr>
      </w:r>
    </w:p>
    <w:p>
      <w:pPr>
        <w:pStyle w:val="Normal"/>
        <w:ind w:left="576" w:hanging="0"/>
        <w:rPr>
          <w:sz w:val="22"/>
        </w:rPr>
      </w:pPr>
      <w:r>
        <w:rPr>
          <w:sz w:val="22"/>
        </w:rPr>
        <w:t>Elle entend par ailleurs poursuivre :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</w:rPr>
        <w:t>L’application systématique de l’égalité de rémunération à l’embauche, quel que soit le sexe, en tenant compte uniquement des compétences et de l’expérience.</w:t>
      </w:r>
    </w:p>
    <w:p>
      <w:pPr>
        <w:pStyle w:val="Normal"/>
        <w:numPr>
          <w:ilvl w:val="0"/>
          <w:numId w:val="5"/>
        </w:numPr>
        <w:rPr>
          <w:sz w:val="22"/>
        </w:rPr>
      </w:pPr>
      <w:r>
        <w:rPr>
          <w:sz w:val="22"/>
        </w:rPr>
        <w:t>La Réalisation et la transmission annuelle de bilans selon le genre, des salaires et des dernières augmentations à l’intention des responsables et des chefs de services</w:t>
      </w:r>
    </w:p>
    <w:p>
      <w:pPr>
        <w:pStyle w:val="Paragraphedeliste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>
          <w:rFonts w:cs="Arial" w:ascii="Arial" w:hAnsi="Arial"/>
          <w:szCs w:val="24"/>
          <w:lang w:eastAsia="fr-FR"/>
        </w:rPr>
        <w:t>Le Rappel systématique aux responsables des règles en matière d’égalité salariale et des équilibres d’attribution à prendre en compte (sexe, âge).</w:t>
      </w:r>
    </w:p>
    <w:p>
      <w:pPr>
        <w:pStyle w:val="Paragraphedeliste"/>
        <w:spacing w:lineRule="auto" w:line="240" w:before="0" w:after="0"/>
        <w:contextualSpacing/>
        <w:jc w:val="both"/>
        <w:rPr>
          <w:rFonts w:ascii="Arial" w:hAnsi="Arial" w:cs="Arial"/>
          <w:szCs w:val="24"/>
          <w:lang w:eastAsia="fr-FR"/>
        </w:rPr>
      </w:pPr>
      <w:r>
        <w:rPr>
          <w:rFonts w:cs="Arial" w:ascii="Arial" w:hAnsi="Arial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2"/>
          <w:szCs w:val="22"/>
          <w:lang w:eastAsia="fr-FR"/>
        </w:rPr>
      </w:pPr>
      <w:r>
        <w:rPr>
          <w:rFonts w:cs="Arial"/>
          <w:sz w:val="22"/>
          <w:szCs w:val="22"/>
          <w:lang w:eastAsia="fr-FR"/>
        </w:rPr>
      </w:r>
    </w:p>
    <w:p>
      <w:pPr>
        <w:pStyle w:val="Heading1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Durée effective et organisation du temps de travail</w:t>
      </w:r>
    </w:p>
    <w:p>
      <w:pPr>
        <w:pStyle w:val="Normal"/>
        <w:numPr>
          <w:ilvl w:val="0"/>
          <w:numId w:val="7"/>
        </w:numPr>
        <w:suppressAutoHyphens w:val="false"/>
        <w:rPr>
          <w:rFonts w:eastAsia="Calibri" w:cs="Arial"/>
          <w:sz w:val="22"/>
          <w:szCs w:val="24"/>
          <w:lang w:eastAsia="fr-FR"/>
        </w:rPr>
      </w:pPr>
      <w:r>
        <w:rPr>
          <w:rFonts w:eastAsia="Calibri" w:cs="Arial"/>
          <w:sz w:val="22"/>
          <w:szCs w:val="24"/>
          <w:lang w:eastAsia="fr-FR"/>
        </w:rPr>
        <w:t>Pas de modification des horaires collectifs ;</w:t>
      </w:r>
    </w:p>
    <w:p>
      <w:pPr>
        <w:pStyle w:val="Normal"/>
        <w:suppressAutoHyphens w:val="false"/>
        <w:ind w:left="720" w:hanging="0"/>
        <w:rPr>
          <w:rFonts w:eastAsia="Calibri" w:cs="Arial"/>
          <w:sz w:val="22"/>
          <w:szCs w:val="24"/>
          <w:lang w:eastAsia="fr-FR"/>
        </w:rPr>
      </w:pPr>
      <w:r>
        <w:rPr>
          <w:rFonts w:eastAsia="Calibri" w:cs="Arial"/>
          <w:sz w:val="22"/>
          <w:szCs w:val="24"/>
          <w:lang w:eastAsia="fr-FR"/>
        </w:rPr>
      </w:r>
    </w:p>
    <w:p>
      <w:pPr>
        <w:pStyle w:val="Normal"/>
        <w:suppressAutoHyphens w:val="false"/>
        <w:rPr>
          <w:rFonts w:eastAsia="Calibri" w:cs="Arial"/>
          <w:b/>
          <w:b/>
          <w:sz w:val="22"/>
          <w:szCs w:val="22"/>
          <w:lang w:eastAsia="fr-FR"/>
        </w:rPr>
      </w:pPr>
      <w:r>
        <w:rPr>
          <w:rFonts w:eastAsia="Calibri" w:cs="Arial"/>
          <w:b/>
          <w:sz w:val="22"/>
          <w:szCs w:val="22"/>
          <w:lang w:eastAsia="fr-FR"/>
        </w:rPr>
      </w:r>
    </w:p>
    <w:p>
      <w:pPr>
        <w:pStyle w:val="Heading1"/>
        <w:numPr>
          <w:ilvl w:val="0"/>
          <w:numId w:val="1"/>
        </w:numPr>
        <w:rPr/>
      </w:pPr>
      <w:r>
        <w:rPr/>
        <w:t>Durée et application de l’accord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Le présent accord est conclu pour une durée déterminée d’un an, soit du 1/01/2022 au 31/12/2022 ; En application de l’article L.2222-4 du Code du travail, à l’échéance de son terme, le présent accord à durée déterminée ne continuera pas à produire ses effets comme un accord à durée indéterminée</w:t>
      </w:r>
    </w:p>
    <w:p>
      <w:pPr>
        <w:pStyle w:val="Normal"/>
        <w:suppressAutoHyphens w:val="false"/>
        <w:rPr>
          <w:b/>
          <w:b/>
          <w:sz w:val="22"/>
          <w:lang w:eastAsia="fr-FR"/>
        </w:rPr>
      </w:pPr>
      <w:r>
        <w:rPr>
          <w:b/>
          <w:sz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lang w:eastAsia="fr-FR"/>
        </w:rPr>
      </w:pPr>
      <w:r>
        <w:rPr>
          <w:b/>
          <w:sz w:val="22"/>
          <w:lang w:eastAsia="fr-FR"/>
        </w:rPr>
      </w:r>
    </w:p>
    <w:p>
      <w:pPr>
        <w:pStyle w:val="Heading1"/>
        <w:numPr>
          <w:ilvl w:val="0"/>
          <w:numId w:val="1"/>
        </w:numPr>
        <w:rPr/>
      </w:pPr>
      <w:r>
        <w:rPr/>
        <w:t>Publicité de l’accord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 xml:space="preserve">Le présent accord fera l’objet de Dépôt conformément aux dispositions légales en la matière : </w:t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 w:val="22"/>
          <w:lang w:eastAsia="fr-FR"/>
        </w:rPr>
        <w:t>1 exemplaire original au(x) OS + 1 à la Direction</w:t>
      </w:r>
    </w:p>
    <w:p>
      <w:pPr>
        <w:pStyle w:val="Normal"/>
        <w:numPr>
          <w:ilvl w:val="0"/>
          <w:numId w:val="4"/>
        </w:numPr>
        <w:suppressAutoHyphens w:val="false"/>
        <w:spacing w:lineRule="exact" w:line="285"/>
        <w:jc w:val="both"/>
        <w:rPr>
          <w:sz w:val="22"/>
          <w:lang w:eastAsia="fr-FR"/>
        </w:rPr>
      </w:pPr>
      <w:r>
        <w:rPr>
          <w:rFonts w:cs="Arial"/>
          <w:color w:val="000000"/>
          <w:sz w:val="21"/>
          <w:szCs w:val="21"/>
          <w:lang w:eastAsia="fr-FR"/>
        </w:rPr>
        <w:t xml:space="preserve">1 Dépôt en version dématérialisé sur le site </w:t>
      </w:r>
      <w:hyperlink r:id="rId3" w:tgtFrame="_blank">
        <w:r>
          <w:rPr>
            <w:rStyle w:val="InternetLink"/>
            <w:rFonts w:cs="Arial"/>
            <w:b/>
            <w:bCs/>
            <w:i/>
            <w:iCs/>
            <w:color w:val="0595D6"/>
            <w:sz w:val="21"/>
            <w:szCs w:val="21"/>
            <w:u w:val="single"/>
            <w:lang w:eastAsia="fr-FR"/>
          </w:rPr>
          <w:t>www.teleaccords.travail-emploi.gouv.fr</w:t>
        </w:r>
      </w:hyperlink>
      <w:r>
        <w:rPr>
          <w:rFonts w:cs="Arial"/>
          <w:color w:val="000000"/>
          <w:sz w:val="21"/>
          <w:szCs w:val="21"/>
          <w:lang w:eastAsia="fr-FR"/>
        </w:rPr>
        <w:t xml:space="preserve">  (disposition en vigueur, </w:t>
      </w:r>
      <w:r>
        <w:rPr>
          <w:rFonts w:cs="Arial"/>
          <w:bCs/>
          <w:color w:val="000000"/>
          <w:sz w:val="21"/>
          <w:szCs w:val="21"/>
          <w:lang w:eastAsia="fr-FR"/>
        </w:rPr>
        <w:t xml:space="preserve">loi du 8 août 2016 relative au travail, à la modernisation du dialogue social et à la sécurisation des parcours professionnels) </w:t>
      </w:r>
    </w:p>
    <w:p>
      <w:pPr>
        <w:pStyle w:val="Normal"/>
        <w:numPr>
          <w:ilvl w:val="0"/>
          <w:numId w:val="4"/>
        </w:numPr>
        <w:suppressAutoHyphens w:val="false"/>
        <w:rPr/>
      </w:pPr>
      <w:r>
        <w:rPr>
          <w:sz w:val="22"/>
          <w:lang w:eastAsia="fr-FR"/>
        </w:rPr>
        <w:t xml:space="preserve">1 exemplaire original au secrétariat greffe du conseil de prud’hommes de Rennes. 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  <w:t>Fait à Bruz, le 30 mai 2022</w:t>
      </w:r>
    </w:p>
    <w:p>
      <w:pPr>
        <w:pStyle w:val="Normal"/>
        <w:suppressAutoHyphens w:val="false"/>
        <w:rPr>
          <w:sz w:val="22"/>
          <w:lang w:eastAsia="fr-FR"/>
        </w:rPr>
      </w:pPr>
      <w:r>
        <w:rPr>
          <w:sz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val="en-GB" w:eastAsia="fr-FR"/>
        </w:rPr>
      </w:pPr>
      <w:r>
        <w:rPr>
          <w:b/>
          <w:sz w:val="22"/>
          <w:szCs w:val="22"/>
          <w:lang w:val="en-GB" w:eastAsia="fr-FR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45720</wp:posOffset>
                </wp:positionH>
                <wp:positionV relativeFrom="paragraph">
                  <wp:posOffset>-635</wp:posOffset>
                </wp:positionV>
                <wp:extent cx="1828800" cy="57150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Directeur Général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AFPI DIAFOR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44pt;height:45pt;mso-wrap-distance-left:9.05pt;mso-wrap-distance-right:9.05pt;margin-top:-0.05pt;mso-position-vertical-relative:text;margin-left:3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Directeur Général</w:t>
                      </w:r>
                    </w:p>
                    <w:p>
                      <w:pPr>
                        <w:pStyle w:val="Normal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AFPI DIAFOR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3436620</wp:posOffset>
                </wp:positionH>
                <wp:positionV relativeFrom="paragraph">
                  <wp:posOffset>-635</wp:posOffset>
                </wp:positionV>
                <wp:extent cx="1464310" cy="571500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571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DS CFDT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15.3pt;height:45pt;mso-wrap-distance-left:9.05pt;mso-wrap-distance-right:9.05pt;margin-top:-0.05pt;mso-position-vertical-relative:text;margin-left:270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DS CFDT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sz w:val="22"/>
          <w:szCs w:val="22"/>
          <w:lang w:eastAsia="fr-FR"/>
        </w:rPr>
      </w:pPr>
      <w:r>
        <w:rPr>
          <w:b/>
          <w:sz w:val="22"/>
          <w:szCs w:val="22"/>
          <w:lang w:eastAsia="fr-FR"/>
        </w:rPr>
      </w:r>
    </w:p>
    <w:p>
      <w:pPr>
        <w:pStyle w:val="Normal"/>
        <w:suppressAutoHyphens w:val="false"/>
        <w:rPr>
          <w:b/>
          <w:b/>
          <w:i/>
          <w:i/>
          <w:sz w:val="16"/>
          <w:szCs w:val="18"/>
          <w:lang w:eastAsia="fr-FR"/>
        </w:rPr>
      </w:pPr>
      <w:r>
        <w:rPr>
          <w:b/>
          <w:i/>
          <w:sz w:val="16"/>
          <w:szCs w:val="18"/>
          <w:lang w:eastAsia="fr-FR"/>
        </w:rPr>
      </w:r>
    </w:p>
    <w:p>
      <w:pPr>
        <w:pStyle w:val="Normal"/>
        <w:suppressAutoHyphens w:val="false"/>
        <w:rPr>
          <w:i/>
          <w:i/>
          <w:sz w:val="16"/>
          <w:szCs w:val="18"/>
          <w:lang w:eastAsia="fr-FR"/>
        </w:rPr>
      </w:pPr>
      <w:r>
        <w:rPr>
          <w:i/>
          <w:sz w:val="16"/>
          <w:szCs w:val="18"/>
          <w:lang w:eastAsia="fr-FR"/>
        </w:rPr>
      </w:r>
    </w:p>
    <w:p>
      <w:pPr>
        <w:pStyle w:val="Normal"/>
        <w:suppressAutoHyphens w:val="false"/>
        <w:rPr>
          <w:rFonts w:cs="Arial"/>
          <w:b/>
          <w:b/>
          <w:sz w:val="18"/>
          <w:szCs w:val="18"/>
          <w:u w:val="single"/>
        </w:rPr>
      </w:pPr>
      <w:r>
        <w:rPr>
          <w:i/>
          <w:sz w:val="16"/>
          <w:szCs w:val="18"/>
          <w:lang w:eastAsia="fr-FR"/>
        </w:rPr>
        <w:t xml:space="preserve">(*) une seule organisation syndicale représentative  </w:t>
      </w:r>
    </w:p>
    <w:sectPr>
      <w:footerReference w:type="default" r:id="rId4"/>
      <w:type w:val="nextPage"/>
      <w:pgSz w:w="11906" w:h="16838"/>
      <w:pgMar w:left="1134" w:right="1134" w:header="0" w:top="567" w:footer="593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Garamond 3">
    <w:altName w:val="Gentium Book Basic"/>
    <w:charset w:val="00"/>
    <w:family w:val="roman"/>
    <w:pitch w:val="variable"/>
  </w:font>
  <w:font w:name="Calibri">
    <w:charset w:val="00"/>
    <w:family w:val="swiss"/>
    <w:pitch w:val="variable"/>
  </w:font>
  <w:font w:name="BellMT">
    <w:altName w:val="Times New Roman"/>
    <w:charset w:val="00"/>
    <w:family w:val="auto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Arial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right"/>
      <w:rPr/>
    </w:pPr>
    <w:r>
      <w:rPr>
        <w:lang w:val="en-GB" w:eastAsia="en-GB"/>
      </w:rPr>
      <w:drawing>
        <wp:inline distT="0" distB="0" distL="0" distR="0">
          <wp:extent cx="344805" cy="362585"/>
          <wp:effectExtent l="0" t="0" r="0" b="0"/>
          <wp:docPr id="6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" t="-6" r="-6" b="-6"/>
                  <a:stretch>
                    <a:fillRect/>
                  </a:stretch>
                </pic:blipFill>
                <pic:spPr bwMode="auto">
                  <a:xfrm>
                    <a:off x="0" y="0"/>
                    <a:ext cx="344805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rStyle w:val="PageNumber"/>
        <w:rFonts w:cs="Arial Narrow" w:ascii="Arial Narrow" w:hAnsi="Arial Narrow"/>
        <w:i/>
        <w:sz w:val="18"/>
        <w:szCs w:val="18"/>
      </w:rPr>
      <w:t xml:space="preserve">Paraphe : </w:t>
    </w:r>
    <w:r>
      <w:rPr/>
      <w:tab/>
    </w: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Style w:val="PageNumber"/>
      </w:rPr>
      <w:t xml:space="preserve"> / 3</w:t>
      <w:tab/>
    </w:r>
    <w:r>
      <mc:AlternateContent>
        <mc:Choice Requires="wps">
          <w:drawing>
            <wp:anchor behindDoc="1" distT="0" distB="0" distL="114935" distR="114935" simplePos="0" locked="0" layoutInCell="1" allowOverlap="1" relativeHeight="7">
              <wp:simplePos x="0" y="0"/>
              <wp:positionH relativeFrom="column">
                <wp:posOffset>3171190</wp:posOffset>
              </wp:positionH>
              <wp:positionV relativeFrom="paragraph">
                <wp:posOffset>59055</wp:posOffset>
              </wp:positionV>
              <wp:extent cx="561340" cy="323215"/>
              <wp:effectExtent l="0" t="0" r="0" b="0"/>
              <wp:wrapNone/>
              <wp:docPr id="7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340" cy="323215"/>
                      </a:xfrm>
                      <a:prstGeom prst="rect"/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rotation:0;width:44.2pt;height:25.45pt;mso-wrap-distance-left:9.05pt;mso-wrap-distance-right:9.05pt;margin-top:4.65pt;mso-position-vertical-relative:text;margin-left:249.7pt;mso-position-horizontal-relative:text"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935" distR="114935" simplePos="0" locked="0" layoutInCell="1" allowOverlap="1" relativeHeight="10">
              <wp:simplePos x="0" y="0"/>
              <wp:positionH relativeFrom="column">
                <wp:posOffset>3809365</wp:posOffset>
              </wp:positionH>
              <wp:positionV relativeFrom="paragraph">
                <wp:posOffset>59055</wp:posOffset>
              </wp:positionV>
              <wp:extent cx="561340" cy="323215"/>
              <wp:effectExtent l="0" t="0" r="0" b="0"/>
              <wp:wrapNone/>
              <wp:docPr id="8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340" cy="323215"/>
                      </a:xfrm>
                      <a:prstGeom prst="rect"/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000000" strokeweight="0pt" style="position:absolute;rotation:0;width:44.2pt;height:25.45pt;mso-wrap-distance-left:9.05pt;mso-wrap-distance-right:9.05pt;margin-top:4.65pt;mso-position-vertical-relative:text;margin-left:299.95pt;mso-position-horizontal-relative:text"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ind w:right="360" w:hanging="0"/>
      <w:rPr/>
    </w:pPr>
    <w:r>
      <w:rPr>
        <w:rStyle w:val="PageNumber"/>
      </w:rPr>
      <w:tab/>
    </w:r>
    <w:r>
      <w:rPr>
        <w:rStyle w:val="PageNumber"/>
        <w:rFonts w:cs="Arial Narrow" w:ascii="Arial Narrow" w:hAnsi="Arial Narrow"/>
        <w:i/>
        <w:sz w:val="18"/>
        <w:szCs w:val="18"/>
      </w:rPr>
      <w:tab/>
      <w:tab/>
      <w:tab/>
      <w:tab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left"/>
      <w:pPr>
        <w:ind w:left="0" w:hanging="0"/>
      </w:pPr>
      <w:rPr/>
    </w:lvl>
    <w:lvl w:ilvl="1">
      <w:start w:val="1"/>
      <w:pStyle w:val="Heading2"/>
      <w:numFmt w:val="upperLetter"/>
      <w:lvlText w:val="%2."/>
      <w:lvlJc w:val="left"/>
      <w:pPr>
        <w:ind w:left="720" w:hanging="0"/>
      </w:pPr>
      <w:rPr/>
    </w:lvl>
    <w:lvl w:ilvl="2">
      <w:start w:val="1"/>
      <w:pStyle w:val="Heading3"/>
      <w:numFmt w:val="decimal"/>
      <w:lvlText w:val="%3."/>
      <w:lvlJc w:val="left"/>
      <w:pPr>
        <w:ind w:left="1440" w:hanging="0"/>
      </w:pPr>
      <w:rPr/>
    </w:lvl>
    <w:lvl w:ilvl="3">
      <w:start w:val="1"/>
      <w:pStyle w:val="Heading4"/>
      <w:numFmt w:val="lowerLetter"/>
      <w:lvlText w:val="%4)"/>
      <w:lvlJc w:val="left"/>
      <w:pPr>
        <w:ind w:left="2160" w:hanging="0"/>
      </w:pPr>
      <w:rPr/>
    </w:lvl>
    <w:lvl w:ilvl="4">
      <w:start w:val="1"/>
      <w:pStyle w:val="Heading5"/>
      <w:numFmt w:val="decimal"/>
      <w:lvlText w:val="(%5)"/>
      <w:lvlJc w:val="left"/>
      <w:pPr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ind w:left="5760" w:hanging="0"/>
      </w:pPr>
      <w:rPr/>
    </w:lvl>
  </w:abstractNum>
  <w:abstractNum w:abstractNumId="2">
    <w:lvl w:ilvl="0">
      <w:numFmt w:val="bullet"/>
      <w:lvlText w:val="-"/>
      <w:lvlJc w:val="left"/>
      <w:pPr>
        <w:ind w:left="1065" w:hanging="360"/>
      </w:pPr>
      <w:rPr>
        <w:rFonts w:ascii="Arial" w:hAnsi="Arial" w:cs="Arial" w:hint="default"/>
        <w:sz w:val="22"/>
        <w:rFonts w:cs="Arial"/>
        <w:lang w:eastAsia="fr-FR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  <w:sz w:val="22"/>
        <w:szCs w:val="22"/>
        <w:rFonts w:cs="Courier New"/>
        <w:lang w:eastAsia="fr-FR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sz w:val="22"/>
        <w:szCs w:val="22"/>
        <w:rFonts w:cs="Courier New"/>
        <w:lang w:eastAsia="fr-FR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sz w:val="22"/>
        <w:szCs w:val="22"/>
        <w:rFonts w:cs="Courier New"/>
        <w:lang w:eastAsia="fr-FR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sz w:val="22"/>
        <w:rFonts w:cs="Symbol"/>
      </w:rPr>
    </w:lvl>
  </w:abstractNum>
  <w:abstractNum w:abstractNumId="4">
    <w:lvl w:ilvl="0">
      <w:start w:val="5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2"/>
        <w:rFonts w:cs="Times New Roman"/>
        <w:lang w:eastAsia="fr-FR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4"/>
        <w:rFonts w:cs="Symbol"/>
        <w:lang w:eastAsia="fr-FR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  <w:lang w:eastAsia="fr-F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sz w:val="22"/>
        <w:szCs w:val="22"/>
        <w:rFonts w:cs="Symbol"/>
        <w:lang w:eastAsia="fr-F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Arial" w:hAnsi="Arial" w:eastAsia="Times New Roman" w:cs="Arial"/>
      <w:color w:val="auto"/>
      <w:sz w:val="20"/>
      <w:szCs w:val="20"/>
      <w:lang w:val="fr-F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3969" w:leader="dot"/>
        <w:tab w:val="left" w:pos="8505" w:leader="dot"/>
      </w:tabs>
      <w:jc w:val="both"/>
      <w:outlineLvl w:val="1"/>
    </w:pPr>
    <w:rPr>
      <w:rFonts w:ascii="Garamond" w:hAnsi="Garamond" w:cs="Garamond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1134" w:leader="dot"/>
        <w:tab w:val="left" w:pos="1560" w:leader="dot"/>
        <w:tab w:val="left" w:pos="3969" w:leader="dot"/>
        <w:tab w:val="left" w:pos="7088" w:leader="dot"/>
        <w:tab w:val="left" w:pos="8505" w:leader="dot"/>
      </w:tabs>
      <w:jc w:val="both"/>
      <w:outlineLvl w:val="2"/>
    </w:pPr>
    <w:rPr>
      <w:rFonts w:ascii="Garamond" w:hAnsi="Garamond" w:cs="Garamond"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1134" w:leader="dot"/>
        <w:tab w:val="left" w:pos="5103" w:leader="dot"/>
        <w:tab w:val="left" w:pos="6946" w:leader="dot"/>
      </w:tabs>
      <w:jc w:val="both"/>
      <w:outlineLvl w:val="4"/>
    </w:pPr>
    <w:rPr>
      <w:rFonts w:ascii="Garamond" w:hAnsi="Garamond" w:cs="Garamond"/>
      <w:b/>
      <w:i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both"/>
      <w:outlineLvl w:val="5"/>
    </w:pPr>
    <w:rPr>
      <w:rFonts w:ascii="Garamond 3;Gentium Book Basic" w:hAnsi="Garamond 3;Gentium Book Basic" w:cs="Garamond 3;Gentium Book Basic"/>
      <w:b/>
      <w:sz w:val="24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Symbol" w:hAnsi="Symbol" w:cs="Wingdings"/>
      <w:sz w:val="16"/>
    </w:rPr>
  </w:style>
  <w:style w:type="character" w:styleId="WW8Num3z0">
    <w:name w:val="WW8Num3z0"/>
    <w:qFormat/>
    <w:rPr>
      <w:rFonts w:ascii="BellMT;Times New Roman" w:hAnsi="BellMT;Times New Roman" w:cs="BellMT;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Arial" w:hAnsi="Arial" w:eastAsia="Times New Roman" w:cs="Arial"/>
      <w:sz w:val="22"/>
      <w:lang w:eastAsia="fr-FR"/>
    </w:rPr>
  </w:style>
  <w:style w:type="character" w:styleId="WW8Num4z1">
    <w:name w:val="WW8Num4z1"/>
    <w:qFormat/>
    <w:rPr>
      <w:rFonts w:ascii="Courier New" w:hAnsi="Courier New" w:cs="Courier New"/>
      <w:sz w:val="22"/>
      <w:szCs w:val="22"/>
      <w:lang w:eastAsia="fr-FR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eastAsia="Times New Roman" w:cs="Times New Roman"/>
      <w:sz w:val="22"/>
      <w:lang w:eastAsia="fr-FR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2"/>
      <w:szCs w:val="24"/>
      <w:lang w:eastAsia="fr-FR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sz w:val="20"/>
      <w:lang w:eastAsia="fr-FR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2"/>
      <w:szCs w:val="22"/>
      <w:lang w:eastAsia="fr-FR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Policepardfaut">
    <w:name w:val="Police par défau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6z3">
    <w:name w:val="WW8Num6z3"/>
    <w:qFormat/>
    <w:rPr>
      <w:rFonts w:ascii="Symbol" w:hAnsi="Symbol" w:cs="Symbol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22z0">
    <w:name w:val="WW8Num22z0"/>
    <w:qFormat/>
    <w:rPr>
      <w:rFonts w:ascii="Times New Roman" w:hAnsi="Times New Roman" w:cs="Times New Roman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PageNumber">
    <w:name w:val="Page Number"/>
    <w:basedOn w:val="Policepardfaut1"/>
    <w:rPr/>
  </w:style>
  <w:style w:type="character" w:styleId="Marquedecommentaire1">
    <w:name w:val="Marque de commentaire1"/>
    <w:qFormat/>
    <w:rPr>
      <w:sz w:val="16"/>
      <w:szCs w:val="16"/>
    </w:rPr>
  </w:style>
  <w:style w:type="character" w:styleId="CarCar2">
    <w:name w:val=" Car Car2"/>
    <w:qFormat/>
    <w:rPr>
      <w:lang w:val="fr-FR" w:bidi="ar-SA"/>
    </w:rPr>
  </w:style>
  <w:style w:type="character" w:styleId="CorpsdetexteCar">
    <w:name w:val="Corps de texte Car"/>
    <w:qFormat/>
    <w:rPr>
      <w:rFonts w:ascii="Arial" w:hAnsi="Arial" w:cs="Arial"/>
      <w:lang w:eastAsia="zh-CN"/>
    </w:rPr>
  </w:style>
  <w:style w:type="character" w:styleId="PrformatHTMLCar">
    <w:name w:val="Préformaté HTML Car"/>
    <w:qFormat/>
    <w:rPr>
      <w:rFonts w:ascii="Courier New" w:hAnsi="Courier New" w:cs="Courier New"/>
      <w:lang w:eastAsia="zh-CN"/>
    </w:rPr>
  </w:style>
  <w:style w:type="character" w:styleId="Titre7Car">
    <w:name w:val="Titre 7 Car"/>
    <w:qFormat/>
    <w:rPr>
      <w:rFonts w:ascii="Calibri" w:hAnsi="Calibri" w:cs="Calibri"/>
      <w:sz w:val="24"/>
      <w:szCs w:val="24"/>
      <w:lang w:eastAsia="zh-CN"/>
    </w:rPr>
  </w:style>
  <w:style w:type="character" w:styleId="Titre8Car">
    <w:name w:val="Titre 8 Car"/>
    <w:qFormat/>
    <w:rPr>
      <w:rFonts w:ascii="Calibri" w:hAnsi="Calibri" w:cs="Calibri"/>
      <w:i/>
      <w:iCs/>
      <w:sz w:val="24"/>
      <w:szCs w:val="24"/>
      <w:lang w:eastAsia="zh-C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120" w:after="240"/>
      <w:jc w:val="both"/>
    </w:pPr>
    <w:rPr/>
  </w:style>
  <w:style w:type="paragraph" w:styleId="List">
    <w:name w:val="List"/>
    <w:basedOn w:val="TextBody"/>
    <w:pPr/>
    <w:rPr>
      <w:rFonts w:cs="Mangal;Liberation Mon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;Liberation Mono"/>
    </w:rPr>
  </w:style>
  <w:style w:type="paragraph" w:styleId="Titre1">
    <w:name w:val="Titre1"/>
    <w:basedOn w:val="Normal"/>
    <w:next w:val="TextBody"/>
    <w:qFormat/>
    <w:pPr>
      <w:jc w:val="center"/>
    </w:pPr>
    <w:rPr>
      <w:b/>
    </w:rPr>
  </w:style>
  <w:style w:type="paragraph" w:styleId="Lgende">
    <w:name w:val="Légende"/>
    <w:basedOn w:val="Normal"/>
    <w:qFormat/>
    <w:pPr>
      <w:suppressLineNumbers/>
      <w:spacing w:before="120" w:after="120"/>
    </w:pPr>
    <w:rPr>
      <w:rFonts w:cs="Mangal;Liberation Mono"/>
      <w:i/>
      <w:iCs/>
      <w:sz w:val="24"/>
      <w:szCs w:val="24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rpsdetexte21">
    <w:name w:val="Corps de texte 21"/>
    <w:basedOn w:val="Normal"/>
    <w:qFormat/>
    <w:pPr>
      <w:tabs>
        <w:tab w:val="left" w:pos="1560" w:leader="dot"/>
        <w:tab w:val="left" w:pos="3969" w:leader="dot"/>
        <w:tab w:val="left" w:pos="8505" w:leader="dot"/>
      </w:tabs>
      <w:jc w:val="both"/>
    </w:pPr>
    <w:rPr>
      <w:rFonts w:ascii="Garamond" w:hAnsi="Garamond" w:cs="Garamond"/>
      <w:sz w:val="24"/>
    </w:rPr>
  </w:style>
  <w:style w:type="paragraph" w:styleId="Corpsdetexte31">
    <w:name w:val="Corps de texte 31"/>
    <w:basedOn w:val="Normal"/>
    <w:qFormat/>
    <w:pPr/>
    <w:rPr>
      <w:rFonts w:ascii="Garamond" w:hAnsi="Garamond" w:cs="Garamond"/>
      <w:sz w:val="24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rformatHTML">
    <w:name w:val="Préformaté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ommentaire1">
    <w:name w:val="Commentaire1"/>
    <w:basedOn w:val="Normal"/>
    <w:qFormat/>
    <w:pPr/>
    <w:rPr/>
  </w:style>
  <w:style w:type="paragraph" w:styleId="Objetducommentaire">
    <w:name w:val="Objet du commentaire"/>
    <w:basedOn w:val="Commentaire1"/>
    <w:next w:val="Commentaire1"/>
    <w:qFormat/>
    <w:pPr/>
    <w:rPr>
      <w:b/>
      <w:bCs/>
    </w:rPr>
  </w:style>
  <w:style w:type="paragraph" w:styleId="TextBodyIndent">
    <w:name w:val="Body Text Indent"/>
    <w:basedOn w:val="Normal"/>
    <w:pPr>
      <w:autoSpaceDE w:val="false"/>
      <w:spacing w:before="0" w:after="120"/>
      <w:ind w:left="283" w:right="0" w:hanging="0"/>
      <w:jc w:val="both"/>
    </w:pPr>
    <w:rPr/>
  </w:style>
  <w:style w:type="paragraph" w:styleId="Contenuducadre">
    <w:name w:val="Contenu du cadre"/>
    <w:basedOn w:val="TextBody"/>
    <w:qFormat/>
    <w:pPr/>
    <w:rPr/>
  </w:style>
  <w:style w:type="paragraph" w:styleId="Garamond">
    <w:name w:val="garamond"/>
    <w:basedOn w:val="Heading4"/>
    <w:qFormat/>
    <w:pPr>
      <w:numPr>
        <w:ilvl w:val="0"/>
        <w:numId w:val="0"/>
      </w:numPr>
      <w:ind w:left="0" w:right="0" w:hanging="0"/>
    </w:pPr>
    <w:rPr>
      <w:rFonts w:ascii="Garamond 3;Gentium Book Basic" w:hAnsi="Garamond 3;Gentium Book Basic" w:cs="Garamond 3;Gentium Book Basic"/>
      <w:sz w:val="28"/>
    </w:rPr>
  </w:style>
  <w:style w:type="paragraph" w:styleId="Corpsdetexte2">
    <w:name w:val="Corps de texte 2"/>
    <w:basedOn w:val="Normal"/>
    <w:qFormat/>
    <w:pPr>
      <w:spacing w:lineRule="auto" w:line="480" w:before="0" w:after="120"/>
    </w:pPr>
    <w:rPr/>
  </w:style>
  <w:style w:type="paragraph" w:styleId="Listenonordoniv1">
    <w:name w:val="liste non-ordo(niv1)"/>
    <w:basedOn w:val="Normal"/>
    <w:qFormat/>
    <w:pPr>
      <w:autoSpaceDE w:val="false"/>
      <w:spacing w:before="0" w:after="120"/>
      <w:jc w:val="both"/>
    </w:pPr>
    <w:rPr>
      <w:rFonts w:ascii="Garamond" w:hAnsi="Garamond" w:cs="Garamond"/>
      <w:sz w:val="22"/>
      <w:szCs w:val="22"/>
    </w:rPr>
  </w:style>
  <w:style w:type="paragraph" w:styleId="Style11">
    <w:name w:val="Style1"/>
    <w:basedOn w:val="Normal"/>
    <w:qFormat/>
    <w:pPr/>
    <w:rPr>
      <w:rFonts w:ascii="Arial" w:hAnsi="Arial" w:eastAsia="Arial Narrow" w:cs="Arial Narrow"/>
    </w:rPr>
  </w:style>
  <w:style w:type="paragraph" w:styleId="NormalWeb">
    <w:name w:val="Normal (Web)"/>
    <w:basedOn w:val="Normal"/>
    <w:qFormat/>
    <w:pPr>
      <w:suppressAutoHyphens w:val="false"/>
      <w:spacing w:before="100" w:after="119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Paragraphe de liste"/>
    <w:basedOn w:val="Normal"/>
    <w:qFormat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Paragraphedeliste1">
    <w:name w:val="Paragraphe de liste1"/>
    <w:basedOn w:val="Normal"/>
    <w:qFormat/>
    <w:pPr>
      <w:tabs>
        <w:tab w:val="left" w:pos="708" w:leader="none"/>
      </w:tabs>
      <w:spacing w:lineRule="auto" w:line="276" w:before="0" w:after="200"/>
      <w:ind w:left="720" w:hanging="0"/>
    </w:pPr>
    <w:rPr>
      <w:rFonts w:ascii="Calibri" w:hAnsi="Calibri" w:cs="Calibri"/>
      <w:color w:val="00000A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link.diffusion.travail.gouv.fr/c?p=xBAa0LX-bADsTT7QutCONdCAEiwo0LXEED4EcNC00KjQ1UDQrtCC0I_5BEzQxtCA9NktaHR0cDovL3d3dy50ZWxlYWNjb3Jkcy50cmF2YWlsLWVtcGxvaS5nb3V2LmZyuDVhYTdkYjY1Yjg1YjUzNTBlZjFjZjIzYsQQLFsnC-LQuknQstCAWWDuKXBJUr5saW5rLmRpZmZ1c2lvbi50cmF2YWlsLmdvdXYuZnLEFNCPbPzQkQfQk1TQllvQvQDu0MXQvurQm9CROfNt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2022-06-23T09:57:00Z</dcterms:created>
  <dc:creator/>
  <dc:description/>
  <dc:language>en-GB</dc:language>
  <cp:lastModifiedBy/>
  <cp:lastPrinted>2018-05-30T11:02:00Z</cp:lastPrinted>
  <dcterms:modified xsi:type="dcterms:W3CDTF">2022-06-23T09:57:00Z</dcterms:modified>
  <cp:revision>2</cp:revision>
  <dc:subject/>
  <dc:title>MODÈLE DE CONTRAT DE TRAVAIL À TEMPS PARTIEL</dc:title>
</cp:coreProperties>
</file>