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842AB1" w14:textId="7B25A10B" w:rsidP="00BC74D4" w:rsidR="00EC7472" w:rsidRDefault="00EC7472">
      <w:pPr>
        <w:keepNext/>
        <w:tabs>
          <w:tab w:pos="9720" w:val="left"/>
        </w:tabs>
        <w:spacing w:after="60" w:before="240" w:line="240" w:lineRule="auto"/>
        <w:ind w:right="484"/>
        <w:outlineLvl w:val="1"/>
        <w:rPr>
          <w:rFonts w:ascii="Arial" w:cs="Arial" w:eastAsia="Times New Roman" w:hAnsi="Arial"/>
          <w:b/>
          <w:lang w:eastAsia="fr-FR"/>
        </w:rPr>
      </w:pPr>
    </w:p>
    <w:p w14:paraId="3CD72BB5" w14:textId="12CF07A4" w:rsidP="00820E4C" w:rsidR="00391F3F" w:rsidRDefault="00EE3459" w:rsidRPr="00B23DE4">
      <w:pPr>
        <w:keepLines/>
        <w:pBdr>
          <w:top w:color="auto" w:space="10" w:sz="4" w:val="single"/>
          <w:left w:color="auto" w:space="0" w:sz="4" w:val="single"/>
          <w:bottom w:color="auto" w:space="10" w:sz="4" w:val="single"/>
          <w:right w:color="auto" w:space="0" w:sz="4" w:val="single"/>
        </w:pBdr>
        <w:spacing w:after="0"/>
        <w:jc w:val="center"/>
        <w:rPr>
          <w:rFonts w:cs="Arial" w:eastAsia="Times New Roman"/>
          <w:b/>
          <w:spacing w:val="10"/>
          <w:sz w:val="40"/>
          <w:szCs w:val="40"/>
          <w:lang w:eastAsia="fr-FR"/>
        </w:rPr>
      </w:pPr>
      <w:r w:rsidRPr="00B23DE4">
        <w:rPr>
          <w:rFonts w:cs="Arial" w:eastAsia="Times New Roman"/>
          <w:b/>
          <w:spacing w:val="10"/>
          <w:sz w:val="40"/>
          <w:szCs w:val="40"/>
          <w:lang w:eastAsia="fr-FR"/>
        </w:rPr>
        <w:t>A</w:t>
      </w:r>
      <w:r w:rsidR="00391F3F" w:rsidRPr="00B23DE4">
        <w:rPr>
          <w:rFonts w:cs="Arial" w:eastAsia="Times New Roman"/>
          <w:b/>
          <w:spacing w:val="10"/>
          <w:sz w:val="40"/>
          <w:szCs w:val="40"/>
          <w:lang w:eastAsia="fr-FR"/>
        </w:rPr>
        <w:t>ccord collectif d’entreprise</w:t>
      </w:r>
      <w:r w:rsidR="00391F3F" w:rsidRPr="00B23DE4">
        <w:rPr>
          <w:rFonts w:cs="Arial" w:eastAsia="Times New Roman"/>
          <w:b/>
          <w:spacing w:val="10"/>
          <w:sz w:val="40"/>
          <w:szCs w:val="40"/>
          <w:lang w:eastAsia="fr-FR"/>
        </w:rPr>
        <w:br/>
        <w:t>sur les NAO</w:t>
      </w:r>
      <w:r w:rsidR="00666AF1" w:rsidRPr="00B23DE4">
        <w:rPr>
          <w:rFonts w:cs="Arial" w:eastAsia="Times New Roman"/>
          <w:b/>
          <w:spacing w:val="10"/>
          <w:sz w:val="40"/>
          <w:szCs w:val="40"/>
          <w:lang w:eastAsia="fr-FR"/>
        </w:rPr>
        <w:t xml:space="preserve"> 20</w:t>
      </w:r>
      <w:r w:rsidR="00E30056">
        <w:rPr>
          <w:rFonts w:cs="Arial" w:eastAsia="Times New Roman"/>
          <w:b/>
          <w:spacing w:val="10"/>
          <w:sz w:val="40"/>
          <w:szCs w:val="40"/>
          <w:lang w:eastAsia="fr-FR"/>
        </w:rPr>
        <w:t>22</w:t>
      </w:r>
    </w:p>
    <w:p w14:paraId="25B490E1" w14:textId="77777777" w:rsidP="00DB5032" w:rsidR="00DB5032" w:rsidRDefault="00DB5032" w:rsidRPr="00820E4C">
      <w:pPr>
        <w:keepNext/>
        <w:tabs>
          <w:tab w:pos="9720" w:val="left"/>
        </w:tabs>
        <w:spacing w:after="60" w:before="240" w:line="240" w:lineRule="auto"/>
        <w:ind w:right="484"/>
        <w:outlineLvl w:val="1"/>
        <w:rPr>
          <w:rFonts w:cs="Arial" w:eastAsia="Times New Roman"/>
          <w:i/>
          <w:iCs/>
          <w:lang w:eastAsia="fr-FR"/>
        </w:rPr>
      </w:pPr>
      <w:r w:rsidRPr="00820E4C">
        <w:rPr>
          <w:rFonts w:cs="Arial" w:eastAsia="Times New Roman"/>
          <w:i/>
          <w:iCs/>
          <w:lang w:eastAsia="fr-FR"/>
        </w:rPr>
        <w:t>Entre les soussignés :</w:t>
      </w:r>
    </w:p>
    <w:p w14:paraId="1B26BE37" w14:textId="77777777" w:rsidP="00DB5032" w:rsidR="00DB5032" w:rsidRDefault="00DB5032" w:rsidRPr="00820E4C">
      <w:pPr>
        <w:numPr>
          <w:ilvl w:val="0"/>
          <w:numId w:val="1"/>
        </w:numPr>
        <w:spacing w:after="0" w:line="240" w:lineRule="auto"/>
        <w:jc w:val="both"/>
        <w:rPr>
          <w:rFonts w:cs="Arial" w:eastAsia="Times New Roman"/>
          <w:lang w:eastAsia="fr-FR"/>
        </w:rPr>
      </w:pPr>
      <w:r w:rsidRPr="00820E4C">
        <w:rPr>
          <w:rFonts w:cs="Arial" w:eastAsia="Times New Roman"/>
          <w:b/>
          <w:lang w:eastAsia="fr-FR"/>
        </w:rPr>
        <w:t xml:space="preserve">La société Carl Zeiss Vision France </w:t>
      </w:r>
      <w:r w:rsidR="00F52767" w:rsidRPr="00820E4C">
        <w:rPr>
          <w:rFonts w:cs="Arial" w:eastAsia="Times New Roman"/>
          <w:b/>
          <w:lang w:eastAsia="fr-FR"/>
        </w:rPr>
        <w:t>SAS</w:t>
      </w:r>
      <w:r w:rsidR="00F52767" w:rsidRPr="00820E4C">
        <w:rPr>
          <w:rFonts w:cs="Arial" w:eastAsia="Times New Roman"/>
          <w:lang w:eastAsia="fr-FR"/>
        </w:rPr>
        <w:t>, dont</w:t>
      </w:r>
      <w:r w:rsidRPr="00820E4C">
        <w:rPr>
          <w:rFonts w:cs="Arial" w:eastAsia="Times New Roman"/>
          <w:lang w:eastAsia="fr-FR"/>
        </w:rPr>
        <w:t xml:space="preserve"> le siège social est situé Rue Augustin Fresnel, BP 20401, 35304 FOUGERES cedex</w:t>
      </w:r>
    </w:p>
    <w:p w14:paraId="385BF97B" w14:textId="52E829B1" w:rsidP="00BD4495" w:rsidR="00DB5032" w:rsidRDefault="00DB5032" w:rsidRPr="00820E4C">
      <w:pPr>
        <w:numPr>
          <w:ilvl w:val="12"/>
          <w:numId w:val="0"/>
        </w:numPr>
        <w:spacing w:after="0" w:line="240" w:lineRule="auto"/>
        <w:ind w:left="850"/>
        <w:jc w:val="both"/>
        <w:rPr>
          <w:rFonts w:cs="Arial" w:eastAsia="Times New Roman"/>
          <w:lang w:eastAsia="fr-FR"/>
        </w:rPr>
      </w:pPr>
      <w:r w:rsidRPr="00820E4C">
        <w:rPr>
          <w:rFonts w:cs="Arial" w:eastAsia="Times New Roman"/>
          <w:lang w:eastAsia="fr-FR"/>
        </w:rPr>
        <w:t>Représentée</w:t>
      </w:r>
      <w:r w:rsidR="00BD4495">
        <w:rPr>
          <w:rFonts w:cs="Arial" w:eastAsia="Times New Roman"/>
          <w:lang w:eastAsia="fr-FR"/>
        </w:rPr>
        <w:t xml:space="preserve"> par  </w:t>
      </w:r>
      <w:proofErr w:type="gramStart"/>
      <w:r w:rsidR="00BD4495">
        <w:rPr>
          <w:rFonts w:cs="Arial" w:eastAsia="Times New Roman"/>
          <w:lang w:eastAsia="fr-FR"/>
        </w:rPr>
        <w:t xml:space="preserve">  </w:t>
      </w:r>
      <w:r w:rsidRPr="00820E4C">
        <w:rPr>
          <w:rFonts w:cs="Arial" w:eastAsia="Times New Roman"/>
          <w:lang w:eastAsia="fr-FR"/>
        </w:rPr>
        <w:t>,</w:t>
      </w:r>
      <w:proofErr w:type="gramEnd"/>
      <w:r w:rsidRPr="00820E4C">
        <w:rPr>
          <w:rFonts w:cs="Arial" w:eastAsia="Times New Roman"/>
          <w:lang w:eastAsia="fr-FR"/>
        </w:rPr>
        <w:t xml:space="preserve"> agissant en qualité de Directeur des RH </w:t>
      </w:r>
    </w:p>
    <w:p w14:paraId="3B7EB1AF" w14:textId="77777777" w:rsidP="00BC74D4" w:rsidR="00DB5032" w:rsidRDefault="00DB5032" w:rsidRPr="00CC5983">
      <w:pPr>
        <w:numPr>
          <w:ilvl w:val="12"/>
          <w:numId w:val="0"/>
        </w:numPr>
        <w:tabs>
          <w:tab w:pos="5670" w:val="left"/>
        </w:tabs>
        <w:spacing w:after="0" w:line="240" w:lineRule="auto"/>
        <w:ind w:hanging="283" w:left="283"/>
        <w:jc w:val="right"/>
        <w:rPr>
          <w:rFonts w:cs="Arial" w:eastAsia="Times New Roman"/>
          <w:i/>
          <w:lang w:eastAsia="fr-FR"/>
        </w:rPr>
      </w:pPr>
      <w:r w:rsidRPr="00820E4C">
        <w:rPr>
          <w:rFonts w:cs="Arial" w:eastAsia="Times New Roman"/>
          <w:lang w:eastAsia="fr-FR"/>
        </w:rPr>
        <w:tab/>
      </w:r>
      <w:r w:rsidRPr="00820E4C">
        <w:rPr>
          <w:rFonts w:cs="Arial" w:eastAsia="Times New Roman"/>
          <w:lang w:eastAsia="fr-FR"/>
        </w:rPr>
        <w:tab/>
      </w:r>
      <w:r w:rsidRPr="00820E4C">
        <w:rPr>
          <w:rFonts w:cs="Arial" w:eastAsia="Times New Roman"/>
          <w:lang w:eastAsia="fr-FR"/>
        </w:rPr>
        <w:tab/>
      </w:r>
      <w:r w:rsidRPr="00820E4C">
        <w:rPr>
          <w:rFonts w:cs="Arial" w:eastAsia="Times New Roman"/>
          <w:lang w:eastAsia="fr-FR"/>
        </w:rPr>
        <w:tab/>
      </w:r>
      <w:r w:rsidRPr="00820E4C">
        <w:rPr>
          <w:rFonts w:cs="Arial" w:eastAsia="Times New Roman"/>
          <w:lang w:eastAsia="fr-FR"/>
        </w:rPr>
        <w:tab/>
      </w:r>
      <w:r w:rsidRPr="00820E4C">
        <w:rPr>
          <w:rFonts w:cs="Arial" w:eastAsia="Times New Roman"/>
          <w:i/>
          <w:lang w:eastAsia="fr-FR"/>
        </w:rPr>
        <w:t>D’une part,</w:t>
      </w:r>
    </w:p>
    <w:p w14:paraId="067363CA" w14:textId="77777777" w:rsidP="00DB5032" w:rsidR="00DB5032" w:rsidRDefault="00DB5032" w:rsidRPr="00820E4C">
      <w:pPr>
        <w:numPr>
          <w:ilvl w:val="0"/>
          <w:numId w:val="1"/>
        </w:numPr>
        <w:spacing w:after="0" w:line="240" w:lineRule="auto"/>
        <w:jc w:val="both"/>
        <w:rPr>
          <w:rFonts w:cs="Arial" w:eastAsia="Times New Roman"/>
          <w:b/>
          <w:bCs/>
          <w:lang w:eastAsia="fr-FR"/>
        </w:rPr>
      </w:pPr>
      <w:r w:rsidRPr="00820E4C">
        <w:rPr>
          <w:rFonts w:cs="Arial" w:eastAsia="Times New Roman"/>
          <w:b/>
          <w:bCs/>
          <w:lang w:eastAsia="fr-FR"/>
        </w:rPr>
        <w:t>L’Organisation Syndicale FO</w:t>
      </w:r>
    </w:p>
    <w:p w14:paraId="13C7EE5D" w14:textId="009D0769" w:rsidP="00DB5032" w:rsidR="00DB5032" w:rsidRDefault="00DB5032" w:rsidRPr="00820E4C">
      <w:pPr>
        <w:spacing w:after="0" w:line="240" w:lineRule="auto"/>
        <w:ind w:left="851"/>
        <w:jc w:val="both"/>
        <w:rPr>
          <w:rFonts w:cs="Arial" w:eastAsia="Times New Roman"/>
          <w:lang w:eastAsia="fr-FR"/>
        </w:rPr>
      </w:pPr>
      <w:r w:rsidRPr="00820E4C">
        <w:rPr>
          <w:rFonts w:cs="Arial" w:eastAsia="Times New Roman"/>
          <w:lang w:eastAsia="fr-FR"/>
        </w:rPr>
        <w:t xml:space="preserve">Représentée </w:t>
      </w:r>
      <w:proofErr w:type="gramStart"/>
      <w:r w:rsidRPr="00820E4C">
        <w:rPr>
          <w:rFonts w:cs="Arial" w:eastAsia="Times New Roman"/>
          <w:lang w:eastAsia="fr-FR"/>
        </w:rPr>
        <w:t>par</w:t>
      </w:r>
      <w:r w:rsidR="00426ECB">
        <w:rPr>
          <w:rFonts w:cs="Arial" w:eastAsia="Times New Roman"/>
          <w:lang w:eastAsia="fr-FR"/>
        </w:rPr>
        <w:t xml:space="preserve"> </w:t>
      </w:r>
      <w:r w:rsidRPr="00820E4C">
        <w:rPr>
          <w:rFonts w:cs="Arial" w:eastAsia="Times New Roman"/>
          <w:lang w:eastAsia="fr-FR"/>
        </w:rPr>
        <w:t>,</w:t>
      </w:r>
      <w:proofErr w:type="gramEnd"/>
      <w:r w:rsidRPr="00820E4C">
        <w:rPr>
          <w:rFonts w:cs="Arial" w:eastAsia="Times New Roman"/>
          <w:lang w:eastAsia="fr-FR"/>
        </w:rPr>
        <w:t xml:space="preserve"> en sa qualité de Délégué Syndical</w:t>
      </w:r>
    </w:p>
    <w:p w14:paraId="78101F2D" w14:textId="77777777" w:rsidP="00BC74D4" w:rsidR="00DB5032" w:rsidRDefault="00DB5032" w:rsidRPr="00820E4C">
      <w:pPr>
        <w:spacing w:after="0" w:line="240" w:lineRule="auto"/>
        <w:ind w:left="7223"/>
        <w:jc w:val="right"/>
        <w:rPr>
          <w:rFonts w:cs="Arial" w:eastAsia="Times New Roman"/>
          <w:i/>
          <w:lang w:eastAsia="fr-FR"/>
        </w:rPr>
      </w:pPr>
      <w:r w:rsidRPr="00820E4C">
        <w:rPr>
          <w:rFonts w:cs="Arial" w:eastAsia="Times New Roman"/>
          <w:i/>
          <w:lang w:eastAsia="fr-FR"/>
        </w:rPr>
        <w:t>D’autre part, </w:t>
      </w:r>
    </w:p>
    <w:p w14:paraId="1D8906CC" w14:textId="23FB882C" w:rsidP="00DB5032" w:rsidR="00DB5032" w:rsidRDefault="00DB5032">
      <w:pPr>
        <w:spacing w:after="0" w:line="240" w:lineRule="auto"/>
        <w:jc w:val="both"/>
        <w:rPr>
          <w:rFonts w:cs="Arial" w:eastAsia="Times New Roman"/>
          <w:b/>
          <w:lang w:eastAsia="fr-FR"/>
        </w:rPr>
      </w:pPr>
      <w:r w:rsidRPr="00CC5983">
        <w:rPr>
          <w:rFonts w:cs="Arial" w:eastAsia="Times New Roman"/>
          <w:b/>
          <w:lang w:eastAsia="fr-FR"/>
        </w:rPr>
        <w:t xml:space="preserve">Préambule, </w:t>
      </w:r>
    </w:p>
    <w:p w14:paraId="2CD686EB" w14:textId="77777777" w:rsidP="005A5FAC" w:rsidR="00C17A0C" w:rsidRDefault="00C17A0C" w:rsidRPr="00CC5983">
      <w:pPr>
        <w:spacing w:after="0" w:line="240" w:lineRule="auto"/>
        <w:jc w:val="both"/>
        <w:rPr>
          <w:rFonts w:cs="Arial" w:eastAsia="Times New Roman"/>
          <w:b/>
          <w:lang w:eastAsia="fr-FR"/>
        </w:rPr>
      </w:pPr>
    </w:p>
    <w:p w14:paraId="7EB6406E" w14:textId="4154398E" w:rsidP="005A5FAC" w:rsidR="00E40F89" w:rsidRDefault="00B42FCB">
      <w:pPr>
        <w:spacing w:after="0"/>
        <w:jc w:val="both"/>
        <w:rPr>
          <w:rFonts w:cs="Arial" w:eastAsia="Times New Roman"/>
          <w:lang w:eastAsia="fr-FR"/>
        </w:rPr>
      </w:pPr>
      <w:r w:rsidRPr="00B42FCB">
        <w:rPr>
          <w:rFonts w:cs="Arial" w:eastAsia="Times New Roman"/>
          <w:lang w:eastAsia="fr-FR"/>
        </w:rPr>
        <w:t>Avec</w:t>
      </w:r>
      <w:r w:rsidR="00674A8B" w:rsidRPr="00B42FCB">
        <w:rPr>
          <w:rFonts w:cs="Arial" w:eastAsia="Times New Roman"/>
          <w:lang w:eastAsia="fr-FR"/>
        </w:rPr>
        <w:t xml:space="preserve"> la poursuite de l’épidémie de coronavirus</w:t>
      </w:r>
      <w:r w:rsidR="00B003B3">
        <w:rPr>
          <w:rFonts w:cs="Arial" w:eastAsia="Times New Roman"/>
          <w:lang w:eastAsia="fr-FR"/>
        </w:rPr>
        <w:t xml:space="preserve"> mais aussi </w:t>
      </w:r>
      <w:r w:rsidR="00E40F89">
        <w:rPr>
          <w:rFonts w:cs="Arial" w:eastAsia="Times New Roman"/>
          <w:lang w:eastAsia="fr-FR"/>
        </w:rPr>
        <w:t xml:space="preserve">le déploiement de notre nouvelle stratégie, l’activité de l’entreprise </w:t>
      </w:r>
      <w:r w:rsidR="00B003B3">
        <w:rPr>
          <w:rFonts w:cs="Arial" w:eastAsia="Times New Roman"/>
          <w:lang w:eastAsia="fr-FR"/>
        </w:rPr>
        <w:t xml:space="preserve">ne connait pas la progression attendue </w:t>
      </w:r>
      <w:r w:rsidR="00E40F89">
        <w:rPr>
          <w:rFonts w:cs="Arial" w:eastAsia="Times New Roman"/>
          <w:lang w:eastAsia="fr-FR"/>
        </w:rPr>
        <w:t xml:space="preserve">sur </w:t>
      </w:r>
      <w:r w:rsidR="00B003B3">
        <w:rPr>
          <w:rFonts w:cs="Arial" w:eastAsia="Times New Roman"/>
          <w:lang w:eastAsia="fr-FR"/>
        </w:rPr>
        <w:t xml:space="preserve">l’exercice et le CA devrait s’inscrire en baisse de plus de 5% au 30/09/2022 </w:t>
      </w:r>
      <w:r w:rsidR="00E40F89">
        <w:rPr>
          <w:rFonts w:cs="Arial" w:eastAsia="Times New Roman"/>
          <w:lang w:eastAsia="fr-FR"/>
        </w:rPr>
        <w:t>.</w:t>
      </w:r>
      <w:r w:rsidR="00B16C00">
        <w:rPr>
          <w:rFonts w:cs="Arial" w:eastAsia="Times New Roman"/>
          <w:lang w:eastAsia="fr-FR"/>
        </w:rPr>
        <w:t xml:space="preserve"> </w:t>
      </w:r>
    </w:p>
    <w:p w14:paraId="17010475" w14:textId="77777777" w:rsidP="005A5FAC" w:rsidR="00B003B3" w:rsidRDefault="00B003B3">
      <w:pPr>
        <w:spacing w:after="0"/>
        <w:jc w:val="both"/>
        <w:rPr>
          <w:rFonts w:cs="Arial" w:eastAsia="Times New Roman"/>
          <w:bCs/>
          <w:lang w:eastAsia="fr-FR"/>
        </w:rPr>
      </w:pPr>
    </w:p>
    <w:p w14:paraId="624CC814" w14:textId="2F061283" w:rsidP="005A5FAC" w:rsidR="0018236C" w:rsidRDefault="00E40F89">
      <w:pPr>
        <w:spacing w:after="0"/>
        <w:jc w:val="both"/>
        <w:rPr>
          <w:rFonts w:cs="Arial" w:eastAsia="Times New Roman"/>
          <w:bCs/>
          <w:lang w:eastAsia="fr-FR"/>
        </w:rPr>
      </w:pPr>
      <w:r>
        <w:rPr>
          <w:rFonts w:cs="Arial" w:eastAsia="Times New Roman"/>
          <w:bCs/>
          <w:lang w:eastAsia="fr-FR"/>
        </w:rPr>
        <w:t xml:space="preserve">Par ailleurs, les NAO 2022 interviennent dans un contexte de progression forte de l’inflation depuis quelques mois, atteignant 5,16% en cumulé sur 1 an en mai 2022. </w:t>
      </w:r>
    </w:p>
    <w:p w14:paraId="4429BE01" w14:textId="77777777" w:rsidP="005A5FAC" w:rsidR="005A5FAC" w:rsidRDefault="005A5FAC">
      <w:pPr>
        <w:spacing w:after="0"/>
        <w:jc w:val="both"/>
        <w:rPr>
          <w:rFonts w:cs="Arial" w:eastAsia="Times New Roman"/>
          <w:lang w:eastAsia="fr-FR"/>
        </w:rPr>
      </w:pPr>
    </w:p>
    <w:p w14:paraId="2B6BC371" w14:textId="292023DD" w:rsidP="005A5FAC" w:rsidR="00C17A0C" w:rsidRDefault="00CF01F4" w:rsidRPr="00C7153C">
      <w:pPr>
        <w:spacing w:after="0"/>
        <w:jc w:val="both"/>
        <w:rPr>
          <w:rFonts w:cs="Arial" w:eastAsia="Times New Roman"/>
          <w:lang w:eastAsia="fr-FR"/>
        </w:rPr>
      </w:pPr>
      <w:r w:rsidRPr="00C7153C">
        <w:rPr>
          <w:rFonts w:cs="Arial" w:eastAsia="Times New Roman"/>
          <w:lang w:eastAsia="fr-FR"/>
        </w:rPr>
        <w:t>Dans ce contexte</w:t>
      </w:r>
      <w:r w:rsidR="00875EF2" w:rsidRPr="00C7153C">
        <w:rPr>
          <w:rFonts w:cs="Arial" w:eastAsia="Times New Roman"/>
          <w:lang w:eastAsia="fr-FR"/>
        </w:rPr>
        <w:t>,</w:t>
      </w:r>
      <w:r w:rsidRPr="00C7153C">
        <w:rPr>
          <w:rFonts w:cs="Arial" w:eastAsia="Times New Roman"/>
          <w:lang w:eastAsia="fr-FR"/>
        </w:rPr>
        <w:t xml:space="preserve"> l</w:t>
      </w:r>
      <w:r w:rsidR="00C17A0C" w:rsidRPr="00C7153C">
        <w:rPr>
          <w:rFonts w:cs="Arial" w:eastAsia="Times New Roman"/>
          <w:lang w:eastAsia="fr-FR"/>
        </w:rPr>
        <w:t xml:space="preserve">es parties ont convenu </w:t>
      </w:r>
      <w:r w:rsidR="00E40F89">
        <w:rPr>
          <w:rFonts w:cs="Arial" w:eastAsia="Times New Roman"/>
          <w:lang w:eastAsia="fr-FR"/>
        </w:rPr>
        <w:t>la mise en place d’un bouclier contr</w:t>
      </w:r>
      <w:r w:rsidR="0018236C">
        <w:rPr>
          <w:rFonts w:cs="Arial" w:eastAsia="Times New Roman"/>
          <w:lang w:eastAsia="fr-FR"/>
        </w:rPr>
        <w:t>e</w:t>
      </w:r>
      <w:r w:rsidR="00E40F89">
        <w:rPr>
          <w:rFonts w:cs="Arial" w:eastAsia="Times New Roman"/>
          <w:lang w:eastAsia="fr-FR"/>
        </w:rPr>
        <w:t xml:space="preserve"> l’inflation</w:t>
      </w:r>
      <w:r w:rsidR="0018236C">
        <w:rPr>
          <w:rFonts w:cs="Arial" w:eastAsia="Times New Roman"/>
          <w:lang w:eastAsia="fr-FR"/>
        </w:rPr>
        <w:t>. Ce</w:t>
      </w:r>
      <w:r w:rsidR="00E40F89">
        <w:rPr>
          <w:rFonts w:cs="Arial" w:eastAsia="Times New Roman"/>
          <w:lang w:eastAsia="fr-FR"/>
        </w:rPr>
        <w:t xml:space="preserve"> </w:t>
      </w:r>
      <w:r w:rsidR="00E1557D" w:rsidRPr="00C7153C">
        <w:rPr>
          <w:rFonts w:cs="Arial" w:eastAsia="Times New Roman"/>
          <w:lang w:eastAsia="fr-FR"/>
        </w:rPr>
        <w:t>dispositif</w:t>
      </w:r>
      <w:r w:rsidR="00AA5B4D" w:rsidRPr="00C7153C">
        <w:rPr>
          <w:rFonts w:cs="Arial" w:eastAsia="Times New Roman"/>
          <w:lang w:eastAsia="fr-FR"/>
        </w:rPr>
        <w:t xml:space="preserve"> unique permet de compenser </w:t>
      </w:r>
      <w:r w:rsidR="0018236C">
        <w:rPr>
          <w:rFonts w:cs="Arial" w:eastAsia="Times New Roman"/>
          <w:lang w:eastAsia="fr-FR"/>
        </w:rPr>
        <w:t>l’augmentation de</w:t>
      </w:r>
      <w:r w:rsidR="00D94739" w:rsidRPr="00C7153C">
        <w:rPr>
          <w:rFonts w:cs="Arial" w:eastAsia="Times New Roman"/>
          <w:lang w:eastAsia="fr-FR"/>
        </w:rPr>
        <w:t xml:space="preserve"> </w:t>
      </w:r>
      <w:r w:rsidR="0018236C">
        <w:rPr>
          <w:rFonts w:cs="Arial" w:eastAsia="Times New Roman"/>
          <w:lang w:eastAsia="fr-FR"/>
        </w:rPr>
        <w:t>l’</w:t>
      </w:r>
      <w:r w:rsidR="00AA5B4D" w:rsidRPr="00C7153C">
        <w:rPr>
          <w:rFonts w:cs="Arial" w:eastAsia="Times New Roman"/>
          <w:lang w:eastAsia="fr-FR"/>
        </w:rPr>
        <w:t>inflation</w:t>
      </w:r>
      <w:r w:rsidR="00B16C00" w:rsidRPr="00C7153C">
        <w:rPr>
          <w:rFonts w:cs="Arial" w:eastAsia="Times New Roman"/>
          <w:lang w:eastAsia="fr-FR"/>
        </w:rPr>
        <w:t xml:space="preserve"> qui impacte le pouvoir d’achat </w:t>
      </w:r>
      <w:r w:rsidR="00B003B3">
        <w:rPr>
          <w:rFonts w:cs="Arial" w:eastAsia="Times New Roman"/>
          <w:lang w:eastAsia="fr-FR"/>
        </w:rPr>
        <w:t xml:space="preserve">de tous les collaborateurs mais </w:t>
      </w:r>
      <w:r w:rsidR="00D94739" w:rsidRPr="00C7153C">
        <w:rPr>
          <w:rFonts w:cs="Arial" w:eastAsia="Times New Roman"/>
          <w:lang w:eastAsia="fr-FR"/>
        </w:rPr>
        <w:t>notamment des premiers niveaux de rémunération. La concentration de l’essentiel du budget disponible sur les augmentations générales</w:t>
      </w:r>
      <w:r w:rsidR="00B003B3">
        <w:rPr>
          <w:rFonts w:cs="Arial" w:eastAsia="Times New Roman"/>
          <w:lang w:eastAsia="fr-FR"/>
        </w:rPr>
        <w:t xml:space="preserve"> dans la cadre d’un dispositif d’augmentation dégressive par tranche de rémunération </w:t>
      </w:r>
      <w:r w:rsidR="00D94739" w:rsidRPr="00C7153C">
        <w:rPr>
          <w:rFonts w:cs="Arial" w:eastAsia="Times New Roman"/>
          <w:lang w:eastAsia="fr-FR"/>
        </w:rPr>
        <w:t xml:space="preserve">permet d’apporter une réponse </w:t>
      </w:r>
      <w:r w:rsidR="00B003B3">
        <w:rPr>
          <w:rFonts w:cs="Arial" w:eastAsia="Times New Roman"/>
          <w:lang w:eastAsia="fr-FR"/>
        </w:rPr>
        <w:t>équitable</w:t>
      </w:r>
      <w:r w:rsidR="00D94739" w:rsidRPr="00C7153C">
        <w:rPr>
          <w:rFonts w:cs="Arial" w:eastAsia="Times New Roman"/>
          <w:lang w:eastAsia="fr-FR"/>
        </w:rPr>
        <w:t xml:space="preserve"> à ce contexte exceptionnel. </w:t>
      </w:r>
    </w:p>
    <w:p w14:paraId="5FDB91C7" w14:textId="77777777" w:rsidP="005A5FAC" w:rsidR="005A5FAC" w:rsidRDefault="005A5FAC">
      <w:pPr>
        <w:spacing w:after="0" w:line="240" w:lineRule="auto"/>
        <w:jc w:val="both"/>
        <w:rPr>
          <w:rFonts w:cs="Arial" w:eastAsia="Times New Roman"/>
          <w:lang w:eastAsia="fr-FR"/>
        </w:rPr>
      </w:pPr>
    </w:p>
    <w:p w14:paraId="603581D8" w14:textId="51F5DAE6" w:rsidP="005A5FAC" w:rsidR="00EC7472" w:rsidRDefault="00E40F89">
      <w:pPr>
        <w:spacing w:after="0" w:line="240" w:lineRule="auto"/>
        <w:jc w:val="both"/>
        <w:rPr>
          <w:rFonts w:cs="Arial" w:eastAsia="Times New Roman"/>
          <w:lang w:eastAsia="fr-FR"/>
        </w:rPr>
      </w:pPr>
      <w:r>
        <w:rPr>
          <w:rFonts w:cs="Arial" w:eastAsia="Times New Roman"/>
          <w:lang w:eastAsia="fr-FR"/>
        </w:rPr>
        <w:t>L</w:t>
      </w:r>
      <w:r w:rsidRPr="00C7153C">
        <w:rPr>
          <w:rFonts w:cs="Arial" w:eastAsia="Times New Roman"/>
          <w:lang w:eastAsia="fr-FR"/>
        </w:rPr>
        <w:t>es dispositions salariales suivantes qui constituent une nouvelle fois le point d’équilibre entre les légitimes attentes des salariés et le cadre budgétaire défini par l’entreprise.</w:t>
      </w:r>
    </w:p>
    <w:p w14:paraId="3A484EB9" w14:textId="77777777" w:rsidP="005A5FAC" w:rsidR="00E40F89" w:rsidRDefault="00E40F89" w:rsidRPr="00426ECB">
      <w:pPr>
        <w:spacing w:after="0" w:line="240" w:lineRule="auto"/>
        <w:jc w:val="both"/>
        <w:rPr>
          <w:rFonts w:cs="Arial" w:eastAsia="Times New Roman"/>
          <w:highlight w:val="yellow"/>
          <w:lang w:eastAsia="fr-FR"/>
        </w:rPr>
      </w:pPr>
    </w:p>
    <w:p w14:paraId="186A292A" w14:textId="77777777" w:rsidP="001D1817" w:rsidR="00DB5032" w:rsidRDefault="00DB5032" w:rsidRPr="00CC5983">
      <w:pPr>
        <w:spacing w:after="0" w:line="240" w:lineRule="auto"/>
        <w:jc w:val="both"/>
        <w:rPr>
          <w:rFonts w:cs="Arial" w:eastAsia="Times New Roman"/>
          <w:b/>
          <w:lang w:eastAsia="fr-FR"/>
        </w:rPr>
      </w:pPr>
      <w:r w:rsidRPr="00CC5983">
        <w:rPr>
          <w:rFonts w:cs="Arial" w:eastAsia="Times New Roman"/>
          <w:b/>
          <w:u w:val="single"/>
          <w:lang w:eastAsia="fr-FR"/>
        </w:rPr>
        <w:t>Article 1</w:t>
      </w:r>
      <w:r w:rsidRPr="00CC5983">
        <w:rPr>
          <w:rFonts w:cs="Arial" w:eastAsia="Times New Roman"/>
          <w:b/>
          <w:lang w:eastAsia="fr-FR"/>
        </w:rPr>
        <w:t xml:space="preserve"> – Augmentation Générale </w:t>
      </w:r>
    </w:p>
    <w:p w14:paraId="361CD861" w14:textId="1B8D5B3F" w:rsidP="00AA168A" w:rsidR="00AA168A" w:rsidRDefault="00DB5032">
      <w:pPr>
        <w:spacing w:after="0" w:line="240" w:lineRule="auto"/>
        <w:jc w:val="both"/>
        <w:rPr>
          <w:rFonts w:cs="Arial" w:eastAsia="Times New Roman"/>
          <w:lang w:eastAsia="fr-FR"/>
        </w:rPr>
      </w:pPr>
      <w:r w:rsidRPr="00282739">
        <w:rPr>
          <w:rFonts w:cs="Arial" w:eastAsia="Times New Roman"/>
          <w:lang w:eastAsia="fr-FR"/>
        </w:rPr>
        <w:t>Les salaires de base sont augmentés de la manière suivante</w:t>
      </w:r>
      <w:r w:rsidR="00AA168A">
        <w:rPr>
          <w:rFonts w:cs="Arial" w:eastAsia="Times New Roman"/>
          <w:lang w:eastAsia="fr-FR"/>
        </w:rPr>
        <w:t> :</w:t>
      </w:r>
    </w:p>
    <w:p w14:paraId="76245DE0" w14:textId="0BA5C80D" w:rsidP="005A5FAC" w:rsidR="00DB5032" w:rsidRDefault="00DB5032">
      <w:pPr>
        <w:spacing w:after="0" w:line="240" w:lineRule="auto"/>
        <w:jc w:val="both"/>
        <w:rPr>
          <w:rFonts w:cs="Arial" w:eastAsia="Times New Roman"/>
          <w:sz w:val="20"/>
          <w:lang w:eastAsia="fr-FR"/>
        </w:rPr>
      </w:pPr>
    </w:p>
    <w:tbl>
      <w:tblPr>
        <w:tblW w:type="dxa" w:w="9241"/>
        <w:tblInd w:type="dxa" w:w="-5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985"/>
        <w:gridCol w:w="2126"/>
        <w:gridCol w:w="2867"/>
        <w:gridCol w:w="2263"/>
      </w:tblGrid>
      <w:tr w14:paraId="28011FAC" w14:textId="77777777" w:rsidR="00FD458C" w:rsidRPr="00C76925" w:rsidTr="00FD458C">
        <w:trPr>
          <w:trHeight w:val="567"/>
        </w:trPr>
        <w:tc>
          <w:tcPr>
            <w:tcW w:type="dxa" w:w="198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66441835" w14:textId="77777777" w:rsidP="00AA168A" w:rsidR="00FD458C" w:rsidRDefault="00FD458C" w:rsidRPr="00C76925">
            <w:pPr>
              <w:spacing w:after="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</w:rPr>
            </w:pPr>
            <w:r w:rsidRPr="00C76925"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</w:rPr>
              <w:t xml:space="preserve">Tranche de salaire </w:t>
            </w:r>
          </w:p>
        </w:tc>
        <w:tc>
          <w:tcPr>
            <w:tcW w:type="dxa" w:w="212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5D61A6E8" w14:textId="77777777" w:rsidP="00AA168A" w:rsidR="00FD458C" w:rsidRDefault="00FD458C" w:rsidRPr="00C76925">
            <w:pPr>
              <w:spacing w:after="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</w:rPr>
              <w:t>P</w:t>
            </w:r>
            <w:r w:rsidRPr="00C76925"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</w:rPr>
              <w:t>ourcentage d'AG</w:t>
            </w:r>
          </w:p>
        </w:tc>
        <w:tc>
          <w:tcPr>
            <w:tcW w:type="dxa" w:w="286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vAlign w:val="center"/>
            <w:hideMark/>
          </w:tcPr>
          <w:p w14:paraId="064D0394" w14:textId="794936C1" w:rsidP="00AA168A" w:rsidR="00FD458C" w:rsidRDefault="00FD458C" w:rsidRPr="00C76925">
            <w:pPr>
              <w:spacing w:after="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18"/>
                <w:szCs w:val="18"/>
              </w:rPr>
              <w:t xml:space="preserve">Montant maximum d'AG par tranche </w:t>
            </w:r>
          </w:p>
        </w:tc>
        <w:tc>
          <w:tcPr>
            <w:tcW w:type="dxa" w:w="2263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DEBF7" w:val="clear"/>
            <w:vAlign w:val="center"/>
            <w:hideMark/>
          </w:tcPr>
          <w:p w14:paraId="538EEA74" w14:textId="423C880A" w:rsidP="00AA168A" w:rsidR="00FD458C" w:rsidRDefault="00FD458C" w:rsidRPr="00C76925">
            <w:pPr>
              <w:spacing w:after="0"/>
              <w:jc w:val="center"/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cs="Arial" w:hAnsi="Arial"/>
                <w:b/>
                <w:bCs/>
                <w:color w:val="000000"/>
                <w:sz w:val="18"/>
                <w:szCs w:val="18"/>
              </w:rPr>
              <w:t xml:space="preserve">Montant AG max cumulé </w:t>
            </w:r>
          </w:p>
        </w:tc>
      </w:tr>
      <w:tr w14:paraId="6932089D" w14:textId="77777777" w:rsidR="00FD458C" w:rsidRPr="00C76925" w:rsidTr="00FD458C">
        <w:trPr>
          <w:trHeight w:val="259"/>
        </w:trPr>
        <w:tc>
          <w:tcPr>
            <w:tcW w:type="dxa" w:w="1985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E28DF80" w14:textId="6FA31CA9" w:rsidP="00AA168A" w:rsidR="00FD458C" w:rsidRDefault="00FD458C" w:rsidRPr="00C76925">
            <w:pPr>
              <w:spacing w:after="0"/>
              <w:rPr>
                <w:rFonts w:ascii="Arial" w:cs="Arial" w:eastAsia="Times New Roman" w:hAnsi="Arial"/>
                <w:sz w:val="20"/>
                <w:szCs w:val="20"/>
              </w:rPr>
            </w:pPr>
            <w:proofErr w:type="gramStart"/>
            <w:r>
              <w:rPr>
                <w:rFonts w:ascii="Arial" w:cs="Arial" w:hAnsi="Arial"/>
                <w:sz w:val="20"/>
                <w:szCs w:val="20"/>
              </w:rPr>
              <w:t>jusqu'à</w:t>
            </w:r>
            <w:proofErr w:type="gramEnd"/>
            <w:r>
              <w:rPr>
                <w:rFonts w:ascii="Arial" w:cs="Arial" w:hAnsi="Arial"/>
                <w:sz w:val="20"/>
                <w:szCs w:val="20"/>
              </w:rPr>
              <w:t xml:space="preserve"> 2000€</w:t>
            </w:r>
          </w:p>
        </w:tc>
        <w:tc>
          <w:tcPr>
            <w:tcW w:type="dxa" w:w="212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1131F6C" w14:textId="38104E3E" w:rsidP="00AA168A" w:rsidR="00FD458C" w:rsidRDefault="002E784D" w:rsidRPr="00C76925">
            <w:pPr>
              <w:spacing w:after="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De 6</w:t>
            </w:r>
            <w:r w:rsidR="00FD458C">
              <w:rPr>
                <w:rFonts w:ascii="Arial" w:cs="Arial" w:hAnsi="Arial"/>
                <w:sz w:val="20"/>
                <w:szCs w:val="20"/>
              </w:rPr>
              <w:t>%</w:t>
            </w:r>
            <w:r>
              <w:rPr>
                <w:rFonts w:ascii="Arial" w:cs="Arial" w:hAnsi="Arial"/>
                <w:sz w:val="20"/>
                <w:szCs w:val="20"/>
              </w:rPr>
              <w:t xml:space="preserve"> </w:t>
            </w:r>
            <w:r w:rsidR="00237143">
              <w:rPr>
                <w:rFonts w:ascii="Arial" w:cs="Arial" w:hAnsi="Arial"/>
                <w:sz w:val="20"/>
                <w:szCs w:val="20"/>
              </w:rPr>
              <w:t xml:space="preserve">à </w:t>
            </w:r>
            <w:r>
              <w:rPr>
                <w:rFonts w:ascii="Arial" w:cs="Arial" w:hAnsi="Arial"/>
                <w:sz w:val="20"/>
                <w:szCs w:val="20"/>
              </w:rPr>
              <w:t>5%*</w:t>
            </w:r>
          </w:p>
        </w:tc>
        <w:tc>
          <w:tcPr>
            <w:tcW w:type="dxa" w:w="286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14:paraId="25A9379F" w14:textId="3AD32C9F" w:rsidP="00AA168A" w:rsidR="00FD458C" w:rsidRDefault="00FD458C" w:rsidRPr="00AA168A">
            <w:pPr>
              <w:spacing w:after="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 w:rsidRPr="00AA168A">
              <w:rPr>
                <w:rFonts w:ascii="Arial" w:cs="Arial" w:hAnsi="Arial"/>
                <w:sz w:val="20"/>
                <w:szCs w:val="20"/>
              </w:rPr>
              <w:t>100 €</w:t>
            </w:r>
          </w:p>
        </w:tc>
        <w:tc>
          <w:tcPr>
            <w:tcW w:type="dxa" w:w="22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7C789E1" w14:textId="52774140" w:rsidP="00AA168A" w:rsidR="00FD458C" w:rsidRDefault="00FD458C" w:rsidRPr="00C76925">
            <w:pPr>
              <w:spacing w:after="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100 €</w:t>
            </w:r>
          </w:p>
        </w:tc>
      </w:tr>
      <w:tr w14:paraId="3005F713" w14:textId="77777777" w:rsidR="00FD458C" w:rsidRPr="00C76925" w:rsidTr="00FD458C">
        <w:trPr>
          <w:trHeight w:val="259"/>
        </w:trPr>
        <w:tc>
          <w:tcPr>
            <w:tcW w:type="dxa" w:w="1985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F81638D" w14:textId="556CDDD6" w:rsidP="00AA168A" w:rsidR="00FD458C" w:rsidRDefault="00FD458C" w:rsidRPr="00C76925">
            <w:pPr>
              <w:spacing w:after="0"/>
              <w:rPr>
                <w:rFonts w:ascii="Arial" w:cs="Arial" w:eastAsia="Times New Roman" w:hAnsi="Arial"/>
                <w:sz w:val="20"/>
                <w:szCs w:val="20"/>
              </w:rPr>
            </w:pPr>
            <w:proofErr w:type="gramStart"/>
            <w:r>
              <w:rPr>
                <w:rFonts w:ascii="Arial" w:cs="Arial" w:hAnsi="Arial"/>
                <w:sz w:val="20"/>
                <w:szCs w:val="20"/>
              </w:rPr>
              <w:t>de</w:t>
            </w:r>
            <w:proofErr w:type="gramEnd"/>
            <w:r>
              <w:rPr>
                <w:rFonts w:ascii="Arial" w:cs="Arial" w:hAnsi="Arial"/>
                <w:sz w:val="20"/>
                <w:szCs w:val="20"/>
              </w:rPr>
              <w:t xml:space="preserve"> 2000€ à 3000€</w:t>
            </w:r>
          </w:p>
        </w:tc>
        <w:tc>
          <w:tcPr>
            <w:tcW w:type="dxa" w:w="212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1D4DD01" w14:textId="7AC5209E" w:rsidP="00AA168A" w:rsidR="00FD458C" w:rsidRDefault="00FD458C" w:rsidRPr="00C76925">
            <w:pPr>
              <w:spacing w:after="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2,0%</w:t>
            </w:r>
          </w:p>
        </w:tc>
        <w:tc>
          <w:tcPr>
            <w:tcW w:type="dxa" w:w="286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14:paraId="3E2F65D3" w14:textId="0F630821" w:rsidP="00AA168A" w:rsidR="00FD458C" w:rsidRDefault="00FD458C" w:rsidRPr="00AA168A">
            <w:pPr>
              <w:spacing w:after="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 w:rsidRPr="00AA168A">
              <w:rPr>
                <w:rFonts w:ascii="Arial" w:cs="Arial" w:hAnsi="Arial"/>
                <w:sz w:val="20"/>
                <w:szCs w:val="20"/>
              </w:rPr>
              <w:t>20 €</w:t>
            </w:r>
          </w:p>
        </w:tc>
        <w:tc>
          <w:tcPr>
            <w:tcW w:type="dxa" w:w="2263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B623029" w14:textId="36F153F3" w:rsidP="00AA168A" w:rsidR="00FD458C" w:rsidRDefault="00FD458C" w:rsidRPr="00C76925">
            <w:pPr>
              <w:spacing w:after="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120 €</w:t>
            </w:r>
          </w:p>
        </w:tc>
      </w:tr>
      <w:tr w14:paraId="40E310C0" w14:textId="77777777" w:rsidR="00FD458C" w:rsidRPr="00C76925" w:rsidTr="00FD458C">
        <w:trPr>
          <w:trHeight w:val="259"/>
        </w:trPr>
        <w:tc>
          <w:tcPr>
            <w:tcW w:type="dxa" w:w="1985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FE45D1B" w14:textId="6CDE7216" w:rsidP="00AA168A" w:rsidR="00FD458C" w:rsidRDefault="00FD458C" w:rsidRPr="00C76925">
            <w:pPr>
              <w:spacing w:after="0"/>
              <w:rPr>
                <w:rFonts w:ascii="Arial" w:cs="Arial" w:eastAsia="Times New Roman" w:hAnsi="Arial"/>
                <w:sz w:val="20"/>
                <w:szCs w:val="20"/>
              </w:rPr>
            </w:pPr>
            <w:proofErr w:type="gramStart"/>
            <w:r>
              <w:rPr>
                <w:rFonts w:ascii="Arial" w:cs="Arial" w:hAnsi="Arial"/>
                <w:sz w:val="20"/>
                <w:szCs w:val="20"/>
              </w:rPr>
              <w:t>de</w:t>
            </w:r>
            <w:proofErr w:type="gramEnd"/>
            <w:r>
              <w:rPr>
                <w:rFonts w:ascii="Arial" w:cs="Arial" w:hAnsi="Arial"/>
                <w:sz w:val="20"/>
                <w:szCs w:val="20"/>
              </w:rPr>
              <w:t xml:space="preserve"> 3000€ à 4000€ </w:t>
            </w:r>
          </w:p>
        </w:tc>
        <w:tc>
          <w:tcPr>
            <w:tcW w:type="dxa" w:w="212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6D4C068" w14:textId="1EC0266A" w:rsidP="00AA168A" w:rsidR="00FD458C" w:rsidRDefault="00FD458C" w:rsidRPr="00C76925">
            <w:pPr>
              <w:spacing w:after="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1,0%</w:t>
            </w:r>
          </w:p>
        </w:tc>
        <w:tc>
          <w:tcPr>
            <w:tcW w:type="dxa" w:w="28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14:paraId="4AE62953" w14:textId="04BC6780" w:rsidP="00AA168A" w:rsidR="00FD458C" w:rsidRDefault="00FD458C" w:rsidRPr="00AA168A">
            <w:pPr>
              <w:spacing w:after="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 w:rsidRPr="00AA168A">
              <w:rPr>
                <w:rFonts w:ascii="Arial" w:cs="Arial" w:hAnsi="Arial"/>
                <w:sz w:val="20"/>
                <w:szCs w:val="20"/>
              </w:rPr>
              <w:t>10 €</w:t>
            </w:r>
          </w:p>
        </w:tc>
        <w:tc>
          <w:tcPr>
            <w:tcW w:type="dxa" w:w="226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ACC434B" w14:textId="5958CDAC" w:rsidP="00AA168A" w:rsidR="00FD458C" w:rsidRDefault="00FD458C" w:rsidRPr="00C76925">
            <w:pPr>
              <w:spacing w:after="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130 €</w:t>
            </w:r>
          </w:p>
        </w:tc>
      </w:tr>
      <w:tr w14:paraId="4DD4A588" w14:textId="77777777" w:rsidR="00FD458C" w:rsidRPr="00C76925" w:rsidTr="00FD458C">
        <w:trPr>
          <w:trHeight w:val="259"/>
        </w:trPr>
        <w:tc>
          <w:tcPr>
            <w:tcW w:type="dxa" w:w="1985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2065D61" w14:textId="5593349C" w:rsidP="00AA168A" w:rsidR="00FD458C" w:rsidRDefault="00FD458C" w:rsidRPr="00C76925">
            <w:pPr>
              <w:spacing w:after="0"/>
              <w:rPr>
                <w:rFonts w:ascii="Arial" w:cs="Arial" w:eastAsia="Times New Roman" w:hAnsi="Arial"/>
                <w:sz w:val="20"/>
                <w:szCs w:val="20"/>
              </w:rPr>
            </w:pPr>
            <w:proofErr w:type="gramStart"/>
            <w:r>
              <w:rPr>
                <w:rFonts w:ascii="Arial" w:cs="Arial" w:hAnsi="Arial"/>
                <w:sz w:val="20"/>
                <w:szCs w:val="20"/>
              </w:rPr>
              <w:t>de</w:t>
            </w:r>
            <w:proofErr w:type="gramEnd"/>
            <w:r>
              <w:rPr>
                <w:rFonts w:ascii="Arial" w:cs="Arial" w:hAnsi="Arial"/>
                <w:sz w:val="20"/>
                <w:szCs w:val="20"/>
              </w:rPr>
              <w:t xml:space="preserve"> 4000€ à 5000€ </w:t>
            </w:r>
          </w:p>
        </w:tc>
        <w:tc>
          <w:tcPr>
            <w:tcW w:type="dxa" w:w="212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93944F5" w14:textId="04C5D7C5" w:rsidP="00AA168A" w:rsidR="00FD458C" w:rsidRDefault="00FD458C" w:rsidRPr="00C76925">
            <w:pPr>
              <w:spacing w:after="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0,5%</w:t>
            </w:r>
          </w:p>
        </w:tc>
        <w:tc>
          <w:tcPr>
            <w:tcW w:type="dxa" w:w="286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14:paraId="15172201" w14:textId="607CCE16" w:rsidP="00AA168A" w:rsidR="00FD458C" w:rsidRDefault="00FD458C" w:rsidRPr="00AA168A">
            <w:pPr>
              <w:spacing w:after="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 w:rsidRPr="00AA168A">
              <w:rPr>
                <w:rFonts w:ascii="Arial" w:cs="Arial" w:hAnsi="Arial"/>
                <w:sz w:val="20"/>
                <w:szCs w:val="20"/>
              </w:rPr>
              <w:t>5 €</w:t>
            </w:r>
          </w:p>
        </w:tc>
        <w:tc>
          <w:tcPr>
            <w:tcW w:type="dxa" w:w="2263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3804047" w14:textId="6E794217" w:rsidP="00AA168A" w:rsidR="00FD458C" w:rsidRDefault="00FD458C" w:rsidRPr="00C76925">
            <w:pPr>
              <w:spacing w:after="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135 €</w:t>
            </w:r>
          </w:p>
        </w:tc>
      </w:tr>
      <w:tr w14:paraId="5BB1195B" w14:textId="77777777" w:rsidR="00FD458C" w:rsidRPr="00C76925" w:rsidTr="00FD458C">
        <w:trPr>
          <w:trHeight w:val="259"/>
        </w:trPr>
        <w:tc>
          <w:tcPr>
            <w:tcW w:type="dxa" w:w="198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1DF3875" w14:textId="0ACB9083" w:rsidP="00AA168A" w:rsidR="00FD458C" w:rsidRDefault="00FD458C" w:rsidRPr="00C76925">
            <w:pPr>
              <w:spacing w:after="0"/>
              <w:rPr>
                <w:rFonts w:ascii="Arial" w:cs="Arial" w:eastAsia="Times New Roman" w:hAnsi="Arial"/>
                <w:sz w:val="20"/>
                <w:szCs w:val="20"/>
              </w:rPr>
            </w:pPr>
            <w:proofErr w:type="gramStart"/>
            <w:r>
              <w:rPr>
                <w:rFonts w:ascii="Arial" w:cs="Arial" w:hAnsi="Arial"/>
                <w:sz w:val="20"/>
                <w:szCs w:val="20"/>
              </w:rPr>
              <w:t>plus</w:t>
            </w:r>
            <w:proofErr w:type="gramEnd"/>
            <w:r>
              <w:rPr>
                <w:rFonts w:ascii="Arial" w:cs="Arial" w:hAnsi="Arial"/>
                <w:sz w:val="20"/>
                <w:szCs w:val="20"/>
              </w:rPr>
              <w:t xml:space="preserve"> de 5000€ </w:t>
            </w:r>
          </w:p>
        </w:tc>
        <w:tc>
          <w:tcPr>
            <w:tcW w:type="dxa" w:w="212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B85C97B" w14:textId="78B24AC3" w:rsidP="00AA168A" w:rsidR="00FD458C" w:rsidRDefault="00FD458C" w:rsidRPr="00C76925">
            <w:pPr>
              <w:spacing w:after="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0,0%</w:t>
            </w:r>
          </w:p>
        </w:tc>
        <w:tc>
          <w:tcPr>
            <w:tcW w:type="dxa" w:w="286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BDD7EE" w:val="clear"/>
            <w:noWrap/>
            <w:vAlign w:val="bottom"/>
            <w:hideMark/>
          </w:tcPr>
          <w:p w14:paraId="768F3997" w14:textId="6055AE86" w:rsidP="00AA168A" w:rsidR="00FD458C" w:rsidRDefault="00FD458C" w:rsidRPr="00AA168A">
            <w:pPr>
              <w:spacing w:after="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 w:rsidRPr="00AA168A">
              <w:rPr>
                <w:rFonts w:ascii="Arial" w:cs="Arial" w:hAnsi="Arial"/>
                <w:sz w:val="20"/>
                <w:szCs w:val="20"/>
              </w:rPr>
              <w:t> </w:t>
            </w:r>
          </w:p>
        </w:tc>
        <w:tc>
          <w:tcPr>
            <w:tcW w:type="dxa" w:w="2263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FA141C0" w14:textId="1B4D749F" w:rsidP="007672A1" w:rsidR="007672A1" w:rsidRDefault="007672A1" w:rsidRPr="007672A1">
            <w:pPr>
              <w:spacing w:after="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135€</w:t>
            </w:r>
          </w:p>
        </w:tc>
      </w:tr>
    </w:tbl>
    <w:p w14:paraId="731C965A" w14:textId="510CA755" w:rsidP="00B42FCB" w:rsidR="0018236C" w:rsidRDefault="0018236C">
      <w:pPr>
        <w:spacing w:after="0" w:line="240" w:lineRule="auto"/>
        <w:jc w:val="both"/>
        <w:rPr>
          <w:rFonts w:cs="Arial" w:eastAsia="Times New Roman"/>
          <w:sz w:val="20"/>
          <w:lang w:eastAsia="fr-FR"/>
        </w:rPr>
      </w:pPr>
    </w:p>
    <w:p w14:paraId="720E0AC3" w14:textId="0F101355" w:rsidP="002E784D" w:rsidR="005A5FAC" w:rsidRDefault="002E784D" w:rsidRPr="002E784D">
      <w:pPr>
        <w:spacing w:after="0" w:line="240" w:lineRule="auto"/>
        <w:jc w:val="both"/>
        <w:rPr>
          <w:rFonts w:cs="Arial" w:eastAsia="Times New Roman"/>
          <w:szCs w:val="24"/>
          <w:lang w:eastAsia="fr-FR"/>
        </w:rPr>
      </w:pPr>
      <w:r>
        <w:rPr>
          <w:rFonts w:cs="Arial" w:eastAsia="Times New Roman"/>
          <w:szCs w:val="24"/>
          <w:lang w:eastAsia="fr-FR"/>
        </w:rPr>
        <w:t>*</w:t>
      </w:r>
      <w:r w:rsidR="00AA346B" w:rsidRPr="002E784D">
        <w:rPr>
          <w:rFonts w:cs="Arial" w:eastAsia="Times New Roman"/>
          <w:szCs w:val="24"/>
          <w:lang w:eastAsia="fr-FR"/>
        </w:rPr>
        <w:t>Les collaborateurs ayant un</w:t>
      </w:r>
      <w:r w:rsidR="00BC74D4" w:rsidRPr="002E784D">
        <w:rPr>
          <w:rFonts w:cs="Arial" w:eastAsia="Times New Roman"/>
          <w:szCs w:val="24"/>
          <w:lang w:eastAsia="fr-FR"/>
        </w:rPr>
        <w:t xml:space="preserve"> salaire de base</w:t>
      </w:r>
      <w:r w:rsidR="000B11EC" w:rsidRPr="002E784D">
        <w:rPr>
          <w:rFonts w:cs="Arial" w:eastAsia="Times New Roman"/>
          <w:szCs w:val="24"/>
          <w:lang w:eastAsia="fr-FR"/>
        </w:rPr>
        <w:t xml:space="preserve"> </w:t>
      </w:r>
      <w:r w:rsidR="00BC74D4" w:rsidRPr="002E784D">
        <w:rPr>
          <w:rFonts w:cs="Arial" w:eastAsia="Times New Roman"/>
          <w:szCs w:val="24"/>
          <w:lang w:eastAsia="fr-FR"/>
        </w:rPr>
        <w:t>inférieur à 2000€ brut mensuel</w:t>
      </w:r>
      <w:r w:rsidR="00AA346B" w:rsidRPr="002E784D">
        <w:rPr>
          <w:rFonts w:cs="Arial" w:eastAsia="Times New Roman"/>
          <w:szCs w:val="24"/>
          <w:lang w:eastAsia="fr-FR"/>
        </w:rPr>
        <w:t xml:space="preserve"> bénéficieront d’une augmentation </w:t>
      </w:r>
      <w:r w:rsidRPr="002E784D">
        <w:rPr>
          <w:rFonts w:cs="Arial" w:eastAsia="Times New Roman"/>
          <w:szCs w:val="24"/>
          <w:lang w:eastAsia="fr-FR"/>
        </w:rPr>
        <w:t xml:space="preserve">générale </w:t>
      </w:r>
      <w:r w:rsidR="00AA346B" w:rsidRPr="002E784D">
        <w:rPr>
          <w:rFonts w:cs="Arial" w:eastAsia="Times New Roman"/>
          <w:szCs w:val="24"/>
          <w:lang w:eastAsia="fr-FR"/>
        </w:rPr>
        <w:t xml:space="preserve">de </w:t>
      </w:r>
      <w:r w:rsidR="00BC74D4" w:rsidRPr="002E784D">
        <w:rPr>
          <w:rFonts w:cs="Arial" w:eastAsia="Times New Roman"/>
          <w:szCs w:val="24"/>
          <w:lang w:eastAsia="fr-FR"/>
        </w:rPr>
        <w:t>100€</w:t>
      </w:r>
      <w:r w:rsidR="000B11EC" w:rsidRPr="002E784D">
        <w:rPr>
          <w:rFonts w:cs="Arial" w:eastAsia="Times New Roman"/>
          <w:szCs w:val="24"/>
          <w:lang w:eastAsia="fr-FR"/>
        </w:rPr>
        <w:t xml:space="preserve"> pour un salaire à temps plein</w:t>
      </w:r>
      <w:r w:rsidRPr="002E784D">
        <w:rPr>
          <w:rFonts w:cs="Arial" w:eastAsia="Times New Roman"/>
          <w:szCs w:val="24"/>
          <w:lang w:eastAsia="fr-FR"/>
        </w:rPr>
        <w:t xml:space="preserve"> et au prorata du temps de travail pour les salariés à temps partiel.</w:t>
      </w:r>
    </w:p>
    <w:p w14:paraId="16DE7BF9" w14:textId="77777777" w:rsidP="00B42FCB" w:rsidR="009F63AD" w:rsidRDefault="009F63AD" w:rsidRPr="009F63AD">
      <w:pPr>
        <w:spacing w:after="0" w:line="240" w:lineRule="auto"/>
        <w:jc w:val="both"/>
        <w:rPr>
          <w:rFonts w:cs="Arial" w:eastAsia="Times New Roman"/>
          <w:szCs w:val="24"/>
          <w:lang w:eastAsia="fr-FR"/>
        </w:rPr>
      </w:pPr>
    </w:p>
    <w:p w14:paraId="54DECCCE" w14:textId="49981970" w:rsidP="007F0FD5" w:rsidR="00282739" w:rsidRDefault="00282739" w:rsidRPr="00282739">
      <w:pPr>
        <w:spacing w:after="0"/>
        <w:jc w:val="both"/>
        <w:rPr>
          <w:rFonts w:cs="Arial" w:eastAsia="Times New Roman"/>
          <w:b/>
          <w:bCs/>
          <w:lang w:eastAsia="fr-FR"/>
        </w:rPr>
      </w:pPr>
      <w:r w:rsidRPr="00282739">
        <w:rPr>
          <w:rFonts w:cs="Arial" w:eastAsia="Times New Roman"/>
          <w:b/>
          <w:bCs/>
          <w:u w:val="single"/>
          <w:lang w:eastAsia="fr-FR"/>
        </w:rPr>
        <w:t>Article 2</w:t>
      </w:r>
      <w:r w:rsidRPr="00282739">
        <w:rPr>
          <w:rFonts w:cs="Arial" w:eastAsia="Times New Roman"/>
          <w:b/>
          <w:bCs/>
          <w:lang w:eastAsia="fr-FR"/>
        </w:rPr>
        <w:t xml:space="preserve"> – Ajustement de rémunération </w:t>
      </w:r>
    </w:p>
    <w:p w14:paraId="6B6C902A" w14:textId="695A9FA2" w:rsidP="005A5FAC" w:rsidR="005A5FAC" w:rsidRDefault="00282739">
      <w:pPr>
        <w:spacing w:after="0"/>
        <w:jc w:val="both"/>
        <w:rPr>
          <w:rFonts w:cs="Arial" w:eastAsia="Times New Roman"/>
          <w:lang w:eastAsia="fr-FR"/>
        </w:rPr>
      </w:pPr>
      <w:r w:rsidRPr="00282739">
        <w:rPr>
          <w:rFonts w:cs="Arial" w:eastAsia="Times New Roman"/>
          <w:lang w:eastAsia="fr-FR"/>
        </w:rPr>
        <w:t xml:space="preserve">Un budget de 0.3% de la masse salariale sera consacré à des ajustements individuels de rémunération. </w:t>
      </w:r>
    </w:p>
    <w:p w14:paraId="54AAFCDE" w14:textId="77777777" w:rsidP="005A5FAC" w:rsidR="005A5FAC" w:rsidRDefault="005A5FAC">
      <w:pPr>
        <w:spacing w:after="0"/>
        <w:jc w:val="both"/>
        <w:rPr>
          <w:rFonts w:cs="Arial" w:eastAsia="Times New Roman"/>
          <w:lang w:eastAsia="fr-FR"/>
        </w:rPr>
      </w:pPr>
    </w:p>
    <w:p w14:paraId="19E3AF36" w14:textId="2DBED8C8" w:rsidP="000C2B0E" w:rsidR="000C2B0E" w:rsidRDefault="000C2B0E">
      <w:pPr>
        <w:spacing w:after="0"/>
        <w:jc w:val="both"/>
        <w:rPr>
          <w:rFonts w:cs="Arial" w:eastAsia="Times New Roman"/>
          <w:b/>
          <w:bCs/>
          <w:lang w:eastAsia="fr-FR"/>
        </w:rPr>
      </w:pPr>
      <w:r w:rsidRPr="00282739">
        <w:rPr>
          <w:rFonts w:cs="Arial" w:eastAsia="Times New Roman"/>
          <w:b/>
          <w:bCs/>
          <w:u w:val="single"/>
          <w:lang w:eastAsia="fr-FR"/>
        </w:rPr>
        <w:t xml:space="preserve">Article </w:t>
      </w:r>
      <w:r>
        <w:rPr>
          <w:rFonts w:cs="Arial" w:eastAsia="Times New Roman"/>
          <w:b/>
          <w:bCs/>
          <w:u w:val="single"/>
          <w:lang w:eastAsia="fr-FR"/>
        </w:rPr>
        <w:t>3</w:t>
      </w:r>
      <w:r w:rsidRPr="00282739">
        <w:rPr>
          <w:rFonts w:cs="Arial" w:eastAsia="Times New Roman"/>
          <w:b/>
          <w:bCs/>
          <w:lang w:eastAsia="fr-FR"/>
        </w:rPr>
        <w:t xml:space="preserve"> </w:t>
      </w:r>
      <w:r>
        <w:rPr>
          <w:rFonts w:cs="Arial" w:eastAsia="Times New Roman"/>
          <w:b/>
          <w:bCs/>
          <w:lang w:eastAsia="fr-FR"/>
        </w:rPr>
        <w:t>–</w:t>
      </w:r>
      <w:r w:rsidRPr="00282739">
        <w:rPr>
          <w:rFonts w:cs="Arial" w:eastAsia="Times New Roman"/>
          <w:b/>
          <w:bCs/>
          <w:lang w:eastAsia="fr-FR"/>
        </w:rPr>
        <w:t xml:space="preserve"> </w:t>
      </w:r>
      <w:r>
        <w:rPr>
          <w:rFonts w:cs="Arial" w:eastAsia="Times New Roman"/>
          <w:b/>
          <w:bCs/>
          <w:lang w:eastAsia="fr-FR"/>
        </w:rPr>
        <w:t>Prime transport</w:t>
      </w:r>
      <w:r w:rsidRPr="00282739">
        <w:rPr>
          <w:rFonts w:cs="Arial" w:eastAsia="Times New Roman"/>
          <w:b/>
          <w:bCs/>
          <w:lang w:eastAsia="fr-FR"/>
        </w:rPr>
        <w:t xml:space="preserve"> </w:t>
      </w:r>
    </w:p>
    <w:p w14:paraId="4611E444" w14:textId="0610C59C" w:rsidP="005A5FAC" w:rsidR="0018236C" w:rsidRDefault="0018236C">
      <w:pPr>
        <w:spacing w:after="0"/>
        <w:jc w:val="both"/>
        <w:rPr>
          <w:rFonts w:cs="Arial" w:eastAsia="Times New Roman"/>
          <w:lang w:eastAsia="fr-FR"/>
        </w:rPr>
      </w:pPr>
      <w:r>
        <w:rPr>
          <w:rFonts w:cs="Arial" w:eastAsia="Times New Roman"/>
          <w:lang w:eastAsia="fr-FR"/>
        </w:rPr>
        <w:t>Un</w:t>
      </w:r>
      <w:r w:rsidR="006423CD">
        <w:rPr>
          <w:rFonts w:cs="Arial" w:eastAsia="Times New Roman"/>
          <w:lang w:eastAsia="fr-FR"/>
        </w:rPr>
        <w:t xml:space="preserve"> complément de </w:t>
      </w:r>
      <w:r>
        <w:rPr>
          <w:rFonts w:cs="Arial" w:eastAsia="Times New Roman"/>
          <w:lang w:eastAsia="fr-FR"/>
        </w:rPr>
        <w:t xml:space="preserve">prime transport de 200€ sera versé </w:t>
      </w:r>
      <w:r w:rsidR="006423CD">
        <w:rPr>
          <w:rFonts w:cs="Arial" w:eastAsia="Times New Roman"/>
          <w:lang w:eastAsia="fr-FR"/>
        </w:rPr>
        <w:t xml:space="preserve">sur la paie d’octobre </w:t>
      </w:r>
      <w:r>
        <w:rPr>
          <w:rFonts w:cs="Arial" w:eastAsia="Times New Roman"/>
          <w:lang w:eastAsia="fr-FR"/>
        </w:rPr>
        <w:t xml:space="preserve">aux collaborateurs </w:t>
      </w:r>
      <w:r w:rsidR="006423CD">
        <w:rPr>
          <w:rFonts w:cs="Arial" w:eastAsia="Times New Roman"/>
          <w:lang w:eastAsia="fr-FR"/>
        </w:rPr>
        <w:t xml:space="preserve">aujourd’hui </w:t>
      </w:r>
      <w:r w:rsidR="00CB7D0A">
        <w:rPr>
          <w:rFonts w:cs="Arial" w:eastAsia="Times New Roman"/>
          <w:lang w:eastAsia="fr-FR"/>
        </w:rPr>
        <w:t xml:space="preserve">éligibles à </w:t>
      </w:r>
      <w:r w:rsidR="006423CD">
        <w:rPr>
          <w:rFonts w:cs="Arial" w:eastAsia="Times New Roman"/>
          <w:lang w:eastAsia="fr-FR"/>
        </w:rPr>
        <w:t>ce dispositif</w:t>
      </w:r>
      <w:r w:rsidR="00715D14">
        <w:rPr>
          <w:rFonts w:cs="Arial" w:eastAsia="Times New Roman"/>
          <w:lang w:eastAsia="fr-FR"/>
        </w:rPr>
        <w:t xml:space="preserve">, </w:t>
      </w:r>
      <w:r>
        <w:rPr>
          <w:rFonts w:cs="Arial" w:eastAsia="Times New Roman"/>
          <w:lang w:eastAsia="fr-FR"/>
        </w:rPr>
        <w:t>présents au 30/09</w:t>
      </w:r>
      <w:r w:rsidR="006423CD">
        <w:rPr>
          <w:rFonts w:cs="Arial" w:eastAsia="Times New Roman"/>
          <w:lang w:eastAsia="fr-FR"/>
        </w:rPr>
        <w:t>/2022</w:t>
      </w:r>
      <w:r w:rsidR="00715D14">
        <w:rPr>
          <w:rFonts w:cs="Arial" w:eastAsia="Times New Roman"/>
          <w:lang w:eastAsia="fr-FR"/>
        </w:rPr>
        <w:t xml:space="preserve"> et bénéficiant de 3 mois d’ancienneté à cette date</w:t>
      </w:r>
      <w:r>
        <w:rPr>
          <w:rFonts w:cs="Arial" w:eastAsia="Times New Roman"/>
          <w:lang w:eastAsia="fr-FR"/>
        </w:rPr>
        <w:t xml:space="preserve">. </w:t>
      </w:r>
    </w:p>
    <w:p w14:paraId="0E2C7116" w14:textId="3848FAE5" w:rsidP="005A5FAC" w:rsidR="007672A1" w:rsidRDefault="00715D14">
      <w:pPr>
        <w:spacing w:after="0"/>
        <w:jc w:val="both"/>
        <w:rPr>
          <w:rFonts w:cs="Arial" w:eastAsia="Times New Roman"/>
          <w:lang w:eastAsia="fr-FR"/>
        </w:rPr>
      </w:pPr>
      <w:r>
        <w:rPr>
          <w:rFonts w:cs="Arial" w:eastAsia="Times New Roman"/>
          <w:lang w:eastAsia="fr-FR"/>
        </w:rPr>
        <w:t xml:space="preserve">Cette prime est exonérée de toutes cotisations sociales et est non fiscalisable. </w:t>
      </w:r>
    </w:p>
    <w:p w14:paraId="62CDF875" w14:textId="77777777" w:rsidP="005A5FAC" w:rsidR="00715D14" w:rsidRDefault="00715D14">
      <w:pPr>
        <w:spacing w:after="0"/>
        <w:jc w:val="both"/>
        <w:rPr>
          <w:rFonts w:cs="Arial" w:eastAsia="Times New Roman"/>
          <w:lang w:eastAsia="fr-FR"/>
        </w:rPr>
      </w:pPr>
    </w:p>
    <w:p w14:paraId="0E5F51AD" w14:textId="0BA79C44" w:rsidP="005A5FAC" w:rsidR="007672A1" w:rsidRDefault="007672A1" w:rsidRPr="007672A1">
      <w:pPr>
        <w:spacing w:after="0"/>
        <w:jc w:val="both"/>
        <w:rPr>
          <w:rFonts w:cs="Arial" w:eastAsia="Times New Roman"/>
          <w:b/>
          <w:bCs/>
          <w:lang w:eastAsia="fr-FR"/>
        </w:rPr>
      </w:pPr>
      <w:r w:rsidRPr="007672A1">
        <w:rPr>
          <w:rFonts w:cs="Arial" w:eastAsia="Times New Roman"/>
          <w:b/>
          <w:bCs/>
          <w:u w:val="single"/>
          <w:lang w:eastAsia="fr-FR"/>
        </w:rPr>
        <w:t>Article 4</w:t>
      </w:r>
      <w:r w:rsidRPr="007672A1">
        <w:rPr>
          <w:rFonts w:cs="Arial" w:eastAsia="Times New Roman"/>
          <w:b/>
          <w:bCs/>
          <w:lang w:eastAsia="fr-FR"/>
        </w:rPr>
        <w:t xml:space="preserve"> – Prime de pouvoir d’achat </w:t>
      </w:r>
    </w:p>
    <w:p w14:paraId="5E54C0EA" w14:textId="3850641B" w:rsidP="005A5FAC" w:rsidR="007672A1" w:rsidRDefault="007672A1">
      <w:pPr>
        <w:spacing w:after="0"/>
        <w:jc w:val="both"/>
        <w:rPr>
          <w:rFonts w:cs="Arial" w:eastAsia="Times New Roman"/>
          <w:lang w:eastAsia="fr-FR"/>
        </w:rPr>
      </w:pPr>
      <w:r>
        <w:rPr>
          <w:rFonts w:cs="Arial" w:eastAsia="Times New Roman"/>
          <w:lang w:eastAsia="fr-FR"/>
        </w:rPr>
        <w:t>Une prime exceptionnelle de pouvoir d’achat (nouvellement libellée PPV) d’un montant de 300€ sera versée sur la paie du mois d’octobre aux collaborateurs présents au 30/09/2022 et bénéficiant de 3 mois d’ancienneté</w:t>
      </w:r>
      <w:r w:rsidR="001234B4">
        <w:rPr>
          <w:rFonts w:cs="Arial" w:eastAsia="Times New Roman"/>
          <w:lang w:eastAsia="fr-FR"/>
        </w:rPr>
        <w:t xml:space="preserve"> à cette date. </w:t>
      </w:r>
    </w:p>
    <w:p w14:paraId="520F6365" w14:textId="12C19578" w:rsidP="005A5FAC" w:rsidR="007672A1" w:rsidRDefault="007672A1">
      <w:pPr>
        <w:spacing w:after="0"/>
        <w:jc w:val="both"/>
        <w:rPr>
          <w:rFonts w:cs="Arial" w:eastAsia="Times New Roman"/>
          <w:lang w:eastAsia="fr-FR"/>
        </w:rPr>
      </w:pPr>
      <w:r>
        <w:rPr>
          <w:rFonts w:cs="Arial" w:eastAsia="Times New Roman"/>
          <w:lang w:eastAsia="fr-FR"/>
        </w:rPr>
        <w:t>Cette prime est exonérée de toutes cotisations sociales et est non fiscalisable pour les collaborateurs ayant perçu au cours des 12 derniers mois une rémunération inférieur</w:t>
      </w:r>
      <w:r w:rsidR="00715D14">
        <w:rPr>
          <w:rFonts w:cs="Arial" w:eastAsia="Times New Roman"/>
          <w:lang w:eastAsia="fr-FR"/>
        </w:rPr>
        <w:t>e</w:t>
      </w:r>
      <w:r>
        <w:rPr>
          <w:rFonts w:cs="Arial" w:eastAsia="Times New Roman"/>
          <w:lang w:eastAsia="fr-FR"/>
        </w:rPr>
        <w:t xml:space="preserve"> à 3 fois la valeur annuelle du SMIC. Elle est </w:t>
      </w:r>
      <w:proofErr w:type="gramStart"/>
      <w:r>
        <w:rPr>
          <w:rFonts w:cs="Arial" w:eastAsia="Times New Roman"/>
          <w:lang w:eastAsia="fr-FR"/>
        </w:rPr>
        <w:t>par contre</w:t>
      </w:r>
      <w:proofErr w:type="gramEnd"/>
      <w:r>
        <w:rPr>
          <w:rFonts w:cs="Arial" w:eastAsia="Times New Roman"/>
          <w:lang w:eastAsia="fr-FR"/>
        </w:rPr>
        <w:t xml:space="preserve"> soumise à CSG/CRDS et fiscalisable pour les salariés dépassant ce seuil. </w:t>
      </w:r>
    </w:p>
    <w:p w14:paraId="653184E7" w14:textId="77777777" w:rsidP="005A5FAC" w:rsidR="007672A1" w:rsidRDefault="007672A1">
      <w:pPr>
        <w:spacing w:after="0"/>
        <w:jc w:val="both"/>
        <w:rPr>
          <w:rFonts w:cs="Arial" w:eastAsia="Times New Roman"/>
          <w:lang w:eastAsia="fr-FR"/>
        </w:rPr>
      </w:pPr>
    </w:p>
    <w:p w14:paraId="3B27B05C" w14:textId="2BD84729" w:rsidP="007F0FD5" w:rsidR="007F0FD5" w:rsidRDefault="00B42FCB">
      <w:pPr>
        <w:spacing w:after="0"/>
        <w:jc w:val="both"/>
        <w:rPr>
          <w:rFonts w:cs="Arial" w:eastAsia="Times New Roman"/>
          <w:b/>
          <w:bCs/>
          <w:lang w:eastAsia="fr-FR"/>
        </w:rPr>
      </w:pPr>
      <w:r w:rsidRPr="00282739">
        <w:rPr>
          <w:rFonts w:cs="Arial" w:eastAsia="Times New Roman"/>
          <w:b/>
          <w:bCs/>
          <w:u w:val="single"/>
          <w:lang w:eastAsia="fr-FR"/>
        </w:rPr>
        <w:t>Article</w:t>
      </w:r>
      <w:r w:rsidR="00282739" w:rsidRPr="00282739">
        <w:rPr>
          <w:rFonts w:cs="Arial" w:eastAsia="Times New Roman"/>
          <w:b/>
          <w:bCs/>
          <w:u w:val="single"/>
          <w:lang w:eastAsia="fr-FR"/>
        </w:rPr>
        <w:t xml:space="preserve"> </w:t>
      </w:r>
      <w:r w:rsidR="00F32329">
        <w:rPr>
          <w:rFonts w:cs="Arial" w:eastAsia="Times New Roman"/>
          <w:b/>
          <w:bCs/>
          <w:u w:val="single"/>
          <w:lang w:eastAsia="fr-FR"/>
        </w:rPr>
        <w:t>5</w:t>
      </w:r>
      <w:r w:rsidRPr="00282739">
        <w:rPr>
          <w:rFonts w:cs="Arial" w:eastAsia="Times New Roman"/>
          <w:b/>
          <w:bCs/>
          <w:lang w:eastAsia="fr-FR"/>
        </w:rPr>
        <w:t xml:space="preserve"> - Clause de revoyure </w:t>
      </w:r>
    </w:p>
    <w:p w14:paraId="466945DF" w14:textId="784C8C6E" w:rsidP="005A5FAC" w:rsidR="00141307" w:rsidRDefault="00282739">
      <w:pPr>
        <w:spacing w:after="0"/>
        <w:jc w:val="both"/>
        <w:rPr>
          <w:rFonts w:cs="Arial" w:eastAsia="Times New Roman"/>
          <w:lang w:eastAsia="fr-FR"/>
        </w:rPr>
      </w:pPr>
      <w:bookmarkStart w:id="0" w:name="_Hlk108430680"/>
      <w:r>
        <w:rPr>
          <w:rFonts w:cs="Arial" w:eastAsia="Times New Roman"/>
          <w:lang w:eastAsia="fr-FR"/>
        </w:rPr>
        <w:t xml:space="preserve">En </w:t>
      </w:r>
      <w:r w:rsidR="0066510E">
        <w:rPr>
          <w:rFonts w:cs="Arial" w:eastAsia="Times New Roman"/>
          <w:lang w:eastAsia="fr-FR"/>
        </w:rPr>
        <w:t>j</w:t>
      </w:r>
      <w:r>
        <w:rPr>
          <w:rFonts w:cs="Arial" w:eastAsia="Times New Roman"/>
          <w:lang w:eastAsia="fr-FR"/>
        </w:rPr>
        <w:t>anvier 2023, si</w:t>
      </w:r>
      <w:r w:rsidR="00B42FCB">
        <w:rPr>
          <w:rFonts w:cs="Arial" w:eastAsia="Times New Roman"/>
          <w:lang w:eastAsia="fr-FR"/>
        </w:rPr>
        <w:t xml:space="preserve"> l’inflation atteint</w:t>
      </w:r>
      <w:r>
        <w:rPr>
          <w:rFonts w:cs="Arial" w:eastAsia="Times New Roman"/>
          <w:lang w:eastAsia="fr-FR"/>
        </w:rPr>
        <w:t xml:space="preserve"> ou dépasse les</w:t>
      </w:r>
      <w:r w:rsidR="00B42FCB">
        <w:rPr>
          <w:rFonts w:cs="Arial" w:eastAsia="Times New Roman"/>
          <w:lang w:eastAsia="fr-FR"/>
        </w:rPr>
        <w:t xml:space="preserve"> 9% en </w:t>
      </w:r>
      <w:r>
        <w:rPr>
          <w:rFonts w:cs="Arial" w:eastAsia="Times New Roman"/>
          <w:lang w:eastAsia="fr-FR"/>
        </w:rPr>
        <w:t>dérive annuelle</w:t>
      </w:r>
      <w:r w:rsidR="00B42FCB">
        <w:rPr>
          <w:rFonts w:cs="Arial" w:eastAsia="Times New Roman"/>
          <w:lang w:eastAsia="fr-FR"/>
        </w:rPr>
        <w:t xml:space="preserve">, les parties ont convenu </w:t>
      </w:r>
      <w:r>
        <w:rPr>
          <w:rFonts w:cs="Arial" w:eastAsia="Times New Roman"/>
          <w:lang w:eastAsia="fr-FR"/>
        </w:rPr>
        <w:t xml:space="preserve">de se réunir </w:t>
      </w:r>
      <w:r w:rsidR="00870783">
        <w:rPr>
          <w:rFonts w:cs="Arial" w:eastAsia="Times New Roman"/>
          <w:lang w:eastAsia="fr-FR"/>
        </w:rPr>
        <w:t xml:space="preserve">pour </w:t>
      </w:r>
      <w:r w:rsidR="000C2B0E">
        <w:rPr>
          <w:rFonts w:cs="Arial" w:eastAsia="Times New Roman"/>
          <w:lang w:eastAsia="fr-FR"/>
        </w:rPr>
        <w:t>discuter de la situation</w:t>
      </w:r>
      <w:r w:rsidR="0066510E">
        <w:rPr>
          <w:rFonts w:cs="Arial" w:eastAsia="Times New Roman"/>
          <w:lang w:eastAsia="fr-FR"/>
        </w:rPr>
        <w:t xml:space="preserve">. </w:t>
      </w:r>
    </w:p>
    <w:p w14:paraId="2BB4486E" w14:textId="77777777" w:rsidP="005A5FAC" w:rsidR="005A5FAC" w:rsidRDefault="005A5FAC" w:rsidRPr="007F0FD5">
      <w:pPr>
        <w:spacing w:after="0"/>
        <w:jc w:val="both"/>
        <w:rPr>
          <w:rFonts w:cs="Arial" w:eastAsia="Times New Roman"/>
          <w:b/>
          <w:bCs/>
          <w:lang w:eastAsia="fr-FR"/>
        </w:rPr>
      </w:pPr>
    </w:p>
    <w:bookmarkEnd w:id="0"/>
    <w:p w14:paraId="04DB8F3B" w14:textId="5140CE09" w:rsidP="001D1817" w:rsidR="00DB5032" w:rsidRDefault="007F476B" w:rsidRPr="00CC5983">
      <w:pPr>
        <w:spacing w:after="0" w:line="240" w:lineRule="auto"/>
        <w:jc w:val="both"/>
        <w:rPr>
          <w:rFonts w:cs="Arial" w:eastAsia="Times New Roman"/>
          <w:b/>
          <w:lang w:eastAsia="fr-FR"/>
        </w:rPr>
      </w:pPr>
      <w:r w:rsidRPr="00CC5983">
        <w:rPr>
          <w:rFonts w:cs="Arial" w:eastAsia="Times New Roman"/>
          <w:b/>
          <w:u w:val="single"/>
          <w:lang w:eastAsia="fr-FR"/>
        </w:rPr>
        <w:t xml:space="preserve">Article </w:t>
      </w:r>
      <w:r w:rsidR="00F32329">
        <w:rPr>
          <w:rFonts w:cs="Arial" w:eastAsia="Times New Roman"/>
          <w:b/>
          <w:u w:val="single"/>
          <w:lang w:eastAsia="fr-FR"/>
        </w:rPr>
        <w:t>6</w:t>
      </w:r>
      <w:r w:rsidR="000C2B0E" w:rsidRPr="000C2B0E">
        <w:rPr>
          <w:rFonts w:cs="Arial" w:eastAsia="Times New Roman"/>
          <w:b/>
          <w:lang w:eastAsia="fr-FR"/>
        </w:rPr>
        <w:t xml:space="preserve"> </w:t>
      </w:r>
      <w:r w:rsidR="001D4015" w:rsidRPr="00CC5983">
        <w:rPr>
          <w:rFonts w:cs="Arial" w:eastAsia="Times New Roman"/>
          <w:b/>
          <w:lang w:eastAsia="fr-FR"/>
        </w:rPr>
        <w:t>-</w:t>
      </w:r>
      <w:r w:rsidR="001D4015" w:rsidRPr="000C2B0E">
        <w:rPr>
          <w:rFonts w:cs="Arial" w:eastAsia="Times New Roman"/>
          <w:b/>
          <w:lang w:eastAsia="fr-FR"/>
        </w:rPr>
        <w:t xml:space="preserve"> </w:t>
      </w:r>
      <w:r w:rsidR="001D4015" w:rsidRPr="00CC5983">
        <w:rPr>
          <w:rFonts w:cs="Arial" w:eastAsia="Times New Roman"/>
          <w:b/>
          <w:lang w:eastAsia="fr-FR"/>
        </w:rPr>
        <w:t>Date</w:t>
      </w:r>
      <w:r w:rsidR="00DB5032" w:rsidRPr="00CC5983">
        <w:rPr>
          <w:rFonts w:cs="Arial" w:eastAsia="Times New Roman"/>
          <w:b/>
          <w:lang w:eastAsia="fr-FR"/>
        </w:rPr>
        <w:t xml:space="preserve"> d’effet </w:t>
      </w:r>
    </w:p>
    <w:p w14:paraId="3EF39FA0" w14:textId="0330E7E7" w:rsidP="005A5FAC" w:rsidR="00DB5032" w:rsidRDefault="00DB5032" w:rsidRPr="00C7153C">
      <w:pPr>
        <w:spacing w:after="0" w:line="240" w:lineRule="auto"/>
        <w:jc w:val="both"/>
        <w:rPr>
          <w:rFonts w:cs="Arial" w:eastAsia="Times New Roman"/>
          <w:lang w:eastAsia="fr-FR"/>
        </w:rPr>
      </w:pPr>
      <w:r w:rsidRPr="00C7153C">
        <w:rPr>
          <w:rFonts w:cs="Arial" w:eastAsia="Times New Roman"/>
          <w:lang w:eastAsia="fr-FR"/>
        </w:rPr>
        <w:t xml:space="preserve">Les dispositions </w:t>
      </w:r>
      <w:r w:rsidR="009E6178" w:rsidRPr="00C7153C">
        <w:rPr>
          <w:rFonts w:cs="Arial" w:eastAsia="Times New Roman"/>
          <w:lang w:eastAsia="fr-FR"/>
        </w:rPr>
        <w:t>du</w:t>
      </w:r>
      <w:r w:rsidR="008C49B4" w:rsidRPr="00C7153C">
        <w:rPr>
          <w:rFonts w:cs="Arial" w:eastAsia="Times New Roman"/>
          <w:lang w:eastAsia="fr-FR"/>
        </w:rPr>
        <w:t xml:space="preserve"> présent </w:t>
      </w:r>
      <w:r w:rsidR="001D4015" w:rsidRPr="00C7153C">
        <w:rPr>
          <w:rFonts w:cs="Arial" w:eastAsia="Times New Roman"/>
          <w:lang w:eastAsia="fr-FR"/>
        </w:rPr>
        <w:t>accord prennent</w:t>
      </w:r>
      <w:r w:rsidRPr="00C7153C">
        <w:rPr>
          <w:rFonts w:cs="Arial" w:eastAsia="Times New Roman"/>
          <w:lang w:eastAsia="fr-FR"/>
        </w:rPr>
        <w:t xml:space="preserve"> effet au 1er octobre 20</w:t>
      </w:r>
      <w:r w:rsidR="00141307" w:rsidRPr="00C7153C">
        <w:rPr>
          <w:rFonts w:cs="Arial" w:eastAsia="Times New Roman"/>
          <w:lang w:eastAsia="fr-FR"/>
        </w:rPr>
        <w:t>2</w:t>
      </w:r>
      <w:r w:rsidR="00476529">
        <w:rPr>
          <w:rFonts w:cs="Arial" w:eastAsia="Times New Roman"/>
          <w:lang w:eastAsia="fr-FR"/>
        </w:rPr>
        <w:t>2</w:t>
      </w:r>
      <w:r w:rsidRPr="00C7153C">
        <w:rPr>
          <w:rFonts w:cs="Arial" w:eastAsia="Times New Roman"/>
          <w:lang w:eastAsia="fr-FR"/>
        </w:rPr>
        <w:t xml:space="preserve">. </w:t>
      </w:r>
    </w:p>
    <w:p w14:paraId="233FA128" w14:textId="57330244" w:rsidP="005A5FAC" w:rsidR="00DB5032" w:rsidRDefault="00DB5032" w:rsidRPr="00C7153C">
      <w:pPr>
        <w:spacing w:after="0" w:line="240" w:lineRule="atLeast"/>
        <w:ind w:right="-1"/>
        <w:jc w:val="both"/>
        <w:rPr>
          <w:rFonts w:cs="Arial" w:eastAsia="Times New Roman"/>
          <w:lang w:eastAsia="fr-FR"/>
        </w:rPr>
      </w:pPr>
    </w:p>
    <w:p w14:paraId="5B1641D0" w14:textId="5F61B8C0" w:rsidP="001D1817" w:rsidR="00DB5032" w:rsidRDefault="007F476B" w:rsidRPr="00CC5983">
      <w:pPr>
        <w:spacing w:after="0" w:line="240" w:lineRule="atLeast"/>
        <w:ind w:right="-1"/>
        <w:jc w:val="both"/>
        <w:rPr>
          <w:rFonts w:cs="Arial" w:eastAsia="Times New Roman"/>
          <w:b/>
          <w:lang w:eastAsia="fr-FR"/>
        </w:rPr>
      </w:pPr>
      <w:r w:rsidRPr="00CC5983">
        <w:rPr>
          <w:rFonts w:cs="Arial" w:eastAsia="Times New Roman"/>
          <w:b/>
          <w:bCs/>
          <w:u w:val="single"/>
          <w:lang w:eastAsia="fr-FR"/>
        </w:rPr>
        <w:t xml:space="preserve">Article </w:t>
      </w:r>
      <w:r w:rsidR="00F32329">
        <w:rPr>
          <w:rFonts w:cs="Arial" w:eastAsia="Times New Roman"/>
          <w:b/>
          <w:bCs/>
          <w:u w:val="single"/>
          <w:lang w:eastAsia="fr-FR"/>
        </w:rPr>
        <w:t>7</w:t>
      </w:r>
      <w:r w:rsidR="000C2B0E" w:rsidRPr="000C2B0E">
        <w:rPr>
          <w:rFonts w:cs="Arial" w:eastAsia="Times New Roman"/>
          <w:b/>
          <w:bCs/>
          <w:lang w:eastAsia="fr-FR"/>
        </w:rPr>
        <w:t xml:space="preserve"> </w:t>
      </w:r>
      <w:r w:rsidR="001D4015" w:rsidRPr="00CC5983">
        <w:rPr>
          <w:rFonts w:cs="Arial" w:eastAsia="Times New Roman"/>
          <w:b/>
          <w:bCs/>
          <w:lang w:eastAsia="fr-FR"/>
        </w:rPr>
        <w:t>- Durée</w:t>
      </w:r>
      <w:r w:rsidR="00DB5032" w:rsidRPr="00CC5983">
        <w:rPr>
          <w:rFonts w:cs="Arial" w:eastAsia="Times New Roman"/>
          <w:b/>
          <w:lang w:eastAsia="fr-FR"/>
        </w:rPr>
        <w:t xml:space="preserve"> de l’accord</w:t>
      </w:r>
    </w:p>
    <w:p w14:paraId="767BC1FF" w14:textId="0FA6AFC6" w:rsidP="001D1817" w:rsidR="00DB5032" w:rsidRDefault="00DB5032" w:rsidRPr="00C7153C">
      <w:pPr>
        <w:spacing w:after="0" w:line="240" w:lineRule="atLeast"/>
        <w:ind w:right="-1"/>
        <w:jc w:val="both"/>
        <w:rPr>
          <w:rFonts w:cs="Arial" w:eastAsia="Times New Roman"/>
          <w:sz w:val="24"/>
          <w:szCs w:val="24"/>
          <w:lang w:eastAsia="fr-FR"/>
        </w:rPr>
      </w:pPr>
      <w:r w:rsidRPr="00C7153C">
        <w:rPr>
          <w:rFonts w:cs="Arial" w:eastAsia="Times New Roman"/>
          <w:szCs w:val="24"/>
          <w:lang w:eastAsia="fr-FR"/>
        </w:rPr>
        <w:t>Cet accord d’entreprise est conclu pour une durée indéterminée.</w:t>
      </w:r>
    </w:p>
    <w:p w14:paraId="04CE598A" w14:textId="77777777" w:rsidP="001D1817" w:rsidR="008C49B4" w:rsidRDefault="008C49B4" w:rsidRPr="00CC5983">
      <w:pPr>
        <w:spacing w:after="0" w:line="240" w:lineRule="auto"/>
        <w:jc w:val="both"/>
        <w:rPr>
          <w:rFonts w:cs="Arial" w:eastAsia="Times New Roman"/>
          <w:b/>
          <w:bCs/>
          <w:u w:val="single"/>
          <w:lang w:eastAsia="fr-FR"/>
        </w:rPr>
      </w:pPr>
    </w:p>
    <w:p w14:paraId="7B4DA705" w14:textId="7895C034" w:rsidP="001D1817" w:rsidR="00DB5032" w:rsidRDefault="007F476B" w:rsidRPr="00CC5983">
      <w:pPr>
        <w:spacing w:after="0" w:line="240" w:lineRule="auto"/>
        <w:jc w:val="both"/>
        <w:rPr>
          <w:rFonts w:cs="Arial" w:eastAsia="Times New Roman"/>
          <w:b/>
          <w:bCs/>
          <w:lang w:eastAsia="fr-FR"/>
        </w:rPr>
      </w:pPr>
      <w:r w:rsidRPr="00CC5983">
        <w:rPr>
          <w:rFonts w:cs="Arial" w:eastAsia="Times New Roman"/>
          <w:b/>
          <w:bCs/>
          <w:u w:val="single"/>
          <w:lang w:eastAsia="fr-FR"/>
        </w:rPr>
        <w:t xml:space="preserve">Article </w:t>
      </w:r>
      <w:r w:rsidR="00F32329">
        <w:rPr>
          <w:rFonts w:cs="Arial" w:eastAsia="Times New Roman"/>
          <w:b/>
          <w:bCs/>
          <w:u w:val="single"/>
          <w:lang w:eastAsia="fr-FR"/>
        </w:rPr>
        <w:t>8</w:t>
      </w:r>
      <w:r w:rsidR="000C2B0E" w:rsidRPr="000C2B0E">
        <w:rPr>
          <w:rFonts w:cs="Arial" w:eastAsia="Times New Roman"/>
          <w:b/>
          <w:bCs/>
          <w:lang w:eastAsia="fr-FR"/>
        </w:rPr>
        <w:t xml:space="preserve"> </w:t>
      </w:r>
      <w:r w:rsidR="00C20A24" w:rsidRPr="00CC5983">
        <w:rPr>
          <w:rFonts w:cs="Arial" w:eastAsia="Times New Roman"/>
          <w:b/>
          <w:bCs/>
          <w:lang w:eastAsia="fr-FR"/>
        </w:rPr>
        <w:t>- Dépôt</w:t>
      </w:r>
    </w:p>
    <w:p w14:paraId="36D81040" w14:textId="0D519BA5" w:rsidP="001D1817" w:rsidR="00DB5032" w:rsidRDefault="00DB5032" w:rsidRPr="00C7153C">
      <w:pPr>
        <w:tabs>
          <w:tab w:pos="187" w:val="left"/>
        </w:tabs>
        <w:spacing w:after="0" w:line="240" w:lineRule="auto"/>
        <w:jc w:val="both"/>
        <w:rPr>
          <w:rFonts w:cs="Arial" w:eastAsia="Times New Roman"/>
          <w:szCs w:val="24"/>
          <w:lang w:eastAsia="fr-FR"/>
        </w:rPr>
      </w:pPr>
      <w:r w:rsidRPr="00C7153C">
        <w:rPr>
          <w:rFonts w:cs="Arial" w:eastAsia="Times New Roman"/>
          <w:szCs w:val="24"/>
          <w:lang w:eastAsia="fr-FR"/>
        </w:rPr>
        <w:t xml:space="preserve">Le présent avenant sera déposé en deux exemplaires </w:t>
      </w:r>
      <w:r w:rsidR="007700FF">
        <w:rPr>
          <w:rFonts w:cs="Arial" w:eastAsia="Times New Roman"/>
          <w:szCs w:val="24"/>
          <w:lang w:eastAsia="fr-FR"/>
        </w:rPr>
        <w:t>(</w:t>
      </w:r>
      <w:r w:rsidRPr="00C7153C">
        <w:rPr>
          <w:rFonts w:cs="Arial" w:eastAsia="Times New Roman"/>
          <w:szCs w:val="24"/>
          <w:lang w:eastAsia="fr-FR"/>
        </w:rPr>
        <w:t>une version électronique</w:t>
      </w:r>
      <w:r w:rsidR="007700FF">
        <w:rPr>
          <w:rFonts w:cs="Arial" w:eastAsia="Times New Roman"/>
          <w:szCs w:val="24"/>
          <w:lang w:eastAsia="fr-FR"/>
        </w:rPr>
        <w:t xml:space="preserve"> et une version anonymisée</w:t>
      </w:r>
      <w:r w:rsidRPr="00C7153C">
        <w:rPr>
          <w:rFonts w:cs="Arial" w:eastAsia="Times New Roman"/>
          <w:szCs w:val="24"/>
          <w:lang w:eastAsia="fr-FR"/>
        </w:rPr>
        <w:t>) à la DDTEFP d’Ille-et-Vilaine et en un exemplaire au Greffe du Conseil de Prud’hommes de RENNES.</w:t>
      </w:r>
    </w:p>
    <w:p w14:paraId="19F4424A" w14:textId="77777777" w:rsidP="00DB5032" w:rsidR="00DB5032" w:rsidRDefault="00DB5032" w:rsidRPr="00C7153C">
      <w:pPr>
        <w:tabs>
          <w:tab w:pos="5670" w:val="left"/>
        </w:tabs>
        <w:spacing w:after="0" w:line="240" w:lineRule="auto"/>
        <w:jc w:val="both"/>
        <w:rPr>
          <w:rFonts w:cs="Arial" w:eastAsia="Times New Roman"/>
          <w:sz w:val="24"/>
          <w:szCs w:val="24"/>
          <w:lang w:eastAsia="fr-FR"/>
        </w:rPr>
      </w:pPr>
    </w:p>
    <w:p w14:paraId="4A9FDEF5" w14:textId="521E1E8C" w:rsidP="00820E4C" w:rsidR="00820E4C" w:rsidRDefault="007B3F8E" w:rsidRPr="00C7153C">
      <w:pPr>
        <w:rPr>
          <w:rFonts w:cs="Arial"/>
          <w:szCs w:val="24"/>
        </w:rPr>
      </w:pPr>
      <w:r w:rsidRPr="00C7153C">
        <w:rPr>
          <w:rFonts w:cs="Arial"/>
          <w:szCs w:val="24"/>
        </w:rPr>
        <w:t xml:space="preserve">Fait à Fougères, en </w:t>
      </w:r>
      <w:r w:rsidR="00EA1F31">
        <w:rPr>
          <w:rFonts w:cs="Arial"/>
          <w:szCs w:val="24"/>
        </w:rPr>
        <w:t>3</w:t>
      </w:r>
      <w:r w:rsidR="00820E4C" w:rsidRPr="00C7153C">
        <w:rPr>
          <w:rFonts w:cs="Arial"/>
          <w:szCs w:val="24"/>
        </w:rPr>
        <w:t xml:space="preserve"> exemplaires originaux, le</w:t>
      </w:r>
      <w:r w:rsidR="002E784D">
        <w:rPr>
          <w:rFonts w:cs="Arial"/>
          <w:szCs w:val="24"/>
        </w:rPr>
        <w:t xml:space="preserve"> 22</w:t>
      </w:r>
      <w:r w:rsidR="00141307" w:rsidRPr="00C7153C">
        <w:rPr>
          <w:rFonts w:cs="Arial"/>
          <w:szCs w:val="24"/>
        </w:rPr>
        <w:t>/07/202</w:t>
      </w:r>
      <w:r w:rsidR="007E3249">
        <w:rPr>
          <w:rFonts w:cs="Arial"/>
          <w:szCs w:val="24"/>
        </w:rPr>
        <w:t>2</w:t>
      </w:r>
      <w:r w:rsidR="00EE026C" w:rsidRPr="00C7153C">
        <w:rPr>
          <w:rFonts w:cs="Arial"/>
          <w:szCs w:val="24"/>
        </w:rPr>
        <w:t>.</w:t>
      </w:r>
    </w:p>
    <w:p w14:paraId="7239412E" w14:textId="77777777" w:rsidP="00820E4C" w:rsidR="00EE026C" w:rsidRDefault="00EE026C" w:rsidRPr="00EE026C">
      <w:pPr>
        <w:rPr>
          <w:rFonts w:cs="Arial"/>
          <w:iCs/>
          <w:sz w:val="20"/>
        </w:rPr>
      </w:pPr>
    </w:p>
    <w:p w14:paraId="19867C4C" w14:textId="77777777" w:rsidP="00460ABD" w:rsidR="00460ABD" w:rsidRDefault="00460ABD" w:rsidRPr="00CC5983">
      <w:pPr>
        <w:spacing w:after="0" w:line="240" w:lineRule="auto"/>
        <w:rPr>
          <w:rFonts w:cs="Arial" w:eastAsia="Times New Roman"/>
          <w:b/>
          <w:bCs/>
          <w:lang w:eastAsia="fr-FR"/>
        </w:rPr>
      </w:pPr>
      <w:r w:rsidRPr="00CC5983">
        <w:rPr>
          <w:rFonts w:cs="Arial" w:eastAsia="Times New Roman"/>
          <w:b/>
          <w:bCs/>
          <w:lang w:eastAsia="fr-FR"/>
        </w:rPr>
        <w:t>Pour l’Organisation Syndicale FO</w:t>
      </w:r>
      <w:r w:rsidRPr="00CC5983">
        <w:rPr>
          <w:rFonts w:cs="Arial" w:eastAsia="Times New Roman"/>
          <w:b/>
          <w:bCs/>
          <w:kern w:val="32"/>
          <w:lang w:eastAsia="fr-FR"/>
        </w:rPr>
        <w:t xml:space="preserve">                                      Pour Carl Zeiss Vision France</w:t>
      </w:r>
    </w:p>
    <w:sectPr w:rsidR="00460ABD" w:rsidRPr="00CC5983" w:rsidSect="00BC74D4">
      <w:headerReference r:id="rId8" w:type="first"/>
      <w:pgSz w:h="16838" w:w="11906"/>
      <w:pgMar w:bottom="1417" w:footer="708" w:gutter="0" w:header="708" w:left="1417" w:right="1417" w:top="14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295C0" w14:textId="77777777" w:rsidR="007B03F9" w:rsidRDefault="007B03F9" w:rsidP="007B03F9">
      <w:pPr>
        <w:spacing w:after="0" w:line="240" w:lineRule="auto"/>
      </w:pPr>
      <w:r>
        <w:separator/>
      </w:r>
    </w:p>
  </w:endnote>
  <w:endnote w:type="continuationSeparator" w:id="0">
    <w:p w14:paraId="6F049E5A" w14:textId="77777777" w:rsidR="007B03F9" w:rsidRDefault="007B03F9" w:rsidP="007B0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ZEISS Frutiger Next W1G">
    <w:panose1 w:val="020B0503040204020203"/>
    <w:charset w:val="00"/>
    <w:family w:val="swiss"/>
    <w:pitch w:val="variable"/>
    <w:sig w:usb0="A00002FF" w:usb1="5000205B" w:usb2="0000000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68A6C10" w14:textId="77777777" w:rsidP="007B03F9" w:rsidR="007B03F9" w:rsidRDefault="007B03F9">
      <w:pPr>
        <w:spacing w:after="0" w:line="240" w:lineRule="auto"/>
      </w:pPr>
      <w:r>
        <w:separator/>
      </w:r>
    </w:p>
  </w:footnote>
  <w:footnote w:id="0" w:type="continuationSeparator">
    <w:p w14:paraId="5B018C83" w14:textId="77777777" w:rsidP="007B03F9" w:rsidR="007B03F9" w:rsidRDefault="007B0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B10DE69" w14:textId="0EBEDB40" w:rsidR="00BC74D4" w:rsidRDefault="00BC74D4">
    <w:pPr>
      <w:pStyle w:val="En-tte"/>
    </w:pPr>
    <w:r>
      <w:rPr>
        <w:rFonts w:ascii="Arial" w:cs="Arial" w:eastAsia="Times New Roman" w:hAnsi="Arial"/>
        <w:noProof/>
        <w:lang w:eastAsia="zh-TW"/>
      </w:rPr>
      <w:drawing>
        <wp:anchor allowOverlap="1" behindDoc="0" distB="0" distL="114300" distR="114300" distT="0" layoutInCell="1" locked="0" relativeHeight="251659264" simplePos="0" wp14:anchorId="4AEDD2C2" wp14:editId="6F93BCA2">
          <wp:simplePos x="0" y="0"/>
          <wp:positionH relativeFrom="margin">
            <wp:align>center</wp:align>
          </wp:positionH>
          <wp:positionV relativeFrom="paragraph">
            <wp:posOffset>-124494</wp:posOffset>
          </wp:positionV>
          <wp:extent cx="733425" cy="733425"/>
          <wp:effectExtent b="9525" l="0" r="9525" t="0"/>
          <wp:wrapThrough wrapText="bothSides">
            <wp:wrapPolygon edited="0">
              <wp:start x="0" y="0"/>
              <wp:lineTo x="0" y="21319"/>
              <wp:lineTo x="21319" y="21319"/>
              <wp:lineTo x="21319" y="0"/>
              <wp:lineTo x="0" y="0"/>
            </wp:wrapPolygon>
          </wp:wrapThrough>
          <wp:docPr descr="Zeiss_RGB-50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Zeiss_RGB-50" id="0" name="Picture 1"/>
                  <pic:cNvPicPr>
                    <a:picLocks noChangeArrowheads="1"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FDF7CBE"/>
    <w:multiLevelType w:val="hybridMultilevel"/>
    <w:tmpl w:val="F84B04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15:restartNumberingAfterBreak="0" w:abstractNumId="1">
    <w:nsid w:val="A15C20A7"/>
    <w:multiLevelType w:val="hybridMultilevel"/>
    <w:tmpl w:val="C1D42B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15:restartNumberingAfterBreak="0" w:abstractNumId="2">
    <w:nsid w:val="FFFFFFFE"/>
    <w:multiLevelType w:val="singleLevel"/>
    <w:tmpl w:val="FFFFFFFF"/>
    <w:lvl w:ilvl="0">
      <w:numFmt w:val="decimal"/>
      <w:lvlText w:val="*"/>
      <w:lvlJc w:val="left"/>
      <w:pPr>
        <w:ind w:firstLine="0" w:left="0"/>
      </w:pPr>
    </w:lvl>
  </w:abstractNum>
  <w:abstractNum w15:restartNumberingAfterBreak="0" w:abstractNumId="3">
    <w:nsid w:val="068430AA"/>
    <w:multiLevelType w:val="hybridMultilevel"/>
    <w:tmpl w:val="F0987598"/>
    <w:lvl w:ilvl="0" w:tplc="665A2514">
      <w:start w:val="4"/>
      <w:numFmt w:val="bullet"/>
      <w:lvlText w:val="-"/>
      <w:lvlJc w:val="left"/>
      <w:pPr>
        <w:ind w:hanging="360" w:left="720"/>
      </w:pPr>
      <w:rPr>
        <w:rFonts w:ascii="ZEISS Frutiger Next W1G" w:cs="Arial" w:eastAsia="Times New Roman" w:hAnsi="ZEISS Frutiger Next W1G" w:hint="default"/>
        <w:color w:val="auto"/>
        <w:sz w:val="22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CC22499"/>
    <w:multiLevelType w:val="hybridMultilevel"/>
    <w:tmpl w:val="4CA85E38"/>
    <w:lvl w:ilvl="0" w:tplc="2D267B80">
      <w:start w:val="135"/>
      <w:numFmt w:val="decimal"/>
      <w:lvlText w:val="%1"/>
      <w:lvlJc w:val="left"/>
      <w:pPr>
        <w:ind w:hanging="360" w:left="720"/>
      </w:pPr>
      <w:rPr>
        <w:rFonts w:eastAsiaTheme="minorEastAsia"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10D73A51"/>
    <w:multiLevelType w:val="hybridMultilevel"/>
    <w:tmpl w:val="DC425AA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96F5E5E"/>
    <w:multiLevelType w:val="hybridMultilevel"/>
    <w:tmpl w:val="A1B67408"/>
    <w:lvl w:ilvl="0" w:tplc="CD3E49A4">
      <w:start w:val="1"/>
      <w:numFmt w:val="lowerLetter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2BD9507B"/>
    <w:multiLevelType w:val="hybridMultilevel"/>
    <w:tmpl w:val="DDC42E92"/>
    <w:lvl w:ilvl="0" w:tplc="46BCEFEC">
      <w:start w:val="7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A643C59"/>
    <w:multiLevelType w:val="hybridMultilevel"/>
    <w:tmpl w:val="D21274FE"/>
    <w:lvl w:ilvl="0" w:tplc="7E1EEC7C">
      <w:numFmt w:val="bullet"/>
      <w:lvlText w:val="-"/>
      <w:lvlJc w:val="left"/>
      <w:pPr>
        <w:ind w:hanging="360" w:left="720"/>
      </w:pPr>
      <w:rPr>
        <w:rFonts w:ascii="Arial" w:cs="Arial" w:eastAsia="Times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41B9288D"/>
    <w:multiLevelType w:val="hybridMultilevel"/>
    <w:tmpl w:val="7CF4042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485C3741"/>
    <w:multiLevelType w:val="hybridMultilevel"/>
    <w:tmpl w:val="F8D22D82"/>
    <w:lvl w:ilvl="0" w:tplc="73A02D58">
      <w:start w:val="500"/>
      <w:numFmt w:val="decimal"/>
      <w:lvlText w:val="%1"/>
      <w:lvlJc w:val="left"/>
      <w:pPr>
        <w:ind w:hanging="360" w:left="36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11">
    <w:nsid w:val="547B89ED"/>
    <w:multiLevelType w:val="hybridMultilevel"/>
    <w:tmpl w:val="209CE39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15:restartNumberingAfterBreak="0" w:abstractNumId="12">
    <w:nsid w:val="65B17F1D"/>
    <w:multiLevelType w:val="hybridMultilevel"/>
    <w:tmpl w:val="52F28644"/>
    <w:lvl w:ilvl="0" w:tplc="F502D880">
      <w:start w:val="5"/>
      <w:numFmt w:val="bullet"/>
      <w:lvlText w:val="-"/>
      <w:lvlJc w:val="left"/>
      <w:pPr>
        <w:ind w:hanging="360" w:left="720"/>
      </w:pPr>
      <w:rPr>
        <w:rFonts w:ascii="ZEISS Frutiger Next W1G" w:cs="ZEISS Frutiger Next W1G" w:eastAsiaTheme="minorEastAsia" w:hAnsi="ZEISS Frutiger Next W1G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71150461"/>
    <w:multiLevelType w:val="hybridMultilevel"/>
    <w:tmpl w:val="F3E2B410"/>
    <w:lvl w:ilvl="0" w:tplc="040C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121499E"/>
    <w:multiLevelType w:val="hybridMultilevel"/>
    <w:tmpl w:val="0F0A5678"/>
    <w:lvl w:ilvl="0" w:tplc="A92C6FA8">
      <w:start w:val="135"/>
      <w:numFmt w:val="bullet"/>
      <w:lvlText w:val=""/>
      <w:lvlJc w:val="left"/>
      <w:pPr>
        <w:ind w:hanging="360" w:left="720"/>
      </w:pPr>
      <w:rPr>
        <w:rFonts w:ascii="Symbol" w:cs="Arial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73B65C91"/>
    <w:multiLevelType w:val="hybridMultilevel"/>
    <w:tmpl w:val="C3260756"/>
    <w:lvl w:ilvl="0" w:tplc="92F65AB2">
      <w:start w:val="6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74A2CC49"/>
    <w:multiLevelType w:val="hybridMultilevel"/>
    <w:tmpl w:val="C5E0C28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15:restartNumberingAfterBreak="0" w:abstractNumId="17">
    <w:nsid w:val="7D0871A4"/>
    <w:multiLevelType w:val="hybridMultilevel"/>
    <w:tmpl w:val="D6AE6416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bullet"/>
        <w:lvlText w:val=""/>
        <w:legacy w:legacy="1" w:legacyIndent="283" w:legacySpace="0"/>
        <w:lvlJc w:val="left"/>
        <w:pPr>
          <w:ind w:hanging="283" w:left="850"/>
        </w:pPr>
        <w:rPr>
          <w:rFonts w:ascii="Wingdings" w:hAnsi="Wingdings" w:hint="default"/>
        </w:rPr>
      </w:lvl>
    </w:lvlOverride>
  </w:num>
  <w:num w:numId="2">
    <w:abstractNumId w:val="13"/>
  </w:num>
  <w:num w:numId="3">
    <w:abstractNumId w:val="17"/>
  </w:num>
  <w:num w:numId="4">
    <w:abstractNumId w:val="6"/>
  </w:num>
  <w:num w:numId="5">
    <w:abstractNumId w:val="8"/>
  </w:num>
  <w:num w:numId="6">
    <w:abstractNumId w:val="7"/>
  </w:num>
  <w:num w:numId="7">
    <w:abstractNumId w:val="15"/>
  </w:num>
  <w:num w:numId="8">
    <w:abstractNumId w:val="9"/>
  </w:num>
  <w:num w:numId="9">
    <w:abstractNumId w:val="10"/>
  </w:num>
  <w:num w:numId="10">
    <w:abstractNumId w:val="12"/>
  </w:num>
  <w:num w:numId="11">
    <w:abstractNumId w:val="5"/>
  </w:num>
  <w:num w:numId="12">
    <w:abstractNumId w:val="1"/>
  </w:num>
  <w:num w:numId="13">
    <w:abstractNumId w:val="0"/>
  </w:num>
  <w:num w:numId="14">
    <w:abstractNumId w:val="3"/>
  </w:num>
  <w:num w:numId="15">
    <w:abstractNumId w:val="11"/>
  </w:num>
  <w:num w:numId="16">
    <w:abstractNumId w:val="16"/>
  </w:num>
  <w:num w:numId="17">
    <w:abstractNumId w:val="14"/>
  </w:num>
  <w:num w:numId="18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hdrShapeDefaults>
    <o:shapedefaults spidmax="88065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032"/>
    <w:rsid w:val="0007448A"/>
    <w:rsid w:val="00097D44"/>
    <w:rsid w:val="000B11EC"/>
    <w:rsid w:val="000C2B0E"/>
    <w:rsid w:val="000D2A90"/>
    <w:rsid w:val="000E76A9"/>
    <w:rsid w:val="001141AE"/>
    <w:rsid w:val="001234B4"/>
    <w:rsid w:val="00141307"/>
    <w:rsid w:val="00160843"/>
    <w:rsid w:val="0018236C"/>
    <w:rsid w:val="001D1817"/>
    <w:rsid w:val="001D4015"/>
    <w:rsid w:val="001D769B"/>
    <w:rsid w:val="001F4AD9"/>
    <w:rsid w:val="00222754"/>
    <w:rsid w:val="00224442"/>
    <w:rsid w:val="00237143"/>
    <w:rsid w:val="00241C92"/>
    <w:rsid w:val="00266621"/>
    <w:rsid w:val="00271180"/>
    <w:rsid w:val="00282739"/>
    <w:rsid w:val="002C674B"/>
    <w:rsid w:val="002D6191"/>
    <w:rsid w:val="002E784D"/>
    <w:rsid w:val="00347088"/>
    <w:rsid w:val="00361037"/>
    <w:rsid w:val="003610EC"/>
    <w:rsid w:val="00362D59"/>
    <w:rsid w:val="00391F3F"/>
    <w:rsid w:val="003F19F2"/>
    <w:rsid w:val="003F696C"/>
    <w:rsid w:val="003F73FA"/>
    <w:rsid w:val="00414991"/>
    <w:rsid w:val="00426ECB"/>
    <w:rsid w:val="004550C7"/>
    <w:rsid w:val="00460ABD"/>
    <w:rsid w:val="00462F19"/>
    <w:rsid w:val="00470EC8"/>
    <w:rsid w:val="00476529"/>
    <w:rsid w:val="004A4EFB"/>
    <w:rsid w:val="004E6BC6"/>
    <w:rsid w:val="00595E98"/>
    <w:rsid w:val="005A5FAC"/>
    <w:rsid w:val="005C247F"/>
    <w:rsid w:val="005F0749"/>
    <w:rsid w:val="00601D33"/>
    <w:rsid w:val="00624AC9"/>
    <w:rsid w:val="006423CD"/>
    <w:rsid w:val="00664C50"/>
    <w:rsid w:val="0066510E"/>
    <w:rsid w:val="00666AF1"/>
    <w:rsid w:val="00674A8B"/>
    <w:rsid w:val="00682002"/>
    <w:rsid w:val="006C2937"/>
    <w:rsid w:val="006D765F"/>
    <w:rsid w:val="00715D14"/>
    <w:rsid w:val="00735E34"/>
    <w:rsid w:val="0076499D"/>
    <w:rsid w:val="007672A1"/>
    <w:rsid w:val="007700FF"/>
    <w:rsid w:val="007960CF"/>
    <w:rsid w:val="007A77D9"/>
    <w:rsid w:val="007B03F9"/>
    <w:rsid w:val="007B3F8E"/>
    <w:rsid w:val="007C1C1B"/>
    <w:rsid w:val="007D026C"/>
    <w:rsid w:val="007E3249"/>
    <w:rsid w:val="007F0FD5"/>
    <w:rsid w:val="007F476B"/>
    <w:rsid w:val="00820E4C"/>
    <w:rsid w:val="00870783"/>
    <w:rsid w:val="00875EF2"/>
    <w:rsid w:val="008963F2"/>
    <w:rsid w:val="008C49B4"/>
    <w:rsid w:val="008E33C2"/>
    <w:rsid w:val="00905417"/>
    <w:rsid w:val="00962E89"/>
    <w:rsid w:val="0099012F"/>
    <w:rsid w:val="009B5BF1"/>
    <w:rsid w:val="009D7351"/>
    <w:rsid w:val="009E6178"/>
    <w:rsid w:val="009F63AD"/>
    <w:rsid w:val="00A364DF"/>
    <w:rsid w:val="00A65525"/>
    <w:rsid w:val="00A959F9"/>
    <w:rsid w:val="00AA168A"/>
    <w:rsid w:val="00AA2BEE"/>
    <w:rsid w:val="00AA346B"/>
    <w:rsid w:val="00AA3735"/>
    <w:rsid w:val="00AA5B4D"/>
    <w:rsid w:val="00AF590A"/>
    <w:rsid w:val="00B003B3"/>
    <w:rsid w:val="00B167BF"/>
    <w:rsid w:val="00B16C00"/>
    <w:rsid w:val="00B21BE1"/>
    <w:rsid w:val="00B23DE4"/>
    <w:rsid w:val="00B41094"/>
    <w:rsid w:val="00B42FCB"/>
    <w:rsid w:val="00B525EB"/>
    <w:rsid w:val="00B55236"/>
    <w:rsid w:val="00B5605E"/>
    <w:rsid w:val="00B818E0"/>
    <w:rsid w:val="00BC74D4"/>
    <w:rsid w:val="00BD4495"/>
    <w:rsid w:val="00BF6E66"/>
    <w:rsid w:val="00C111CB"/>
    <w:rsid w:val="00C17A0C"/>
    <w:rsid w:val="00C20A24"/>
    <w:rsid w:val="00C7153C"/>
    <w:rsid w:val="00CB7D0A"/>
    <w:rsid w:val="00CC5983"/>
    <w:rsid w:val="00CD2833"/>
    <w:rsid w:val="00CE5440"/>
    <w:rsid w:val="00CF01F4"/>
    <w:rsid w:val="00D0305A"/>
    <w:rsid w:val="00D72D9E"/>
    <w:rsid w:val="00D94739"/>
    <w:rsid w:val="00DB5032"/>
    <w:rsid w:val="00DC28E8"/>
    <w:rsid w:val="00E014C5"/>
    <w:rsid w:val="00E03806"/>
    <w:rsid w:val="00E1557D"/>
    <w:rsid w:val="00E30056"/>
    <w:rsid w:val="00E40F89"/>
    <w:rsid w:val="00E8186B"/>
    <w:rsid w:val="00EA1F31"/>
    <w:rsid w:val="00EC7472"/>
    <w:rsid w:val="00EE026C"/>
    <w:rsid w:val="00EE3459"/>
    <w:rsid w:val="00F075B9"/>
    <w:rsid w:val="00F12CE8"/>
    <w:rsid w:val="00F32329"/>
    <w:rsid w:val="00F52767"/>
    <w:rsid w:val="00F534B8"/>
    <w:rsid w:val="00F56069"/>
    <w:rsid w:val="00FA0FB6"/>
    <w:rsid w:val="00FC4C9C"/>
    <w:rsid w:val="00FD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88065" v:ext="edit"/>
    <o:shapelayout v:ext="edit">
      <o:idmap data="1" v:ext="edit"/>
    </o:shapelayout>
  </w:shapeDefaults>
  <w:decimalSymbol w:val=","/>
  <w:listSeparator w:val=";"/>
  <w14:docId w14:val="62015417"/>
  <w15:docId w15:val="{067894F2-1B51-4286-A461-E6A6C6C0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zh-CN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A5FAC"/>
    <w:pPr>
      <w:spacing w:after="80"/>
    </w:pPr>
    <w:rPr>
      <w:rFonts w:ascii="ZEISS Frutiger Next W1G" w:hAnsi="ZEISS Frutiger Next W1G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266621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7B03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B03F9"/>
  </w:style>
  <w:style w:styleId="Pieddepage" w:type="paragraph">
    <w:name w:val="footer"/>
    <w:basedOn w:val="Normal"/>
    <w:link w:val="PieddepageCar"/>
    <w:uiPriority w:val="99"/>
    <w:unhideWhenUsed/>
    <w:rsid w:val="007B03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B03F9"/>
  </w:style>
  <w:style w:styleId="Textedebulles" w:type="paragraph">
    <w:name w:val="Balloon Text"/>
    <w:basedOn w:val="Normal"/>
    <w:link w:val="TextedebullesCar"/>
    <w:uiPriority w:val="99"/>
    <w:semiHidden/>
    <w:unhideWhenUsed/>
    <w:rsid w:val="00391F3F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391F3F"/>
    <w:rPr>
      <w:rFonts w:ascii="Tahoma" w:cs="Tahoma" w:hAnsi="Tahoma"/>
      <w:sz w:val="16"/>
      <w:szCs w:val="16"/>
    </w:rPr>
  </w:style>
  <w:style w:customStyle="1" w:styleId="Default" w:type="paragraph">
    <w:name w:val="Default"/>
    <w:rsid w:val="00160843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4AC2D-187A-4ADB-9CD0-CA082E717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597</Words>
  <Characters>3285</Characters>
  <Application>Microsoft Office Word</Application>
  <DocSecurity>0</DocSecurity>
  <Lines>27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Carl Zeiss AG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2021-07-12T09:23:00Z</dcterms:created>
  <cp:lastPrinted>2022-09-15T09:10:00Z</cp:lastPrinted>
  <dcterms:modified xsi:type="dcterms:W3CDTF">2022-09-26T11:52:00Z</dcterms:modified>
  <cp:revision>33</cp:revision>
</cp:coreProperties>
</file>