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77042B5E" w14:textId="4FA2712B" w:rsidP="00825260" w:rsidR="003D3F8A" w:rsidRDefault="00BC3283">
      <w:pPr>
        <w:pBdr>
          <w:top w:color="auto" w:space="1" w:sz="4" w:val="single"/>
          <w:left w:color="auto" w:space="4" w:sz="4" w:val="single"/>
          <w:bottom w:color="auto" w:space="1" w:sz="4" w:val="single"/>
          <w:right w:color="auto" w:space="4" w:sz="4" w:val="single"/>
        </w:pBdr>
        <w:spacing w:after="60" w:before="60" w:line="240" w:lineRule="auto"/>
        <w:jc w:val="center"/>
        <w:rPr>
          <w:b/>
          <w:sz w:val="28"/>
          <w:szCs w:val="32"/>
        </w:rPr>
      </w:pPr>
      <w:r>
        <w:rPr>
          <w:noProof/>
        </w:rPr>
        <w:drawing>
          <wp:inline distB="0" distL="0" distR="0" distT="0" wp14:anchorId="280E2421" wp14:editId="418CBFAF">
            <wp:extent cx="1266825" cy="1614170"/>
            <wp:effectExtent b="5080" l="0" r="9525" t="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614170"/>
                    </a:xfrm>
                    <a:prstGeom prst="rect">
                      <a:avLst/>
                    </a:prstGeom>
                    <a:noFill/>
                    <a:ln>
                      <a:noFill/>
                    </a:ln>
                    <a:effectLst/>
                  </pic:spPr>
                </pic:pic>
              </a:graphicData>
            </a:graphic>
          </wp:inline>
        </w:drawing>
      </w:r>
    </w:p>
    <w:p w14:paraId="25DC5B3C" w14:textId="77777777" w:rsidP="00825260" w:rsidR="00BC3283" w:rsidRDefault="00BC3283" w:rsidRPr="003D3F8A">
      <w:pPr>
        <w:pBdr>
          <w:top w:color="auto" w:space="1" w:sz="4" w:val="single"/>
          <w:left w:color="auto" w:space="4" w:sz="4" w:val="single"/>
          <w:bottom w:color="auto" w:space="1" w:sz="4" w:val="single"/>
          <w:right w:color="auto" w:space="4" w:sz="4" w:val="single"/>
        </w:pBdr>
        <w:spacing w:after="60" w:before="60" w:line="240" w:lineRule="auto"/>
        <w:jc w:val="center"/>
        <w:rPr>
          <w:b/>
          <w:sz w:val="28"/>
          <w:szCs w:val="32"/>
        </w:rPr>
      </w:pPr>
    </w:p>
    <w:p w14:paraId="34AFE2F9" w14:textId="7600AF21" w:rsidP="00825260" w:rsidR="003F72F5" w:rsidRDefault="003F72F5" w:rsidRPr="003D3F8A">
      <w:pPr>
        <w:pBdr>
          <w:top w:color="auto" w:space="1" w:sz="4" w:val="single"/>
          <w:left w:color="auto" w:space="4" w:sz="4" w:val="single"/>
          <w:bottom w:color="auto" w:space="1" w:sz="4" w:val="single"/>
          <w:right w:color="auto" w:space="4" w:sz="4" w:val="single"/>
        </w:pBdr>
        <w:spacing w:after="60" w:before="60" w:line="240" w:lineRule="auto"/>
        <w:jc w:val="center"/>
        <w:rPr>
          <w:b/>
          <w:sz w:val="28"/>
          <w:szCs w:val="32"/>
        </w:rPr>
      </w:pPr>
      <w:r w:rsidRPr="003D3F8A">
        <w:rPr>
          <w:b/>
          <w:sz w:val="28"/>
          <w:szCs w:val="32"/>
        </w:rPr>
        <w:t>ACCORD D’ENTREPRISE RELATIF A</w:t>
      </w:r>
    </w:p>
    <w:p w14:paraId="5AA33B87" w14:textId="77777777" w:rsidP="00825260" w:rsidR="003F72F5" w:rsidRDefault="00910F5A" w:rsidRPr="003D3F8A">
      <w:pPr>
        <w:pBdr>
          <w:top w:color="auto" w:space="1" w:sz="4" w:val="single"/>
          <w:left w:color="auto" w:space="4" w:sz="4" w:val="single"/>
          <w:bottom w:color="auto" w:space="1" w:sz="4" w:val="single"/>
          <w:right w:color="auto" w:space="4" w:sz="4" w:val="single"/>
        </w:pBdr>
        <w:spacing w:after="60" w:before="60" w:line="240" w:lineRule="auto"/>
        <w:jc w:val="center"/>
        <w:rPr>
          <w:b/>
          <w:sz w:val="28"/>
          <w:szCs w:val="32"/>
        </w:rPr>
      </w:pPr>
      <w:r w:rsidRPr="003D3F8A">
        <w:rPr>
          <w:b/>
          <w:sz w:val="28"/>
          <w:szCs w:val="32"/>
        </w:rPr>
        <w:t>LA NÉ</w:t>
      </w:r>
      <w:r w:rsidR="003F72F5" w:rsidRPr="003D3F8A">
        <w:rPr>
          <w:b/>
          <w:sz w:val="28"/>
          <w:szCs w:val="32"/>
        </w:rPr>
        <w:t>GOCIATION ANNUELLE OBLIGATOIRE</w:t>
      </w:r>
      <w:r w:rsidR="008379FE" w:rsidRPr="003D3F8A">
        <w:rPr>
          <w:b/>
          <w:sz w:val="28"/>
          <w:szCs w:val="32"/>
        </w:rPr>
        <w:t xml:space="preserve"> </w:t>
      </w:r>
    </w:p>
    <w:p w14:paraId="57DDE76D" w14:textId="7C9D9111" w:rsidP="003D3F8A" w:rsidR="003D3F8A" w:rsidRDefault="0094307F" w:rsidRPr="003D3F8A">
      <w:pPr>
        <w:pBdr>
          <w:top w:color="auto" w:space="1" w:sz="4" w:val="single"/>
          <w:left w:color="auto" w:space="4" w:sz="4" w:val="single"/>
          <w:bottom w:color="auto" w:space="1" w:sz="4" w:val="single"/>
          <w:right w:color="auto" w:space="4" w:sz="4" w:val="single"/>
        </w:pBdr>
        <w:spacing w:after="60" w:before="60" w:line="240" w:lineRule="auto"/>
        <w:jc w:val="center"/>
        <w:rPr>
          <w:b/>
          <w:sz w:val="28"/>
          <w:szCs w:val="32"/>
        </w:rPr>
      </w:pPr>
      <w:r w:rsidRPr="003D3F8A">
        <w:rPr>
          <w:b/>
          <w:sz w:val="28"/>
          <w:szCs w:val="32"/>
        </w:rPr>
        <w:t>202</w:t>
      </w:r>
      <w:r w:rsidR="003A3F58">
        <w:rPr>
          <w:b/>
          <w:sz w:val="28"/>
          <w:szCs w:val="32"/>
        </w:rPr>
        <w:t>3</w:t>
      </w:r>
    </w:p>
    <w:p w14:paraId="5539250A" w14:textId="285C25E5" w:rsidP="002956D3" w:rsidR="003D3F8A" w:rsidRDefault="003D3F8A" w:rsidRPr="008711C3">
      <w:pPr>
        <w:tabs>
          <w:tab w:pos="7848" w:val="left"/>
        </w:tabs>
        <w:autoSpaceDE w:val="0"/>
        <w:autoSpaceDN w:val="0"/>
        <w:adjustRightInd w:val="0"/>
        <w:rPr>
          <w:rFonts w:cs="Tahoma"/>
        </w:rPr>
      </w:pPr>
      <w:r w:rsidRPr="008711C3">
        <w:rPr>
          <w:rFonts w:cs="Tahoma"/>
        </w:rPr>
        <w:t>Le présent accord est conclu :</w:t>
      </w:r>
      <w:r w:rsidR="002956D3">
        <w:rPr>
          <w:rFonts w:cs="Tahoma"/>
        </w:rPr>
        <w:tab/>
      </w:r>
    </w:p>
    <w:p w14:paraId="017C495D" w14:textId="77AB975F" w:rsidP="0074210E" w:rsidR="002A7872" w:rsidRDefault="003D3F8A" w:rsidRPr="003D3F8A">
      <w:pPr>
        <w:tabs>
          <w:tab w:pos="6945" w:val="left"/>
        </w:tabs>
        <w:spacing w:line="240" w:lineRule="atLeast"/>
        <w:jc w:val="both"/>
        <w:rPr>
          <w:b/>
        </w:rPr>
      </w:pPr>
      <w:r w:rsidRPr="003D3F8A">
        <w:rPr>
          <w:b/>
        </w:rPr>
        <w:t>ENTRE</w:t>
      </w:r>
      <w:r w:rsidR="002A7872" w:rsidRPr="003D3F8A">
        <w:rPr>
          <w:b/>
        </w:rPr>
        <w:t xml:space="preserve"> les soussignés :</w:t>
      </w:r>
      <w:r w:rsidR="0074210E">
        <w:rPr>
          <w:b/>
        </w:rPr>
        <w:tab/>
      </w:r>
    </w:p>
    <w:p w14:paraId="18173693" w14:textId="467208B7" w:rsidP="00B12D26" w:rsidR="002A7872" w:rsidRDefault="00B12D26">
      <w:pPr>
        <w:numPr>
          <w:ilvl w:val="0"/>
          <w:numId w:val="6"/>
        </w:numPr>
        <w:overflowPunct w:val="0"/>
        <w:autoSpaceDE w:val="0"/>
        <w:autoSpaceDN w:val="0"/>
        <w:adjustRightInd w:val="0"/>
        <w:spacing w:after="0" w:line="240" w:lineRule="atLeast"/>
        <w:ind w:right="284"/>
        <w:jc w:val="both"/>
        <w:textAlignment w:val="baseline"/>
      </w:pPr>
      <w:r w:rsidRPr="00B12D26">
        <w:t>L’OFFICE PUBLIC DE L'HABITAT, D’AMENAGEMENT ET DE CONSTRUCTION DE L'INDRE</w:t>
      </w:r>
      <w:r w:rsidR="002A7872" w:rsidRPr="009F5361">
        <w:t>, représenté par, Directeur Général, agissant ès-qualité,</w:t>
      </w:r>
    </w:p>
    <w:p w14:paraId="6471B3ED" w14:textId="77777777" w:rsidP="003D3F8A" w:rsidR="003D3F8A" w:rsidRDefault="003D3F8A" w:rsidRPr="009F5361">
      <w:pPr>
        <w:overflowPunct w:val="0"/>
        <w:autoSpaceDE w:val="0"/>
        <w:autoSpaceDN w:val="0"/>
        <w:adjustRightInd w:val="0"/>
        <w:spacing w:after="0" w:line="240" w:lineRule="atLeast"/>
        <w:ind w:left="1004" w:right="284"/>
        <w:jc w:val="both"/>
        <w:textAlignment w:val="baseline"/>
      </w:pPr>
    </w:p>
    <w:p w14:paraId="4D956B50" w14:textId="1FC52BED" w:rsidP="00354CCE" w:rsidR="00B531AA" w:rsidRDefault="002A7872" w:rsidRPr="009F5361">
      <w:pPr>
        <w:numPr>
          <w:ilvl w:val="0"/>
          <w:numId w:val="6"/>
        </w:numPr>
        <w:overflowPunct w:val="0"/>
        <w:autoSpaceDE w:val="0"/>
        <w:autoSpaceDN w:val="0"/>
        <w:adjustRightInd w:val="0"/>
        <w:spacing w:after="0" w:line="240" w:lineRule="atLeast"/>
        <w:ind w:right="284"/>
        <w:jc w:val="both"/>
        <w:textAlignment w:val="baseline"/>
      </w:pPr>
      <w:r w:rsidRPr="009F5361">
        <w:t>Syndicat C.F.D.T-INTERCO, représenté par, Délégu</w:t>
      </w:r>
      <w:r w:rsidR="00C73F86" w:rsidRPr="009F5361">
        <w:t>é Syndical, agissant ès-qualité.</w:t>
      </w:r>
    </w:p>
    <w:p w14:paraId="7842AD18" w14:textId="77777777" w:rsidP="00354CCE" w:rsidR="00354CCE" w:rsidRDefault="00354CCE" w:rsidRPr="009F5361">
      <w:pPr>
        <w:overflowPunct w:val="0"/>
        <w:autoSpaceDE w:val="0"/>
        <w:autoSpaceDN w:val="0"/>
        <w:adjustRightInd w:val="0"/>
        <w:spacing w:after="0" w:line="240" w:lineRule="atLeast"/>
        <w:ind w:left="1004" w:right="284"/>
        <w:jc w:val="both"/>
        <w:textAlignment w:val="baseline"/>
        <w:rPr>
          <w:sz w:val="24"/>
          <w:szCs w:val="24"/>
        </w:rPr>
      </w:pPr>
    </w:p>
    <w:p w14:paraId="30F76FC0" w14:textId="77777777" w:rsidP="00674DEA" w:rsidR="00674DEA" w:rsidRDefault="00674DEA" w:rsidRPr="003D3F8A">
      <w:pPr>
        <w:jc w:val="both"/>
        <w:rPr>
          <w:b/>
        </w:rPr>
      </w:pPr>
      <w:r w:rsidRPr="003D3F8A">
        <w:rPr>
          <w:b/>
        </w:rPr>
        <w:t>P</w:t>
      </w:r>
      <w:r w:rsidR="00A536FC" w:rsidRPr="003D3F8A">
        <w:rPr>
          <w:b/>
        </w:rPr>
        <w:t>réambule</w:t>
      </w:r>
      <w:r w:rsidRPr="003D3F8A">
        <w:rPr>
          <w:b/>
        </w:rPr>
        <w:t> :</w:t>
      </w:r>
    </w:p>
    <w:p w14:paraId="1F86E04F" w14:textId="77777777" w:rsidP="00A536FC" w:rsidR="00674DEA" w:rsidRDefault="00674DEA" w:rsidRPr="009F5361">
      <w:pPr>
        <w:numPr>
          <w:ilvl w:val="0"/>
          <w:numId w:val="6"/>
        </w:numPr>
        <w:overflowPunct w:val="0"/>
        <w:autoSpaceDE w:val="0"/>
        <w:autoSpaceDN w:val="0"/>
        <w:adjustRightInd w:val="0"/>
        <w:spacing w:after="0" w:line="240" w:lineRule="atLeast"/>
        <w:ind w:right="284"/>
        <w:jc w:val="both"/>
        <w:textAlignment w:val="baseline"/>
      </w:pPr>
      <w:r w:rsidRPr="009F5361">
        <w:t>Considérant les articles L.2242-1 et suivants du Code du Travail</w:t>
      </w:r>
      <w:r w:rsidR="008379FE" w:rsidRPr="009F5361">
        <w:t> ;</w:t>
      </w:r>
    </w:p>
    <w:p w14:paraId="1457FC16" w14:textId="77777777" w:rsidP="00A536FC" w:rsidR="00945C90" w:rsidRDefault="00945C90" w:rsidRPr="009F5361">
      <w:pPr>
        <w:numPr>
          <w:ilvl w:val="0"/>
          <w:numId w:val="6"/>
        </w:numPr>
        <w:overflowPunct w:val="0"/>
        <w:autoSpaceDE w:val="0"/>
        <w:autoSpaceDN w:val="0"/>
        <w:adjustRightInd w:val="0"/>
        <w:spacing w:after="0" w:line="240" w:lineRule="atLeast"/>
        <w:ind w:right="284"/>
        <w:jc w:val="both"/>
        <w:textAlignment w:val="baseline"/>
      </w:pPr>
      <w:r w:rsidRPr="009F5361">
        <w:t>Considérant les arti</w:t>
      </w:r>
      <w:r w:rsidR="00D83143" w:rsidRPr="009F5361">
        <w:t>cles L. 2242-5 à L. 2242-19 du C</w:t>
      </w:r>
      <w:r w:rsidRPr="009F5361">
        <w:t xml:space="preserve">ode du </w:t>
      </w:r>
      <w:r w:rsidR="00D83143" w:rsidRPr="009F5361">
        <w:t>T</w:t>
      </w:r>
      <w:r w:rsidRPr="009F5361">
        <w:t>ravail aux termes desquels ressort une obligation de négocier en principe annuellement concernant divers points</w:t>
      </w:r>
      <w:r w:rsidR="001265D2" w:rsidRPr="009F5361">
        <w:t> ;</w:t>
      </w:r>
      <w:r w:rsidRPr="009F5361">
        <w:t xml:space="preserve"> </w:t>
      </w:r>
    </w:p>
    <w:p w14:paraId="0E6E931D" w14:textId="77777777" w:rsidP="00A536FC" w:rsidR="00945C90" w:rsidRDefault="00945C90" w:rsidRPr="009F5361">
      <w:pPr>
        <w:numPr>
          <w:ilvl w:val="0"/>
          <w:numId w:val="6"/>
        </w:numPr>
        <w:overflowPunct w:val="0"/>
        <w:autoSpaceDE w:val="0"/>
        <w:autoSpaceDN w:val="0"/>
        <w:adjustRightInd w:val="0"/>
        <w:spacing w:after="0" w:line="240" w:lineRule="atLeast"/>
        <w:ind w:right="284"/>
        <w:jc w:val="both"/>
        <w:textAlignment w:val="baseline"/>
      </w:pPr>
      <w:r w:rsidRPr="009F5361">
        <w:t>Conformément à l’Article 2 Négociatio</w:t>
      </w:r>
      <w:r w:rsidR="004054AE" w:rsidRPr="009F5361">
        <w:t>ns annuelles obligatoires IV – N</w:t>
      </w:r>
      <w:r w:rsidRPr="009F5361">
        <w:t>égociation collective dans le</w:t>
      </w:r>
      <w:r w:rsidR="00C73F86" w:rsidRPr="009F5361">
        <w:t xml:space="preserve">s offices publics de l’habitat </w:t>
      </w:r>
      <w:r w:rsidR="00D83143" w:rsidRPr="009F5361">
        <w:t>de la c</w:t>
      </w:r>
      <w:r w:rsidRPr="009F5361">
        <w:t>onvention collective nationale des personnels des offices publics de l’habitat en date du 6 avril 2017</w:t>
      </w:r>
      <w:r w:rsidR="004054AE" w:rsidRPr="009F5361">
        <w:t> ;</w:t>
      </w:r>
    </w:p>
    <w:p w14:paraId="430E7F13" w14:textId="77777777" w:rsidP="00A536FC" w:rsidR="00674DEA" w:rsidRDefault="00674DEA" w:rsidRPr="009F5361">
      <w:pPr>
        <w:numPr>
          <w:ilvl w:val="0"/>
          <w:numId w:val="6"/>
        </w:numPr>
        <w:overflowPunct w:val="0"/>
        <w:autoSpaceDE w:val="0"/>
        <w:autoSpaceDN w:val="0"/>
        <w:adjustRightInd w:val="0"/>
        <w:spacing w:after="0" w:line="240" w:lineRule="atLeast"/>
        <w:ind w:right="284"/>
        <w:jc w:val="both"/>
        <w:textAlignment w:val="baseline"/>
      </w:pPr>
      <w:r w:rsidRPr="009F5361">
        <w:t>Considérant les dispositions d</w:t>
      </w:r>
      <w:r w:rsidR="00C73F86" w:rsidRPr="009F5361">
        <w:t xml:space="preserve">e la loi n° 2015-994 en date du </w:t>
      </w:r>
      <w:r w:rsidR="009F5361">
        <w:t>17 aoû</w:t>
      </w:r>
      <w:r w:rsidRPr="009F5361">
        <w:t xml:space="preserve">t 2015 sur </w:t>
      </w:r>
      <w:r w:rsidR="00910F5A" w:rsidRPr="009F5361">
        <w:t>le dialogue social et l’emploi ;</w:t>
      </w:r>
    </w:p>
    <w:p w14:paraId="1E2DD6F1" w14:textId="77777777" w:rsidP="00A536FC" w:rsidR="00674DEA" w:rsidRDefault="00674DEA" w:rsidRPr="009F5361">
      <w:pPr>
        <w:numPr>
          <w:ilvl w:val="0"/>
          <w:numId w:val="6"/>
        </w:numPr>
        <w:overflowPunct w:val="0"/>
        <w:autoSpaceDE w:val="0"/>
        <w:autoSpaceDN w:val="0"/>
        <w:adjustRightInd w:val="0"/>
        <w:spacing w:after="0" w:line="240" w:lineRule="atLeast"/>
        <w:ind w:right="284"/>
        <w:jc w:val="both"/>
        <w:textAlignment w:val="baseline"/>
      </w:pPr>
      <w:r w:rsidRPr="009F5361">
        <w:t>Considér</w:t>
      </w:r>
      <w:r w:rsidR="00D83143" w:rsidRPr="009F5361">
        <w:t>ant l’o</w:t>
      </w:r>
      <w:r w:rsidR="00C73F86" w:rsidRPr="009F5361">
        <w:t xml:space="preserve">rdonnance n°2017-1385 du </w:t>
      </w:r>
      <w:r w:rsidRPr="009F5361">
        <w:t>22 septembre 2017 relative au renforcement de la négociation collective ;</w:t>
      </w:r>
    </w:p>
    <w:p w14:paraId="5F9BA9A0" w14:textId="3E9ADB58" w:rsidP="00A536FC" w:rsidR="008379FE" w:rsidRDefault="00D83143" w:rsidRPr="009F5361">
      <w:pPr>
        <w:numPr>
          <w:ilvl w:val="0"/>
          <w:numId w:val="6"/>
        </w:numPr>
        <w:overflowPunct w:val="0"/>
        <w:autoSpaceDE w:val="0"/>
        <w:autoSpaceDN w:val="0"/>
        <w:adjustRightInd w:val="0"/>
        <w:spacing w:after="0" w:line="240" w:lineRule="atLeast"/>
        <w:ind w:right="284"/>
        <w:jc w:val="both"/>
        <w:textAlignment w:val="baseline"/>
      </w:pPr>
      <w:r w:rsidRPr="009F5361">
        <w:rPr>
          <w:iCs/>
        </w:rPr>
        <w:t>Considérant l’o</w:t>
      </w:r>
      <w:r w:rsidR="008379FE" w:rsidRPr="009F5361">
        <w:rPr>
          <w:iCs/>
        </w:rPr>
        <w:t>rdonnance n°</w:t>
      </w:r>
      <w:hyperlink r:id="rId9" w:history="1" w:tgtFrame="_blank">
        <w:r w:rsidR="008379FE" w:rsidRPr="009F5361">
          <w:t>2017-1718</w:t>
        </w:r>
      </w:hyperlink>
      <w:r w:rsidR="008379FE" w:rsidRPr="009F5361">
        <w:rPr>
          <w:iCs/>
        </w:rPr>
        <w:t xml:space="preserve"> du 20 décembre 2017 visant à compléter et mettre en cohérence les dispositions prises en application de la loi n° 2017-1340 du 15 septembre 2017 d'habilitation à prendre par ordonnances les mesures pour le renforcement du dialogue social</w:t>
      </w:r>
      <w:r w:rsidR="00B620AE">
        <w:rPr>
          <w:iCs/>
        </w:rPr>
        <w:t>.</w:t>
      </w:r>
    </w:p>
    <w:p w14:paraId="024A8C69" w14:textId="77777777" w:rsidP="006252EB" w:rsidR="006252EB" w:rsidRDefault="006252EB" w:rsidRPr="009F5361">
      <w:pPr>
        <w:overflowPunct w:val="0"/>
        <w:autoSpaceDE w:val="0"/>
        <w:autoSpaceDN w:val="0"/>
        <w:adjustRightInd w:val="0"/>
        <w:spacing w:after="0" w:line="240" w:lineRule="atLeast"/>
        <w:ind w:left="1004" w:right="284"/>
        <w:jc w:val="both"/>
        <w:textAlignment w:val="baseline"/>
        <w:rPr>
          <w:iCs/>
        </w:rPr>
      </w:pPr>
    </w:p>
    <w:p w14:paraId="5CC969A9" w14:textId="334D7089" w:rsidP="00C479F4" w:rsidR="00674DEA" w:rsidRDefault="0036494F" w:rsidRPr="005C4E5F">
      <w:pPr>
        <w:jc w:val="both"/>
      </w:pPr>
      <w:r w:rsidRPr="009F5361">
        <w:t xml:space="preserve">Les différentes parties à l’accord tiennent à </w:t>
      </w:r>
      <w:r w:rsidR="00B60095" w:rsidRPr="009F5361">
        <w:t>souligner</w:t>
      </w:r>
      <w:r w:rsidRPr="009F5361">
        <w:t xml:space="preserve"> que les discussions et les négociations se sont déroulées </w:t>
      </w:r>
      <w:r w:rsidR="00B60095" w:rsidRPr="009F5361">
        <w:t xml:space="preserve">dans un climat </w:t>
      </w:r>
      <w:r w:rsidRPr="009F5361">
        <w:t xml:space="preserve">reflétant des </w:t>
      </w:r>
      <w:r w:rsidR="00496E5F" w:rsidRPr="009F5361">
        <w:t>valeurs communes</w:t>
      </w:r>
      <w:r w:rsidR="00C73F86" w:rsidRPr="009F5361">
        <w:t xml:space="preserve"> en terme</w:t>
      </w:r>
      <w:r w:rsidR="009E6263" w:rsidRPr="009F5361">
        <w:t>s</w:t>
      </w:r>
      <w:r w:rsidR="008A6C00" w:rsidRPr="009F5361">
        <w:t xml:space="preserve"> d’échange</w:t>
      </w:r>
      <w:r w:rsidR="00496E5F" w:rsidRPr="009F5361">
        <w:t xml:space="preserve"> et d’écoute mutuelle</w:t>
      </w:r>
      <w:r w:rsidR="00B60095" w:rsidRPr="009F5361">
        <w:t xml:space="preserve">. </w:t>
      </w:r>
      <w:r w:rsidR="00496E5F" w:rsidRPr="009F5361">
        <w:t>Elles tiennent également à souligner</w:t>
      </w:r>
      <w:r w:rsidR="00B60095" w:rsidRPr="009F5361">
        <w:t xml:space="preserve"> l’objectif commun de concilier les intérêts collectifs de l’office </w:t>
      </w:r>
      <w:r w:rsidR="002F35E2" w:rsidRPr="009F5361">
        <w:t xml:space="preserve">et de ses locataires </w:t>
      </w:r>
      <w:r w:rsidR="00B60095" w:rsidRPr="009F5361">
        <w:t>avec les intérêts individuels des collaborateurs</w:t>
      </w:r>
      <w:r w:rsidR="00496E5F" w:rsidRPr="009F5361">
        <w:t xml:space="preserve">. Pour synthétiser, les parties souhaitent exprimer leur contentement </w:t>
      </w:r>
      <w:r w:rsidR="008A6C00" w:rsidRPr="009F5361">
        <w:t>partagé</w:t>
      </w:r>
      <w:r w:rsidR="00496E5F" w:rsidRPr="009F5361">
        <w:t xml:space="preserve"> d’a</w:t>
      </w:r>
      <w:r w:rsidR="008A6C00" w:rsidRPr="009F5361">
        <w:t>voir pu faire émerger un accord apportant satisfaction égale des deux parties.</w:t>
      </w:r>
      <w:r w:rsidR="00E00FDC">
        <w:t xml:space="preserve"> A</w:t>
      </w:r>
      <w:r w:rsidR="002F35E2" w:rsidRPr="009F5361">
        <w:t>u terme des discussions concernant</w:t>
      </w:r>
      <w:r w:rsidRPr="009F5361">
        <w:t xml:space="preserve"> les revendications syndicales </w:t>
      </w:r>
      <w:r w:rsidR="00A7709F" w:rsidRPr="009F5361">
        <w:t>et concernant</w:t>
      </w:r>
      <w:r w:rsidR="002F35E2" w:rsidRPr="009F5361">
        <w:t xml:space="preserve"> </w:t>
      </w:r>
      <w:r w:rsidRPr="009F5361">
        <w:t>les propositions du Directeur G</w:t>
      </w:r>
      <w:r w:rsidR="002F35E2" w:rsidRPr="009F5361">
        <w:t xml:space="preserve">énéral, </w:t>
      </w:r>
      <w:r w:rsidR="002F35E2" w:rsidRPr="009F5361">
        <w:rPr>
          <w:rFonts w:cs="Times New Roman" w:eastAsia="Times New Roman"/>
          <w:lang w:eastAsia="fr-FR"/>
        </w:rPr>
        <w:t>l</w:t>
      </w:r>
      <w:r w:rsidR="00674DEA" w:rsidRPr="009F5361">
        <w:rPr>
          <w:rFonts w:cs="Times New Roman" w:eastAsia="Times New Roman"/>
          <w:lang w:eastAsia="fr-FR"/>
        </w:rPr>
        <w:t>e présent accord d’entreprise</w:t>
      </w:r>
      <w:r w:rsidR="002F35E2" w:rsidRPr="009F5361">
        <w:rPr>
          <w:rFonts w:cs="Times New Roman" w:eastAsia="Times New Roman"/>
          <w:lang w:eastAsia="fr-FR"/>
        </w:rPr>
        <w:t xml:space="preserve"> a recueilli signature des deux parties</w:t>
      </w:r>
      <w:r w:rsidR="00674DEA" w:rsidRPr="009F5361">
        <w:rPr>
          <w:rFonts w:cs="Times New Roman" w:eastAsia="Times New Roman"/>
          <w:lang w:eastAsia="fr-FR"/>
        </w:rPr>
        <w:t xml:space="preserve"> à l’issue </w:t>
      </w:r>
      <w:r w:rsidR="006C4A1F">
        <w:rPr>
          <w:rFonts w:cs="Times New Roman" w:eastAsia="Times New Roman"/>
          <w:lang w:eastAsia="fr-FR"/>
        </w:rPr>
        <w:t xml:space="preserve">de </w:t>
      </w:r>
      <w:r w:rsidR="006C4A1F" w:rsidRPr="005C4E5F">
        <w:rPr>
          <w:rFonts w:cs="Times New Roman" w:eastAsia="Times New Roman"/>
          <w:lang w:eastAsia="fr-FR"/>
        </w:rPr>
        <w:t>plusieurs</w:t>
      </w:r>
      <w:r w:rsidR="0058087D" w:rsidRPr="005C4E5F">
        <w:t xml:space="preserve"> </w:t>
      </w:r>
      <w:r w:rsidRPr="005C4E5F">
        <w:t>réunions</w:t>
      </w:r>
      <w:r w:rsidRPr="005C4E5F">
        <w:rPr>
          <w:rFonts w:cs="Times New Roman" w:eastAsia="Times New Roman"/>
          <w:lang w:eastAsia="fr-FR"/>
        </w:rPr>
        <w:t xml:space="preserve"> qui se sont déroulées</w:t>
      </w:r>
      <w:r w:rsidR="00674DEA" w:rsidRPr="005C4E5F">
        <w:rPr>
          <w:rFonts w:cs="Times New Roman" w:eastAsia="Times New Roman"/>
          <w:lang w:eastAsia="fr-FR"/>
        </w:rPr>
        <w:t xml:space="preserve"> les :</w:t>
      </w:r>
    </w:p>
    <w:p w14:paraId="5C0DB05B" w14:textId="06D15C59" w:rsidP="00A7709F" w:rsidR="006252EB" w:rsidRDefault="0095204A" w:rsidRPr="005C4E5F">
      <w:pPr>
        <w:pStyle w:val="Paragraphedeliste"/>
        <w:numPr>
          <w:ilvl w:val="0"/>
          <w:numId w:val="33"/>
        </w:numPr>
        <w:jc w:val="both"/>
        <w:rPr>
          <w:rFonts w:asciiTheme="minorHAnsi" w:cstheme="minorBidi" w:eastAsiaTheme="minorHAnsi" w:hAnsiTheme="minorHAnsi"/>
          <w:sz w:val="22"/>
          <w:szCs w:val="22"/>
          <w:lang w:eastAsia="en-US"/>
        </w:rPr>
      </w:pPr>
      <w:r w:rsidRPr="005C4E5F">
        <w:rPr>
          <w:rFonts w:asciiTheme="minorHAnsi" w:cstheme="minorBidi" w:eastAsiaTheme="minorHAnsi" w:hAnsiTheme="minorHAnsi"/>
          <w:sz w:val="22"/>
          <w:szCs w:val="22"/>
          <w:lang w:eastAsia="en-US"/>
        </w:rPr>
        <w:t xml:space="preserve">18 </w:t>
      </w:r>
      <w:r w:rsidR="00BC3283" w:rsidRPr="005C4E5F">
        <w:rPr>
          <w:rFonts w:asciiTheme="minorHAnsi" w:cstheme="minorBidi" w:eastAsiaTheme="minorHAnsi" w:hAnsiTheme="minorHAnsi"/>
          <w:sz w:val="22"/>
          <w:szCs w:val="22"/>
          <w:lang w:eastAsia="en-US"/>
        </w:rPr>
        <w:t>Octobre 2022</w:t>
      </w:r>
    </w:p>
    <w:p w14:paraId="28D0889E" w14:textId="0A4C5588" w:rsidP="00A7709F" w:rsidR="0095204A" w:rsidRDefault="0095204A">
      <w:pPr>
        <w:pStyle w:val="Paragraphedeliste"/>
        <w:numPr>
          <w:ilvl w:val="0"/>
          <w:numId w:val="33"/>
        </w:numPr>
        <w:jc w:val="both"/>
        <w:rPr>
          <w:rFonts w:asciiTheme="minorHAnsi" w:cstheme="minorBidi" w:eastAsiaTheme="minorHAnsi" w:hAnsiTheme="minorHAnsi"/>
          <w:sz w:val="22"/>
          <w:szCs w:val="22"/>
          <w:lang w:eastAsia="en-US"/>
        </w:rPr>
      </w:pPr>
      <w:r w:rsidRPr="005C4E5F">
        <w:rPr>
          <w:rFonts w:asciiTheme="minorHAnsi" w:cstheme="minorBidi" w:eastAsiaTheme="minorHAnsi" w:hAnsiTheme="minorHAnsi"/>
          <w:sz w:val="22"/>
          <w:szCs w:val="22"/>
          <w:lang w:eastAsia="en-US"/>
        </w:rPr>
        <w:t xml:space="preserve">7 Novembre 2022 </w:t>
      </w:r>
    </w:p>
    <w:p w14:paraId="2D7A0997" w14:textId="4ABC10D0" w:rsidP="00A7709F" w:rsidR="001A242A" w:rsidRDefault="001A242A">
      <w:pPr>
        <w:pStyle w:val="Paragraphedeliste"/>
        <w:numPr>
          <w:ilvl w:val="0"/>
          <w:numId w:val="33"/>
        </w:numPr>
        <w:jc w:val="both"/>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1</w:t>
      </w:r>
      <w:r w:rsidRPr="001A242A">
        <w:rPr>
          <w:rFonts w:asciiTheme="minorHAnsi" w:cstheme="minorBidi" w:eastAsiaTheme="minorHAnsi" w:hAnsiTheme="minorHAnsi"/>
          <w:sz w:val="22"/>
          <w:szCs w:val="22"/>
          <w:vertAlign w:val="superscript"/>
          <w:lang w:eastAsia="en-US"/>
        </w:rPr>
        <w:t>er</w:t>
      </w:r>
      <w:r>
        <w:rPr>
          <w:rFonts w:asciiTheme="minorHAnsi" w:cstheme="minorBidi" w:eastAsiaTheme="minorHAnsi" w:hAnsiTheme="minorHAnsi"/>
          <w:sz w:val="22"/>
          <w:szCs w:val="22"/>
          <w:lang w:eastAsia="en-US"/>
        </w:rPr>
        <w:t xml:space="preserve"> Décembre 2022</w:t>
      </w:r>
    </w:p>
    <w:p w14:paraId="2BDDE045" w14:textId="4948790C" w:rsidP="00A7709F" w:rsidR="003A3345" w:rsidRDefault="003A3345" w:rsidRPr="005C4E5F">
      <w:pPr>
        <w:pStyle w:val="Paragraphedeliste"/>
        <w:numPr>
          <w:ilvl w:val="0"/>
          <w:numId w:val="33"/>
        </w:numPr>
        <w:jc w:val="both"/>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19 Décembre 2022</w:t>
      </w:r>
    </w:p>
    <w:p w14:paraId="27A1B2E7" w14:textId="7BAB22EA" w:rsidP="003A3F58" w:rsidR="002A0BE6" w:rsidRDefault="002A0BE6" w:rsidRPr="00687BBA">
      <w:pPr>
        <w:ind w:left="1080"/>
        <w:jc w:val="both"/>
        <w:rPr>
          <w:b/>
        </w:rPr>
      </w:pPr>
    </w:p>
    <w:p w14:paraId="05986158" w14:textId="089F9D2B" w:rsidP="00687BBA" w:rsidR="003D3F8A" w:rsidRDefault="002A7872" w:rsidRPr="00687BBA">
      <w:pPr>
        <w:jc w:val="both"/>
        <w:rPr>
          <w:b/>
        </w:rPr>
      </w:pPr>
      <w:r w:rsidRPr="00687BBA">
        <w:rPr>
          <w:b/>
        </w:rPr>
        <w:t>Ainsi</w:t>
      </w:r>
      <w:r w:rsidR="002F35E2" w:rsidRPr="00687BBA">
        <w:rPr>
          <w:b/>
        </w:rPr>
        <w:t>, à la suite</w:t>
      </w:r>
      <w:r w:rsidR="0036494F" w:rsidRPr="00687BBA">
        <w:rPr>
          <w:b/>
        </w:rPr>
        <w:t xml:space="preserve"> de ces différentes réunions,</w:t>
      </w:r>
      <w:r w:rsidR="00687BBA" w:rsidRPr="00687BBA">
        <w:rPr>
          <w:b/>
        </w:rPr>
        <w:t xml:space="preserve"> </w:t>
      </w:r>
      <w:r w:rsidR="00687BBA" w:rsidRPr="00687BBA">
        <w:rPr>
          <w:rFonts w:cs="Arial"/>
          <w:b/>
          <w:bCs/>
        </w:rPr>
        <w:t>l</w:t>
      </w:r>
      <w:r w:rsidR="003D3F8A" w:rsidRPr="00687BBA">
        <w:rPr>
          <w:rFonts w:cs="Arial"/>
          <w:b/>
          <w:bCs/>
        </w:rPr>
        <w:t>es parties signataires arrêtent ce qui suit :</w:t>
      </w:r>
    </w:p>
    <w:sdt>
      <w:sdtPr>
        <w:rPr>
          <w:rFonts w:asciiTheme="minorHAnsi" w:cstheme="minorBidi" w:eastAsiaTheme="minorHAnsi" w:hAnsiTheme="minorHAnsi"/>
          <w:color w:val="auto"/>
          <w:sz w:val="22"/>
          <w:szCs w:val="22"/>
          <w:lang w:eastAsia="en-US"/>
        </w:rPr>
        <w:id w:val="1644698034"/>
        <w:docPartObj>
          <w:docPartGallery w:val="Table of Contents"/>
          <w:docPartUnique/>
        </w:docPartObj>
      </w:sdtPr>
      <w:sdtEndPr>
        <w:rPr>
          <w:b/>
          <w:bCs/>
        </w:rPr>
      </w:sdtEndPr>
      <w:sdtContent>
        <w:p w14:paraId="7460D20A" w14:textId="188B3F33" w:rsidP="00B64DB0" w:rsidR="00B46547" w:rsidRDefault="00B46547" w:rsidRPr="003D3F8A">
          <w:pPr>
            <w:pStyle w:val="En-ttedetabledesmatires"/>
            <w:rPr>
              <w:b/>
              <w:sz w:val="22"/>
            </w:rPr>
          </w:pPr>
          <w:r w:rsidRPr="003D3F8A">
            <w:rPr>
              <w:b/>
              <w:sz w:val="22"/>
            </w:rPr>
            <w:t>Table des matières</w:t>
          </w:r>
        </w:p>
        <w:p w14:paraId="089CA265" w14:textId="1095354E" w:rsidR="004E70F2" w:rsidRDefault="00B46547">
          <w:pPr>
            <w:pStyle w:val="TM1"/>
            <w:tabs>
              <w:tab w:leader="dot" w:pos="9062" w:val="right"/>
            </w:tabs>
            <w:rPr>
              <w:rFonts w:cstheme="minorBidi"/>
              <w:noProof/>
            </w:rPr>
          </w:pPr>
          <w:r>
            <w:fldChar w:fldCharType="begin"/>
          </w:r>
          <w:r>
            <w:instrText xml:space="preserve"> TOC \o "1-3" \h \z \u </w:instrText>
          </w:r>
          <w:r>
            <w:fldChar w:fldCharType="separate"/>
          </w:r>
          <w:hyperlink w:anchor="_Toc121503538" w:history="1">
            <w:r w:rsidR="004E70F2" w:rsidRPr="00406ECB">
              <w:rPr>
                <w:rStyle w:val="Lienhypertexte"/>
                <w:noProof/>
              </w:rPr>
              <w:t>ARTICLE PRELIMINAIRE : Contexte et champ d’application</w:t>
            </w:r>
            <w:r w:rsidR="004E70F2">
              <w:rPr>
                <w:noProof/>
                <w:webHidden/>
              </w:rPr>
              <w:tab/>
            </w:r>
            <w:r w:rsidR="004E70F2">
              <w:rPr>
                <w:noProof/>
                <w:webHidden/>
              </w:rPr>
              <w:fldChar w:fldCharType="begin"/>
            </w:r>
            <w:r w:rsidR="004E70F2">
              <w:rPr>
                <w:noProof/>
                <w:webHidden/>
              </w:rPr>
              <w:instrText xml:space="preserve"> PAGEREF _Toc121503538 \h </w:instrText>
            </w:r>
            <w:r w:rsidR="004E70F2">
              <w:rPr>
                <w:noProof/>
                <w:webHidden/>
              </w:rPr>
            </w:r>
            <w:r w:rsidR="004E70F2">
              <w:rPr>
                <w:noProof/>
                <w:webHidden/>
              </w:rPr>
              <w:fldChar w:fldCharType="separate"/>
            </w:r>
            <w:r w:rsidR="004447CA">
              <w:rPr>
                <w:noProof/>
                <w:webHidden/>
              </w:rPr>
              <w:t>3</w:t>
            </w:r>
            <w:r w:rsidR="004E70F2">
              <w:rPr>
                <w:noProof/>
                <w:webHidden/>
              </w:rPr>
              <w:fldChar w:fldCharType="end"/>
            </w:r>
          </w:hyperlink>
        </w:p>
        <w:p w14:paraId="7C0EB7E2" w14:textId="50B2B870" w:rsidR="004E70F2" w:rsidRDefault="004447CA">
          <w:pPr>
            <w:pStyle w:val="TM1"/>
            <w:tabs>
              <w:tab w:leader="dot" w:pos="9062" w:val="right"/>
            </w:tabs>
            <w:rPr>
              <w:rFonts w:cstheme="minorBidi"/>
              <w:noProof/>
            </w:rPr>
          </w:pPr>
          <w:hyperlink w:anchor="_Toc121503539" w:history="1">
            <w:r w:rsidR="004E70F2" w:rsidRPr="00406ECB">
              <w:rPr>
                <w:rStyle w:val="Lienhypertexte"/>
                <w:noProof/>
              </w:rPr>
              <w:t>CHAPITRE I - Rémunération, temps de travail et partage de la valeur ajoutée</w:t>
            </w:r>
            <w:r w:rsidR="004E70F2">
              <w:rPr>
                <w:noProof/>
                <w:webHidden/>
              </w:rPr>
              <w:tab/>
            </w:r>
            <w:r w:rsidR="004E70F2">
              <w:rPr>
                <w:noProof/>
                <w:webHidden/>
              </w:rPr>
              <w:fldChar w:fldCharType="begin"/>
            </w:r>
            <w:r w:rsidR="004E70F2">
              <w:rPr>
                <w:noProof/>
                <w:webHidden/>
              </w:rPr>
              <w:instrText xml:space="preserve"> PAGEREF _Toc121503539 \h </w:instrText>
            </w:r>
            <w:r w:rsidR="004E70F2">
              <w:rPr>
                <w:noProof/>
                <w:webHidden/>
              </w:rPr>
            </w:r>
            <w:r w:rsidR="004E70F2">
              <w:rPr>
                <w:noProof/>
                <w:webHidden/>
              </w:rPr>
              <w:fldChar w:fldCharType="separate"/>
            </w:r>
            <w:r>
              <w:rPr>
                <w:noProof/>
                <w:webHidden/>
              </w:rPr>
              <w:t>3</w:t>
            </w:r>
            <w:r w:rsidR="004E70F2">
              <w:rPr>
                <w:noProof/>
                <w:webHidden/>
              </w:rPr>
              <w:fldChar w:fldCharType="end"/>
            </w:r>
          </w:hyperlink>
        </w:p>
        <w:p w14:paraId="5BB145F9" w14:textId="6FD3AD75" w:rsidR="004E70F2" w:rsidRDefault="004447CA">
          <w:pPr>
            <w:pStyle w:val="TM1"/>
            <w:tabs>
              <w:tab w:leader="dot" w:pos="9062" w:val="right"/>
            </w:tabs>
            <w:rPr>
              <w:rFonts w:cstheme="minorBidi"/>
              <w:noProof/>
            </w:rPr>
          </w:pPr>
          <w:hyperlink w:anchor="_Toc121503540" w:history="1">
            <w:r w:rsidR="004E70F2" w:rsidRPr="00406ECB">
              <w:rPr>
                <w:rStyle w:val="Lienhypertexte"/>
                <w:noProof/>
              </w:rPr>
              <w:t>ARTICLE 1 : Rémunération &amp; salaires effectifs</w:t>
            </w:r>
            <w:r w:rsidR="004E70F2">
              <w:rPr>
                <w:noProof/>
                <w:webHidden/>
              </w:rPr>
              <w:tab/>
            </w:r>
            <w:r w:rsidR="004E70F2">
              <w:rPr>
                <w:noProof/>
                <w:webHidden/>
              </w:rPr>
              <w:fldChar w:fldCharType="begin"/>
            </w:r>
            <w:r w:rsidR="004E70F2">
              <w:rPr>
                <w:noProof/>
                <w:webHidden/>
              </w:rPr>
              <w:instrText xml:space="preserve"> PAGEREF _Toc121503540 \h </w:instrText>
            </w:r>
            <w:r w:rsidR="004E70F2">
              <w:rPr>
                <w:noProof/>
                <w:webHidden/>
              </w:rPr>
            </w:r>
            <w:r w:rsidR="004E70F2">
              <w:rPr>
                <w:noProof/>
                <w:webHidden/>
              </w:rPr>
              <w:fldChar w:fldCharType="separate"/>
            </w:r>
            <w:r>
              <w:rPr>
                <w:noProof/>
                <w:webHidden/>
              </w:rPr>
              <w:t>3</w:t>
            </w:r>
            <w:r w:rsidR="004E70F2">
              <w:rPr>
                <w:noProof/>
                <w:webHidden/>
              </w:rPr>
              <w:fldChar w:fldCharType="end"/>
            </w:r>
          </w:hyperlink>
        </w:p>
        <w:p w14:paraId="3AD63873" w14:textId="1FF46133" w:rsidR="004E70F2" w:rsidRDefault="004447CA">
          <w:pPr>
            <w:pStyle w:val="TM2"/>
            <w:tabs>
              <w:tab w:leader="dot" w:pos="9062" w:val="right"/>
            </w:tabs>
            <w:rPr>
              <w:rFonts w:cstheme="minorBidi"/>
              <w:noProof/>
            </w:rPr>
          </w:pPr>
          <w:hyperlink w:anchor="_Toc121503541" w:history="1">
            <w:r w:rsidR="004E70F2" w:rsidRPr="00406ECB">
              <w:rPr>
                <w:rStyle w:val="Lienhypertexte"/>
                <w:noProof/>
              </w:rPr>
              <w:t>Article 1.1 : Augmentation collective</w:t>
            </w:r>
            <w:r w:rsidR="004E70F2">
              <w:rPr>
                <w:noProof/>
                <w:webHidden/>
              </w:rPr>
              <w:tab/>
            </w:r>
            <w:r w:rsidR="004E70F2">
              <w:rPr>
                <w:noProof/>
                <w:webHidden/>
              </w:rPr>
              <w:fldChar w:fldCharType="begin"/>
            </w:r>
            <w:r w:rsidR="004E70F2">
              <w:rPr>
                <w:noProof/>
                <w:webHidden/>
              </w:rPr>
              <w:instrText xml:space="preserve"> PAGEREF _Toc121503541 \h </w:instrText>
            </w:r>
            <w:r w:rsidR="004E70F2">
              <w:rPr>
                <w:noProof/>
                <w:webHidden/>
              </w:rPr>
            </w:r>
            <w:r w:rsidR="004E70F2">
              <w:rPr>
                <w:noProof/>
                <w:webHidden/>
              </w:rPr>
              <w:fldChar w:fldCharType="separate"/>
            </w:r>
            <w:r>
              <w:rPr>
                <w:noProof/>
                <w:webHidden/>
              </w:rPr>
              <w:t>3</w:t>
            </w:r>
            <w:r w:rsidR="004E70F2">
              <w:rPr>
                <w:noProof/>
                <w:webHidden/>
              </w:rPr>
              <w:fldChar w:fldCharType="end"/>
            </w:r>
          </w:hyperlink>
        </w:p>
        <w:p w14:paraId="47406932" w14:textId="5999268A" w:rsidR="004E70F2" w:rsidRDefault="004447CA">
          <w:pPr>
            <w:pStyle w:val="TM2"/>
            <w:tabs>
              <w:tab w:leader="dot" w:pos="9062" w:val="right"/>
            </w:tabs>
            <w:rPr>
              <w:rFonts w:cstheme="minorBidi"/>
              <w:noProof/>
            </w:rPr>
          </w:pPr>
          <w:hyperlink w:anchor="_Toc121503542" w:history="1">
            <w:r w:rsidR="004E70F2" w:rsidRPr="00406ECB">
              <w:rPr>
                <w:rStyle w:val="Lienhypertexte"/>
                <w:rFonts w:asciiTheme="majorHAnsi" w:hAnsiTheme="majorHAnsi"/>
                <w:noProof/>
              </w:rPr>
              <w:t>Article 1.2 : Augmentations Individuelles</w:t>
            </w:r>
            <w:r w:rsidR="004E70F2">
              <w:rPr>
                <w:noProof/>
                <w:webHidden/>
              </w:rPr>
              <w:tab/>
            </w:r>
            <w:r w:rsidR="004E70F2">
              <w:rPr>
                <w:noProof/>
                <w:webHidden/>
              </w:rPr>
              <w:fldChar w:fldCharType="begin"/>
            </w:r>
            <w:r w:rsidR="004E70F2">
              <w:rPr>
                <w:noProof/>
                <w:webHidden/>
              </w:rPr>
              <w:instrText xml:space="preserve"> PAGEREF _Toc121503542 \h </w:instrText>
            </w:r>
            <w:r w:rsidR="004E70F2">
              <w:rPr>
                <w:noProof/>
                <w:webHidden/>
              </w:rPr>
            </w:r>
            <w:r w:rsidR="004E70F2">
              <w:rPr>
                <w:noProof/>
                <w:webHidden/>
              </w:rPr>
              <w:fldChar w:fldCharType="separate"/>
            </w:r>
            <w:r>
              <w:rPr>
                <w:noProof/>
                <w:webHidden/>
              </w:rPr>
              <w:t>5</w:t>
            </w:r>
            <w:r w:rsidR="004E70F2">
              <w:rPr>
                <w:noProof/>
                <w:webHidden/>
              </w:rPr>
              <w:fldChar w:fldCharType="end"/>
            </w:r>
          </w:hyperlink>
        </w:p>
        <w:p w14:paraId="0D107FB4" w14:textId="3854997D" w:rsidR="004E70F2" w:rsidRDefault="004447CA">
          <w:pPr>
            <w:pStyle w:val="TM2"/>
            <w:tabs>
              <w:tab w:leader="dot" w:pos="9062" w:val="right"/>
            </w:tabs>
            <w:rPr>
              <w:rFonts w:cstheme="minorBidi"/>
              <w:noProof/>
            </w:rPr>
          </w:pPr>
          <w:hyperlink w:anchor="_Toc121503543" w:history="1">
            <w:r w:rsidR="004E70F2" w:rsidRPr="00406ECB">
              <w:rPr>
                <w:rStyle w:val="Lienhypertexte"/>
                <w:rFonts w:asciiTheme="majorHAnsi" w:hAnsiTheme="majorHAnsi"/>
                <w:noProof/>
              </w:rPr>
              <w:t>Article 1.3 : Primes de certification</w:t>
            </w:r>
            <w:r w:rsidR="004E70F2">
              <w:rPr>
                <w:noProof/>
                <w:webHidden/>
              </w:rPr>
              <w:tab/>
            </w:r>
            <w:r w:rsidR="004E70F2">
              <w:rPr>
                <w:noProof/>
                <w:webHidden/>
              </w:rPr>
              <w:fldChar w:fldCharType="begin"/>
            </w:r>
            <w:r w:rsidR="004E70F2">
              <w:rPr>
                <w:noProof/>
                <w:webHidden/>
              </w:rPr>
              <w:instrText xml:space="preserve"> PAGEREF _Toc121503543 \h </w:instrText>
            </w:r>
            <w:r w:rsidR="004E70F2">
              <w:rPr>
                <w:noProof/>
                <w:webHidden/>
              </w:rPr>
            </w:r>
            <w:r w:rsidR="004E70F2">
              <w:rPr>
                <w:noProof/>
                <w:webHidden/>
              </w:rPr>
              <w:fldChar w:fldCharType="separate"/>
            </w:r>
            <w:r>
              <w:rPr>
                <w:noProof/>
                <w:webHidden/>
              </w:rPr>
              <w:t>5</w:t>
            </w:r>
            <w:r w:rsidR="004E70F2">
              <w:rPr>
                <w:noProof/>
                <w:webHidden/>
              </w:rPr>
              <w:fldChar w:fldCharType="end"/>
            </w:r>
          </w:hyperlink>
        </w:p>
        <w:p w14:paraId="4CFFDC61" w14:textId="789952C0" w:rsidR="004E70F2" w:rsidRDefault="004447CA">
          <w:pPr>
            <w:pStyle w:val="TM2"/>
            <w:tabs>
              <w:tab w:leader="dot" w:pos="9062" w:val="right"/>
            </w:tabs>
            <w:rPr>
              <w:rFonts w:cstheme="minorBidi"/>
              <w:noProof/>
            </w:rPr>
          </w:pPr>
          <w:hyperlink w:anchor="_Toc121503544" w:history="1">
            <w:r w:rsidR="004E70F2" w:rsidRPr="00406ECB">
              <w:rPr>
                <w:rStyle w:val="Lienhypertexte"/>
                <w:rFonts w:asciiTheme="majorHAnsi" w:hAnsiTheme="majorHAnsi"/>
                <w:noProof/>
              </w:rPr>
              <w:t>Article 1.4 Primes exceptionnelles</w:t>
            </w:r>
            <w:r w:rsidR="004E70F2">
              <w:rPr>
                <w:noProof/>
                <w:webHidden/>
              </w:rPr>
              <w:tab/>
            </w:r>
            <w:r w:rsidR="004E70F2">
              <w:rPr>
                <w:noProof/>
                <w:webHidden/>
              </w:rPr>
              <w:fldChar w:fldCharType="begin"/>
            </w:r>
            <w:r w:rsidR="004E70F2">
              <w:rPr>
                <w:noProof/>
                <w:webHidden/>
              </w:rPr>
              <w:instrText xml:space="preserve"> PAGEREF _Toc121503544 \h </w:instrText>
            </w:r>
            <w:r w:rsidR="004E70F2">
              <w:rPr>
                <w:noProof/>
                <w:webHidden/>
              </w:rPr>
            </w:r>
            <w:r w:rsidR="004E70F2">
              <w:rPr>
                <w:noProof/>
                <w:webHidden/>
              </w:rPr>
              <w:fldChar w:fldCharType="separate"/>
            </w:r>
            <w:r>
              <w:rPr>
                <w:noProof/>
                <w:webHidden/>
              </w:rPr>
              <w:t>5</w:t>
            </w:r>
            <w:r w:rsidR="004E70F2">
              <w:rPr>
                <w:noProof/>
                <w:webHidden/>
              </w:rPr>
              <w:fldChar w:fldCharType="end"/>
            </w:r>
          </w:hyperlink>
        </w:p>
        <w:p w14:paraId="0EB653BA" w14:textId="3CF49079" w:rsidR="004E70F2" w:rsidRDefault="004447CA">
          <w:pPr>
            <w:pStyle w:val="TM1"/>
            <w:tabs>
              <w:tab w:leader="dot" w:pos="9062" w:val="right"/>
            </w:tabs>
            <w:rPr>
              <w:rFonts w:cstheme="minorBidi"/>
              <w:noProof/>
            </w:rPr>
          </w:pPr>
          <w:hyperlink w:anchor="_Toc121503545" w:history="1">
            <w:r w:rsidR="004E70F2" w:rsidRPr="00406ECB">
              <w:rPr>
                <w:rStyle w:val="Lienhypertexte"/>
                <w:rFonts w:asciiTheme="majorHAnsi" w:hAnsiTheme="majorHAnsi"/>
                <w:noProof/>
              </w:rPr>
              <w:t>ARTICLE 2 : Gestion des emplois et des parcours professionnels</w:t>
            </w:r>
            <w:r w:rsidR="004E70F2">
              <w:rPr>
                <w:noProof/>
                <w:webHidden/>
              </w:rPr>
              <w:tab/>
            </w:r>
            <w:r w:rsidR="004E70F2">
              <w:rPr>
                <w:noProof/>
                <w:webHidden/>
              </w:rPr>
              <w:fldChar w:fldCharType="begin"/>
            </w:r>
            <w:r w:rsidR="004E70F2">
              <w:rPr>
                <w:noProof/>
                <w:webHidden/>
              </w:rPr>
              <w:instrText xml:space="preserve"> PAGEREF _Toc121503545 \h </w:instrText>
            </w:r>
            <w:r w:rsidR="004E70F2">
              <w:rPr>
                <w:noProof/>
                <w:webHidden/>
              </w:rPr>
            </w:r>
            <w:r w:rsidR="004E70F2">
              <w:rPr>
                <w:noProof/>
                <w:webHidden/>
              </w:rPr>
              <w:fldChar w:fldCharType="separate"/>
            </w:r>
            <w:r>
              <w:rPr>
                <w:noProof/>
                <w:webHidden/>
              </w:rPr>
              <w:t>5</w:t>
            </w:r>
            <w:r w:rsidR="004E70F2">
              <w:rPr>
                <w:noProof/>
                <w:webHidden/>
              </w:rPr>
              <w:fldChar w:fldCharType="end"/>
            </w:r>
          </w:hyperlink>
        </w:p>
        <w:p w14:paraId="03B6BBEC" w14:textId="6984FCF6" w:rsidR="004E70F2" w:rsidRDefault="004447CA">
          <w:pPr>
            <w:pStyle w:val="TM1"/>
            <w:tabs>
              <w:tab w:leader="dot" w:pos="9062" w:val="right"/>
            </w:tabs>
            <w:rPr>
              <w:rFonts w:cstheme="minorBidi"/>
              <w:noProof/>
            </w:rPr>
          </w:pPr>
          <w:hyperlink w:anchor="_Toc121503546" w:history="1">
            <w:r w:rsidR="004E70F2" w:rsidRPr="00406ECB">
              <w:rPr>
                <w:rStyle w:val="Lienhypertexte"/>
                <w:rFonts w:asciiTheme="majorHAnsi" w:hAnsiTheme="majorHAnsi"/>
                <w:noProof/>
              </w:rPr>
              <w:t>ARTICLE 3 : Intéressement</w:t>
            </w:r>
            <w:r w:rsidR="004E70F2">
              <w:rPr>
                <w:noProof/>
                <w:webHidden/>
              </w:rPr>
              <w:tab/>
            </w:r>
            <w:r w:rsidR="004E70F2">
              <w:rPr>
                <w:noProof/>
                <w:webHidden/>
              </w:rPr>
              <w:fldChar w:fldCharType="begin"/>
            </w:r>
            <w:r w:rsidR="004E70F2">
              <w:rPr>
                <w:noProof/>
                <w:webHidden/>
              </w:rPr>
              <w:instrText xml:space="preserve"> PAGEREF _Toc121503546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14540CCD" w14:textId="69A72FB5" w:rsidR="004E70F2" w:rsidRDefault="004447CA">
          <w:pPr>
            <w:pStyle w:val="TM1"/>
            <w:tabs>
              <w:tab w:leader="dot" w:pos="9062" w:val="right"/>
            </w:tabs>
            <w:rPr>
              <w:rFonts w:cstheme="minorBidi"/>
              <w:noProof/>
            </w:rPr>
          </w:pPr>
          <w:hyperlink w:anchor="_Toc121503547" w:history="1">
            <w:r w:rsidR="004E70F2" w:rsidRPr="00406ECB">
              <w:rPr>
                <w:rStyle w:val="Lienhypertexte"/>
                <w:rFonts w:asciiTheme="majorHAnsi" w:hAnsiTheme="majorHAnsi"/>
                <w:noProof/>
              </w:rPr>
              <w:t>ARTICLE 4 : Durée effective et organisation du temps de travail</w:t>
            </w:r>
            <w:r w:rsidR="004E70F2">
              <w:rPr>
                <w:noProof/>
                <w:webHidden/>
              </w:rPr>
              <w:tab/>
            </w:r>
            <w:r w:rsidR="004E70F2">
              <w:rPr>
                <w:noProof/>
                <w:webHidden/>
              </w:rPr>
              <w:fldChar w:fldCharType="begin"/>
            </w:r>
            <w:r w:rsidR="004E70F2">
              <w:rPr>
                <w:noProof/>
                <w:webHidden/>
              </w:rPr>
              <w:instrText xml:space="preserve"> PAGEREF _Toc121503547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777BD38F" w14:textId="5D78B3A7" w:rsidR="004E70F2" w:rsidRDefault="004447CA">
          <w:pPr>
            <w:pStyle w:val="TM2"/>
            <w:tabs>
              <w:tab w:leader="dot" w:pos="9062" w:val="right"/>
            </w:tabs>
            <w:rPr>
              <w:rFonts w:cstheme="minorBidi"/>
              <w:noProof/>
            </w:rPr>
          </w:pPr>
          <w:hyperlink w:anchor="_Toc121503548" w:history="1">
            <w:r w:rsidR="004E70F2" w:rsidRPr="00406ECB">
              <w:rPr>
                <w:rStyle w:val="Lienhypertexte"/>
                <w:rFonts w:asciiTheme="majorHAnsi" w:hAnsiTheme="majorHAnsi"/>
                <w:noProof/>
              </w:rPr>
              <w:t>Article 4.1 : Emplois à temps partiel</w:t>
            </w:r>
            <w:r w:rsidR="004E70F2">
              <w:rPr>
                <w:noProof/>
                <w:webHidden/>
              </w:rPr>
              <w:tab/>
            </w:r>
            <w:r w:rsidR="004E70F2">
              <w:rPr>
                <w:noProof/>
                <w:webHidden/>
              </w:rPr>
              <w:fldChar w:fldCharType="begin"/>
            </w:r>
            <w:r w:rsidR="004E70F2">
              <w:rPr>
                <w:noProof/>
                <w:webHidden/>
              </w:rPr>
              <w:instrText xml:space="preserve"> PAGEREF _Toc121503548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647012E7" w14:textId="263EBEAF" w:rsidR="004E70F2" w:rsidRDefault="004447CA">
          <w:pPr>
            <w:pStyle w:val="TM2"/>
            <w:tabs>
              <w:tab w:leader="dot" w:pos="9062" w:val="right"/>
            </w:tabs>
            <w:rPr>
              <w:rFonts w:cstheme="minorBidi"/>
              <w:noProof/>
            </w:rPr>
          </w:pPr>
          <w:hyperlink w:anchor="_Toc121503549" w:history="1">
            <w:r w:rsidR="004E70F2" w:rsidRPr="00406ECB">
              <w:rPr>
                <w:rStyle w:val="Lienhypertexte"/>
                <w:rFonts w:asciiTheme="majorHAnsi" w:hAnsiTheme="majorHAnsi"/>
                <w:noProof/>
              </w:rPr>
              <w:t>Article 4.2 : Extension du forfait jour aux cadres autonomes non intégrés à une équipe</w:t>
            </w:r>
            <w:r w:rsidR="004E70F2">
              <w:rPr>
                <w:noProof/>
                <w:webHidden/>
              </w:rPr>
              <w:tab/>
            </w:r>
            <w:r w:rsidR="004E70F2">
              <w:rPr>
                <w:noProof/>
                <w:webHidden/>
              </w:rPr>
              <w:fldChar w:fldCharType="begin"/>
            </w:r>
            <w:r w:rsidR="004E70F2">
              <w:rPr>
                <w:noProof/>
                <w:webHidden/>
              </w:rPr>
              <w:instrText xml:space="preserve"> PAGEREF _Toc121503549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3A920ECC" w14:textId="5B29488C" w:rsidR="004E70F2" w:rsidRDefault="004447CA">
          <w:pPr>
            <w:pStyle w:val="TM2"/>
            <w:tabs>
              <w:tab w:leader="dot" w:pos="9062" w:val="right"/>
            </w:tabs>
            <w:rPr>
              <w:rFonts w:cstheme="minorBidi"/>
              <w:noProof/>
            </w:rPr>
          </w:pPr>
          <w:hyperlink w:anchor="_Toc121503550" w:history="1">
            <w:r w:rsidR="004E70F2" w:rsidRPr="00406ECB">
              <w:rPr>
                <w:rStyle w:val="Lienhypertexte"/>
                <w:rFonts w:asciiTheme="majorHAnsi" w:hAnsiTheme="majorHAnsi"/>
                <w:noProof/>
              </w:rPr>
              <w:t>Article 4.3 : Compte Epargne Temps</w:t>
            </w:r>
            <w:r w:rsidR="004E70F2">
              <w:rPr>
                <w:noProof/>
                <w:webHidden/>
              </w:rPr>
              <w:tab/>
            </w:r>
            <w:r w:rsidR="004E70F2">
              <w:rPr>
                <w:noProof/>
                <w:webHidden/>
              </w:rPr>
              <w:fldChar w:fldCharType="begin"/>
            </w:r>
            <w:r w:rsidR="004E70F2">
              <w:rPr>
                <w:noProof/>
                <w:webHidden/>
              </w:rPr>
              <w:instrText xml:space="preserve"> PAGEREF _Toc121503550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104E6AA6" w14:textId="45130751" w:rsidR="004E70F2" w:rsidRDefault="004447CA">
          <w:pPr>
            <w:pStyle w:val="TM2"/>
            <w:tabs>
              <w:tab w:leader="dot" w:pos="9062" w:val="right"/>
            </w:tabs>
            <w:rPr>
              <w:rFonts w:cstheme="minorBidi"/>
              <w:noProof/>
            </w:rPr>
          </w:pPr>
          <w:hyperlink w:anchor="_Toc121503551" w:history="1">
            <w:r w:rsidR="004E70F2" w:rsidRPr="00406ECB">
              <w:rPr>
                <w:rStyle w:val="Lienhypertexte"/>
                <w:rFonts w:asciiTheme="majorHAnsi" w:hAnsiTheme="majorHAnsi"/>
                <w:noProof/>
              </w:rPr>
              <w:t>Article 4.4 : Astreinte</w:t>
            </w:r>
            <w:r w:rsidR="004E70F2">
              <w:rPr>
                <w:noProof/>
                <w:webHidden/>
              </w:rPr>
              <w:tab/>
            </w:r>
            <w:r w:rsidR="004E70F2">
              <w:rPr>
                <w:noProof/>
                <w:webHidden/>
              </w:rPr>
              <w:fldChar w:fldCharType="begin"/>
            </w:r>
            <w:r w:rsidR="004E70F2">
              <w:rPr>
                <w:noProof/>
                <w:webHidden/>
              </w:rPr>
              <w:instrText xml:space="preserve"> PAGEREF _Toc121503551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2B5E212C" w14:textId="279B43FC" w:rsidR="004E70F2" w:rsidRDefault="004447CA">
          <w:pPr>
            <w:pStyle w:val="TM1"/>
            <w:tabs>
              <w:tab w:leader="dot" w:pos="9062" w:val="right"/>
            </w:tabs>
            <w:rPr>
              <w:rFonts w:cstheme="minorBidi"/>
              <w:noProof/>
            </w:rPr>
          </w:pPr>
          <w:hyperlink w:anchor="_Toc121503552" w:history="1">
            <w:r w:rsidR="004E70F2" w:rsidRPr="00406ECB">
              <w:rPr>
                <w:rStyle w:val="Lienhypertexte"/>
                <w:rFonts w:asciiTheme="majorHAnsi" w:hAnsiTheme="majorHAnsi"/>
                <w:noProof/>
              </w:rPr>
              <w:t>CHAPITRE II - Égalité professionnelle et qualité de vie au travail</w:t>
            </w:r>
            <w:r w:rsidR="004E70F2">
              <w:rPr>
                <w:noProof/>
                <w:webHidden/>
              </w:rPr>
              <w:tab/>
            </w:r>
            <w:r w:rsidR="004E70F2">
              <w:rPr>
                <w:noProof/>
                <w:webHidden/>
              </w:rPr>
              <w:fldChar w:fldCharType="begin"/>
            </w:r>
            <w:r w:rsidR="004E70F2">
              <w:rPr>
                <w:noProof/>
                <w:webHidden/>
              </w:rPr>
              <w:instrText xml:space="preserve"> PAGEREF _Toc121503552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552B57AB" w14:textId="31E6FCC8" w:rsidR="004E70F2" w:rsidRDefault="004447CA">
          <w:pPr>
            <w:pStyle w:val="TM1"/>
            <w:tabs>
              <w:tab w:leader="dot" w:pos="9062" w:val="right"/>
            </w:tabs>
            <w:rPr>
              <w:rFonts w:cstheme="minorBidi"/>
              <w:noProof/>
            </w:rPr>
          </w:pPr>
          <w:hyperlink w:anchor="_Toc121503553" w:history="1">
            <w:r w:rsidR="004E70F2" w:rsidRPr="00406ECB">
              <w:rPr>
                <w:rStyle w:val="Lienhypertexte"/>
                <w:rFonts w:asciiTheme="majorHAnsi" w:hAnsiTheme="majorHAnsi"/>
                <w:noProof/>
              </w:rPr>
              <w:t>ARTICLE 5 : Articulation entre la vie personnelle et la vie professionnelle</w:t>
            </w:r>
            <w:r w:rsidR="004E70F2">
              <w:rPr>
                <w:noProof/>
                <w:webHidden/>
              </w:rPr>
              <w:tab/>
            </w:r>
            <w:r w:rsidR="004E70F2">
              <w:rPr>
                <w:noProof/>
                <w:webHidden/>
              </w:rPr>
              <w:fldChar w:fldCharType="begin"/>
            </w:r>
            <w:r w:rsidR="004E70F2">
              <w:rPr>
                <w:noProof/>
                <w:webHidden/>
              </w:rPr>
              <w:instrText xml:space="preserve"> PAGEREF _Toc121503553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7ACF2E48" w14:textId="0E284C7C" w:rsidR="004E70F2" w:rsidRDefault="004447CA">
          <w:pPr>
            <w:pStyle w:val="TM1"/>
            <w:tabs>
              <w:tab w:leader="dot" w:pos="9062" w:val="right"/>
            </w:tabs>
            <w:rPr>
              <w:rFonts w:cstheme="minorBidi"/>
              <w:noProof/>
            </w:rPr>
          </w:pPr>
          <w:hyperlink w:anchor="_Toc121503554" w:history="1">
            <w:r w:rsidR="004E70F2" w:rsidRPr="00406ECB">
              <w:rPr>
                <w:rStyle w:val="Lienhypertexte"/>
                <w:rFonts w:asciiTheme="majorHAnsi" w:hAnsiTheme="majorHAnsi"/>
                <w:noProof/>
              </w:rPr>
              <w:t>ARTICLE 6 : Maintien des cotisations à l’assurance retraite sur une base de temps complet pour des salariés travaillant à temps partiel et conditions dans lesquelles l’employeur peut prendre en charge  tout ou partie du supplément des cotisations</w:t>
            </w:r>
            <w:r w:rsidR="004E70F2">
              <w:rPr>
                <w:noProof/>
                <w:webHidden/>
              </w:rPr>
              <w:tab/>
            </w:r>
            <w:r w:rsidR="004E70F2">
              <w:rPr>
                <w:noProof/>
                <w:webHidden/>
              </w:rPr>
              <w:fldChar w:fldCharType="begin"/>
            </w:r>
            <w:r w:rsidR="004E70F2">
              <w:rPr>
                <w:noProof/>
                <w:webHidden/>
              </w:rPr>
              <w:instrText xml:space="preserve"> PAGEREF _Toc121503554 \h </w:instrText>
            </w:r>
            <w:r w:rsidR="004E70F2">
              <w:rPr>
                <w:noProof/>
                <w:webHidden/>
              </w:rPr>
            </w:r>
            <w:r w:rsidR="004E70F2">
              <w:rPr>
                <w:noProof/>
                <w:webHidden/>
              </w:rPr>
              <w:fldChar w:fldCharType="separate"/>
            </w:r>
            <w:r>
              <w:rPr>
                <w:noProof/>
                <w:webHidden/>
              </w:rPr>
              <w:t>6</w:t>
            </w:r>
            <w:r w:rsidR="004E70F2">
              <w:rPr>
                <w:noProof/>
                <w:webHidden/>
              </w:rPr>
              <w:fldChar w:fldCharType="end"/>
            </w:r>
          </w:hyperlink>
        </w:p>
        <w:p w14:paraId="792F8753" w14:textId="2EE49836" w:rsidR="004E70F2" w:rsidRDefault="004447CA">
          <w:pPr>
            <w:pStyle w:val="TM1"/>
            <w:tabs>
              <w:tab w:leader="dot" w:pos="9062" w:val="right"/>
            </w:tabs>
            <w:rPr>
              <w:rFonts w:cstheme="minorBidi"/>
              <w:noProof/>
            </w:rPr>
          </w:pPr>
          <w:hyperlink w:anchor="_Toc121503555" w:history="1">
            <w:r w:rsidR="004E70F2" w:rsidRPr="00406ECB">
              <w:rPr>
                <w:rStyle w:val="Lienhypertexte"/>
                <w:rFonts w:asciiTheme="majorHAnsi" w:hAnsiTheme="majorHAnsi"/>
                <w:noProof/>
              </w:rPr>
              <w:t>ARTICLE 7 : Monétisation de la RTT</w:t>
            </w:r>
            <w:r w:rsidR="004E70F2">
              <w:rPr>
                <w:noProof/>
                <w:webHidden/>
              </w:rPr>
              <w:tab/>
            </w:r>
            <w:r w:rsidR="004E70F2">
              <w:rPr>
                <w:noProof/>
                <w:webHidden/>
              </w:rPr>
              <w:fldChar w:fldCharType="begin"/>
            </w:r>
            <w:r w:rsidR="004E70F2">
              <w:rPr>
                <w:noProof/>
                <w:webHidden/>
              </w:rPr>
              <w:instrText xml:space="preserve"> PAGEREF _Toc121503555 \h </w:instrText>
            </w:r>
            <w:r w:rsidR="004E70F2">
              <w:rPr>
                <w:noProof/>
                <w:webHidden/>
              </w:rPr>
            </w:r>
            <w:r w:rsidR="004E70F2">
              <w:rPr>
                <w:noProof/>
                <w:webHidden/>
              </w:rPr>
              <w:fldChar w:fldCharType="separate"/>
            </w:r>
            <w:r>
              <w:rPr>
                <w:noProof/>
                <w:webHidden/>
              </w:rPr>
              <w:t>7</w:t>
            </w:r>
            <w:r w:rsidR="004E70F2">
              <w:rPr>
                <w:noProof/>
                <w:webHidden/>
              </w:rPr>
              <w:fldChar w:fldCharType="end"/>
            </w:r>
          </w:hyperlink>
        </w:p>
        <w:p w14:paraId="2F676F11" w14:textId="091117C0" w:rsidR="004E70F2" w:rsidRDefault="004447CA">
          <w:pPr>
            <w:pStyle w:val="TM1"/>
            <w:tabs>
              <w:tab w:leader="dot" w:pos="9062" w:val="right"/>
            </w:tabs>
            <w:rPr>
              <w:rFonts w:cstheme="minorBidi"/>
              <w:noProof/>
            </w:rPr>
          </w:pPr>
          <w:hyperlink w:anchor="_Toc121503556" w:history="1">
            <w:r w:rsidR="004E70F2" w:rsidRPr="00406ECB">
              <w:rPr>
                <w:rStyle w:val="Lienhypertexte"/>
                <w:rFonts w:asciiTheme="majorHAnsi" w:hAnsiTheme="majorHAnsi"/>
                <w:noProof/>
              </w:rPr>
              <w:t>ARTICLE 8 : Recrutements</w:t>
            </w:r>
            <w:r w:rsidR="004E70F2">
              <w:rPr>
                <w:noProof/>
                <w:webHidden/>
              </w:rPr>
              <w:tab/>
            </w:r>
            <w:r w:rsidR="004E70F2">
              <w:rPr>
                <w:noProof/>
                <w:webHidden/>
              </w:rPr>
              <w:fldChar w:fldCharType="begin"/>
            </w:r>
            <w:r w:rsidR="004E70F2">
              <w:rPr>
                <w:noProof/>
                <w:webHidden/>
              </w:rPr>
              <w:instrText xml:space="preserve"> PAGEREF _Toc121503556 \h </w:instrText>
            </w:r>
            <w:r w:rsidR="004E70F2">
              <w:rPr>
                <w:noProof/>
                <w:webHidden/>
              </w:rPr>
            </w:r>
            <w:r w:rsidR="004E70F2">
              <w:rPr>
                <w:noProof/>
                <w:webHidden/>
              </w:rPr>
              <w:fldChar w:fldCharType="separate"/>
            </w:r>
            <w:r>
              <w:rPr>
                <w:noProof/>
                <w:webHidden/>
              </w:rPr>
              <w:t>7</w:t>
            </w:r>
            <w:r w:rsidR="004E70F2">
              <w:rPr>
                <w:noProof/>
                <w:webHidden/>
              </w:rPr>
              <w:fldChar w:fldCharType="end"/>
            </w:r>
          </w:hyperlink>
        </w:p>
        <w:p w14:paraId="2E1CB904" w14:textId="08CCEC5D" w:rsidR="004E70F2" w:rsidRDefault="004447CA">
          <w:pPr>
            <w:pStyle w:val="TM1"/>
            <w:tabs>
              <w:tab w:leader="dot" w:pos="9062" w:val="right"/>
            </w:tabs>
            <w:rPr>
              <w:rFonts w:cstheme="minorBidi"/>
              <w:noProof/>
            </w:rPr>
          </w:pPr>
          <w:hyperlink w:anchor="_Toc121503557" w:history="1">
            <w:r w:rsidR="004E70F2" w:rsidRPr="00406ECB">
              <w:rPr>
                <w:rStyle w:val="Lienhypertexte"/>
                <w:rFonts w:asciiTheme="majorHAnsi" w:hAnsiTheme="majorHAnsi"/>
                <w:noProof/>
              </w:rPr>
              <w:t>ARTICLE 9 : Objectifs et mesures permettant d’atteindre l’égalité professionnelle entre les femmes et les hommes</w:t>
            </w:r>
            <w:r w:rsidR="004E70F2">
              <w:rPr>
                <w:noProof/>
                <w:webHidden/>
              </w:rPr>
              <w:tab/>
            </w:r>
            <w:r w:rsidR="004E70F2">
              <w:rPr>
                <w:noProof/>
                <w:webHidden/>
              </w:rPr>
              <w:fldChar w:fldCharType="begin"/>
            </w:r>
            <w:r w:rsidR="004E70F2">
              <w:rPr>
                <w:noProof/>
                <w:webHidden/>
              </w:rPr>
              <w:instrText xml:space="preserve"> PAGEREF _Toc121503557 \h </w:instrText>
            </w:r>
            <w:r w:rsidR="004E70F2">
              <w:rPr>
                <w:noProof/>
                <w:webHidden/>
              </w:rPr>
            </w:r>
            <w:r w:rsidR="004E70F2">
              <w:rPr>
                <w:noProof/>
                <w:webHidden/>
              </w:rPr>
              <w:fldChar w:fldCharType="separate"/>
            </w:r>
            <w:r>
              <w:rPr>
                <w:noProof/>
                <w:webHidden/>
              </w:rPr>
              <w:t>7</w:t>
            </w:r>
            <w:r w:rsidR="004E70F2">
              <w:rPr>
                <w:noProof/>
                <w:webHidden/>
              </w:rPr>
              <w:fldChar w:fldCharType="end"/>
            </w:r>
          </w:hyperlink>
        </w:p>
        <w:p w14:paraId="1EF2A021" w14:textId="2F8A59D7" w:rsidR="004E70F2" w:rsidRDefault="004447CA">
          <w:pPr>
            <w:pStyle w:val="TM1"/>
            <w:tabs>
              <w:tab w:leader="dot" w:pos="9062" w:val="right"/>
            </w:tabs>
            <w:rPr>
              <w:rFonts w:cstheme="minorBidi"/>
              <w:noProof/>
            </w:rPr>
          </w:pPr>
          <w:hyperlink w:anchor="_Toc121503558" w:history="1">
            <w:r w:rsidR="004E70F2" w:rsidRPr="00406ECB">
              <w:rPr>
                <w:rStyle w:val="Lienhypertexte"/>
                <w:rFonts w:asciiTheme="majorHAnsi" w:hAnsiTheme="majorHAnsi"/>
                <w:noProof/>
              </w:rPr>
              <w:t>ARTICLE 10 : Mesures permettant de lutter contre les discriminations en matière de recrutement, d’emploi et d’accès à la formation professionnelle</w:t>
            </w:r>
            <w:r w:rsidR="004E70F2">
              <w:rPr>
                <w:noProof/>
                <w:webHidden/>
              </w:rPr>
              <w:tab/>
            </w:r>
            <w:r w:rsidR="004E70F2">
              <w:rPr>
                <w:noProof/>
                <w:webHidden/>
              </w:rPr>
              <w:fldChar w:fldCharType="begin"/>
            </w:r>
            <w:r w:rsidR="004E70F2">
              <w:rPr>
                <w:noProof/>
                <w:webHidden/>
              </w:rPr>
              <w:instrText xml:space="preserve"> PAGEREF _Toc121503558 \h </w:instrText>
            </w:r>
            <w:r w:rsidR="004E70F2">
              <w:rPr>
                <w:noProof/>
                <w:webHidden/>
              </w:rPr>
            </w:r>
            <w:r w:rsidR="004E70F2">
              <w:rPr>
                <w:noProof/>
                <w:webHidden/>
              </w:rPr>
              <w:fldChar w:fldCharType="separate"/>
            </w:r>
            <w:r>
              <w:rPr>
                <w:noProof/>
                <w:webHidden/>
              </w:rPr>
              <w:t>7</w:t>
            </w:r>
            <w:r w:rsidR="004E70F2">
              <w:rPr>
                <w:noProof/>
                <w:webHidden/>
              </w:rPr>
              <w:fldChar w:fldCharType="end"/>
            </w:r>
          </w:hyperlink>
        </w:p>
        <w:p w14:paraId="5CF5C503" w14:textId="07A4F806" w:rsidR="004E70F2" w:rsidRDefault="004447CA">
          <w:pPr>
            <w:pStyle w:val="TM1"/>
            <w:tabs>
              <w:tab w:leader="dot" w:pos="9062" w:val="right"/>
            </w:tabs>
            <w:rPr>
              <w:rFonts w:cstheme="minorBidi"/>
              <w:noProof/>
            </w:rPr>
          </w:pPr>
          <w:hyperlink w:anchor="_Toc121503559" w:history="1">
            <w:r w:rsidR="004E70F2" w:rsidRPr="00406ECB">
              <w:rPr>
                <w:rStyle w:val="Lienhypertexte"/>
                <w:rFonts w:asciiTheme="majorHAnsi" w:hAnsiTheme="majorHAnsi"/>
                <w:noProof/>
              </w:rPr>
              <w:t>ARTICLE 11 : Mesures relatives à l’insertion professionnelle et au maintien dans l’emploi des travailleurs handicapés</w:t>
            </w:r>
            <w:r w:rsidR="004E70F2">
              <w:rPr>
                <w:noProof/>
                <w:webHidden/>
              </w:rPr>
              <w:tab/>
            </w:r>
            <w:r w:rsidR="004E70F2">
              <w:rPr>
                <w:noProof/>
                <w:webHidden/>
              </w:rPr>
              <w:fldChar w:fldCharType="begin"/>
            </w:r>
            <w:r w:rsidR="004E70F2">
              <w:rPr>
                <w:noProof/>
                <w:webHidden/>
              </w:rPr>
              <w:instrText xml:space="preserve"> PAGEREF _Toc121503559 \h </w:instrText>
            </w:r>
            <w:r w:rsidR="004E70F2">
              <w:rPr>
                <w:noProof/>
                <w:webHidden/>
              </w:rPr>
            </w:r>
            <w:r w:rsidR="004E70F2">
              <w:rPr>
                <w:noProof/>
                <w:webHidden/>
              </w:rPr>
              <w:fldChar w:fldCharType="separate"/>
            </w:r>
            <w:r>
              <w:rPr>
                <w:noProof/>
                <w:webHidden/>
              </w:rPr>
              <w:t>8</w:t>
            </w:r>
            <w:r w:rsidR="004E70F2">
              <w:rPr>
                <w:noProof/>
                <w:webHidden/>
              </w:rPr>
              <w:fldChar w:fldCharType="end"/>
            </w:r>
          </w:hyperlink>
        </w:p>
        <w:p w14:paraId="5B93F8AD" w14:textId="4731CE4A" w:rsidR="004E70F2" w:rsidRDefault="004447CA">
          <w:pPr>
            <w:pStyle w:val="TM1"/>
            <w:tabs>
              <w:tab w:leader="dot" w:pos="9062" w:val="right"/>
            </w:tabs>
            <w:rPr>
              <w:rFonts w:cstheme="minorBidi"/>
              <w:noProof/>
            </w:rPr>
          </w:pPr>
          <w:hyperlink w:anchor="_Toc121503560" w:history="1">
            <w:r w:rsidR="004E70F2" w:rsidRPr="00406ECB">
              <w:rPr>
                <w:rStyle w:val="Lienhypertexte"/>
                <w:rFonts w:asciiTheme="majorHAnsi" w:hAnsiTheme="majorHAnsi"/>
                <w:noProof/>
              </w:rPr>
              <w:t>ARTICLE 12 : Emploi des seniors</w:t>
            </w:r>
            <w:r w:rsidR="004E70F2">
              <w:rPr>
                <w:noProof/>
                <w:webHidden/>
              </w:rPr>
              <w:tab/>
            </w:r>
            <w:r w:rsidR="004E70F2">
              <w:rPr>
                <w:noProof/>
                <w:webHidden/>
              </w:rPr>
              <w:fldChar w:fldCharType="begin"/>
            </w:r>
            <w:r w:rsidR="004E70F2">
              <w:rPr>
                <w:noProof/>
                <w:webHidden/>
              </w:rPr>
              <w:instrText xml:space="preserve"> PAGEREF _Toc121503560 \h </w:instrText>
            </w:r>
            <w:r w:rsidR="004E70F2">
              <w:rPr>
                <w:noProof/>
                <w:webHidden/>
              </w:rPr>
            </w:r>
            <w:r w:rsidR="004E70F2">
              <w:rPr>
                <w:noProof/>
                <w:webHidden/>
              </w:rPr>
              <w:fldChar w:fldCharType="separate"/>
            </w:r>
            <w:r>
              <w:rPr>
                <w:noProof/>
                <w:webHidden/>
              </w:rPr>
              <w:t>8</w:t>
            </w:r>
            <w:r w:rsidR="004E70F2">
              <w:rPr>
                <w:noProof/>
                <w:webHidden/>
              </w:rPr>
              <w:fldChar w:fldCharType="end"/>
            </w:r>
          </w:hyperlink>
        </w:p>
        <w:p w14:paraId="56B7F6F6" w14:textId="5E74AFD3" w:rsidR="004E70F2" w:rsidRDefault="004447CA">
          <w:pPr>
            <w:pStyle w:val="TM1"/>
            <w:tabs>
              <w:tab w:leader="dot" w:pos="9062" w:val="right"/>
            </w:tabs>
            <w:rPr>
              <w:rFonts w:cstheme="minorBidi"/>
              <w:noProof/>
            </w:rPr>
          </w:pPr>
          <w:hyperlink w:anchor="_Toc121503561" w:history="1">
            <w:r w:rsidR="004E70F2" w:rsidRPr="00406ECB">
              <w:rPr>
                <w:rStyle w:val="Lienhypertexte"/>
                <w:rFonts w:asciiTheme="majorHAnsi" w:hAnsiTheme="majorHAnsi"/>
                <w:noProof/>
              </w:rPr>
              <w:t>ARTICLE 13 : Emplois de personnel intérimaire</w:t>
            </w:r>
            <w:r w:rsidR="004E70F2">
              <w:rPr>
                <w:noProof/>
                <w:webHidden/>
              </w:rPr>
              <w:tab/>
            </w:r>
            <w:r w:rsidR="004E70F2">
              <w:rPr>
                <w:noProof/>
                <w:webHidden/>
              </w:rPr>
              <w:fldChar w:fldCharType="begin"/>
            </w:r>
            <w:r w:rsidR="004E70F2">
              <w:rPr>
                <w:noProof/>
                <w:webHidden/>
              </w:rPr>
              <w:instrText xml:space="preserve"> PAGEREF _Toc121503561 \h </w:instrText>
            </w:r>
            <w:r w:rsidR="004E70F2">
              <w:rPr>
                <w:noProof/>
                <w:webHidden/>
              </w:rPr>
            </w:r>
            <w:r w:rsidR="004E70F2">
              <w:rPr>
                <w:noProof/>
                <w:webHidden/>
              </w:rPr>
              <w:fldChar w:fldCharType="separate"/>
            </w:r>
            <w:r>
              <w:rPr>
                <w:noProof/>
                <w:webHidden/>
              </w:rPr>
              <w:t>8</w:t>
            </w:r>
            <w:r w:rsidR="004E70F2">
              <w:rPr>
                <w:noProof/>
                <w:webHidden/>
              </w:rPr>
              <w:fldChar w:fldCharType="end"/>
            </w:r>
          </w:hyperlink>
        </w:p>
        <w:p w14:paraId="6A8A2DB5" w14:textId="76999367" w:rsidR="004E70F2" w:rsidRDefault="004447CA">
          <w:pPr>
            <w:pStyle w:val="TM1"/>
            <w:tabs>
              <w:tab w:leader="dot" w:pos="9062" w:val="right"/>
            </w:tabs>
            <w:rPr>
              <w:rFonts w:cstheme="minorBidi"/>
              <w:noProof/>
            </w:rPr>
          </w:pPr>
          <w:hyperlink w:anchor="_Toc121503562" w:history="1">
            <w:r w:rsidR="004E70F2" w:rsidRPr="00406ECB">
              <w:rPr>
                <w:rStyle w:val="Lienhypertexte"/>
                <w:rFonts w:asciiTheme="majorHAnsi" w:hAnsiTheme="majorHAnsi"/>
                <w:noProof/>
              </w:rPr>
              <w:t>ARTICLE 14 : Modalités de définition d’un régime de prévoyance et, dans les conditions au moins aussi favorables que celles prévues à l’article L. 911-7 du code de la Sécurité Sociale, d’un régime de remboursements complémentaires de frais occasionnés par une maladie, une maternité ou un accident, à défaut de couverture par un accord de branche ou un accord d’entreprise</w:t>
            </w:r>
            <w:r w:rsidR="004E70F2">
              <w:rPr>
                <w:noProof/>
                <w:webHidden/>
              </w:rPr>
              <w:tab/>
            </w:r>
            <w:r w:rsidR="004E70F2">
              <w:rPr>
                <w:noProof/>
                <w:webHidden/>
              </w:rPr>
              <w:fldChar w:fldCharType="begin"/>
            </w:r>
            <w:r w:rsidR="004E70F2">
              <w:rPr>
                <w:noProof/>
                <w:webHidden/>
              </w:rPr>
              <w:instrText xml:space="preserve"> PAGEREF _Toc121503562 \h </w:instrText>
            </w:r>
            <w:r w:rsidR="004E70F2">
              <w:rPr>
                <w:noProof/>
                <w:webHidden/>
              </w:rPr>
            </w:r>
            <w:r w:rsidR="004E70F2">
              <w:rPr>
                <w:noProof/>
                <w:webHidden/>
              </w:rPr>
              <w:fldChar w:fldCharType="separate"/>
            </w:r>
            <w:r>
              <w:rPr>
                <w:noProof/>
                <w:webHidden/>
              </w:rPr>
              <w:t>8</w:t>
            </w:r>
            <w:r w:rsidR="004E70F2">
              <w:rPr>
                <w:noProof/>
                <w:webHidden/>
              </w:rPr>
              <w:fldChar w:fldCharType="end"/>
            </w:r>
          </w:hyperlink>
        </w:p>
        <w:p w14:paraId="520859A3" w14:textId="5B3F15CC" w:rsidR="004E70F2" w:rsidRDefault="004447CA">
          <w:pPr>
            <w:pStyle w:val="TM1"/>
            <w:tabs>
              <w:tab w:leader="dot" w:pos="9062" w:val="right"/>
            </w:tabs>
            <w:rPr>
              <w:rFonts w:cstheme="minorBidi"/>
              <w:noProof/>
            </w:rPr>
          </w:pPr>
          <w:hyperlink w:anchor="_Toc121503563" w:history="1">
            <w:r w:rsidR="004E70F2" w:rsidRPr="00406ECB">
              <w:rPr>
                <w:rStyle w:val="Lienhypertexte"/>
                <w:rFonts w:asciiTheme="majorHAnsi" w:hAnsiTheme="majorHAnsi"/>
                <w:noProof/>
              </w:rPr>
              <w:t>ARTICLE 15 : Exercice du droit d’expression directe et collective des salariés</w:t>
            </w:r>
            <w:r w:rsidR="004E70F2">
              <w:rPr>
                <w:noProof/>
                <w:webHidden/>
              </w:rPr>
              <w:tab/>
            </w:r>
            <w:r w:rsidR="004E70F2">
              <w:rPr>
                <w:noProof/>
                <w:webHidden/>
              </w:rPr>
              <w:fldChar w:fldCharType="begin"/>
            </w:r>
            <w:r w:rsidR="004E70F2">
              <w:rPr>
                <w:noProof/>
                <w:webHidden/>
              </w:rPr>
              <w:instrText xml:space="preserve"> PAGEREF _Toc121503563 \h </w:instrText>
            </w:r>
            <w:r w:rsidR="004E70F2">
              <w:rPr>
                <w:noProof/>
                <w:webHidden/>
              </w:rPr>
            </w:r>
            <w:r w:rsidR="004E70F2">
              <w:rPr>
                <w:noProof/>
                <w:webHidden/>
              </w:rPr>
              <w:fldChar w:fldCharType="separate"/>
            </w:r>
            <w:r>
              <w:rPr>
                <w:noProof/>
                <w:webHidden/>
              </w:rPr>
              <w:t>9</w:t>
            </w:r>
            <w:r w:rsidR="004E70F2">
              <w:rPr>
                <w:noProof/>
                <w:webHidden/>
              </w:rPr>
              <w:fldChar w:fldCharType="end"/>
            </w:r>
          </w:hyperlink>
        </w:p>
        <w:p w14:paraId="256396BC" w14:textId="526523F6" w:rsidR="004E70F2" w:rsidRDefault="004447CA">
          <w:pPr>
            <w:pStyle w:val="TM1"/>
            <w:tabs>
              <w:tab w:leader="dot" w:pos="9062" w:val="right"/>
            </w:tabs>
            <w:rPr>
              <w:rFonts w:cstheme="minorBidi"/>
              <w:noProof/>
            </w:rPr>
          </w:pPr>
          <w:hyperlink w:anchor="_Toc121503564" w:history="1">
            <w:r w:rsidR="004E70F2" w:rsidRPr="00406ECB">
              <w:rPr>
                <w:rStyle w:val="Lienhypertexte"/>
                <w:rFonts w:asciiTheme="majorHAnsi" w:hAnsiTheme="majorHAnsi"/>
                <w:noProof/>
              </w:rPr>
              <w:t>ARTICLE 16 : Modalités du plein exercice par le salarié de son droit à la déconnexion</w:t>
            </w:r>
            <w:r w:rsidR="004E70F2">
              <w:rPr>
                <w:noProof/>
                <w:webHidden/>
              </w:rPr>
              <w:tab/>
            </w:r>
            <w:r w:rsidR="004E70F2">
              <w:rPr>
                <w:noProof/>
                <w:webHidden/>
              </w:rPr>
              <w:fldChar w:fldCharType="begin"/>
            </w:r>
            <w:r w:rsidR="004E70F2">
              <w:rPr>
                <w:noProof/>
                <w:webHidden/>
              </w:rPr>
              <w:instrText xml:space="preserve"> PAGEREF _Toc121503564 \h </w:instrText>
            </w:r>
            <w:r w:rsidR="004E70F2">
              <w:rPr>
                <w:noProof/>
                <w:webHidden/>
              </w:rPr>
            </w:r>
            <w:r w:rsidR="004E70F2">
              <w:rPr>
                <w:noProof/>
                <w:webHidden/>
              </w:rPr>
              <w:fldChar w:fldCharType="separate"/>
            </w:r>
            <w:r>
              <w:rPr>
                <w:noProof/>
                <w:webHidden/>
              </w:rPr>
              <w:t>9</w:t>
            </w:r>
            <w:r w:rsidR="004E70F2">
              <w:rPr>
                <w:noProof/>
                <w:webHidden/>
              </w:rPr>
              <w:fldChar w:fldCharType="end"/>
            </w:r>
          </w:hyperlink>
        </w:p>
        <w:p w14:paraId="789A7FF0" w14:textId="556E45DB" w:rsidR="004E70F2" w:rsidRDefault="004447CA">
          <w:pPr>
            <w:pStyle w:val="TM1"/>
            <w:tabs>
              <w:tab w:leader="dot" w:pos="9062" w:val="right"/>
            </w:tabs>
            <w:rPr>
              <w:rFonts w:cstheme="minorBidi"/>
              <w:noProof/>
            </w:rPr>
          </w:pPr>
          <w:hyperlink w:anchor="_Toc121503565" w:history="1">
            <w:r w:rsidR="004E70F2" w:rsidRPr="00406ECB">
              <w:rPr>
                <w:rStyle w:val="Lienhypertexte"/>
                <w:rFonts w:asciiTheme="majorHAnsi" w:hAnsiTheme="majorHAnsi"/>
                <w:noProof/>
              </w:rPr>
              <w:t>CHAPITRE III : DISPOSITIONS FINALES</w:t>
            </w:r>
            <w:r w:rsidR="004E70F2">
              <w:rPr>
                <w:noProof/>
                <w:webHidden/>
              </w:rPr>
              <w:tab/>
            </w:r>
            <w:r w:rsidR="004E70F2">
              <w:rPr>
                <w:noProof/>
                <w:webHidden/>
              </w:rPr>
              <w:fldChar w:fldCharType="begin"/>
            </w:r>
            <w:r w:rsidR="004E70F2">
              <w:rPr>
                <w:noProof/>
                <w:webHidden/>
              </w:rPr>
              <w:instrText xml:space="preserve"> PAGEREF _Toc121503565 \h </w:instrText>
            </w:r>
            <w:r w:rsidR="004E70F2">
              <w:rPr>
                <w:noProof/>
                <w:webHidden/>
              </w:rPr>
            </w:r>
            <w:r w:rsidR="004E70F2">
              <w:rPr>
                <w:noProof/>
                <w:webHidden/>
              </w:rPr>
              <w:fldChar w:fldCharType="separate"/>
            </w:r>
            <w:r>
              <w:rPr>
                <w:noProof/>
                <w:webHidden/>
              </w:rPr>
              <w:t>9</w:t>
            </w:r>
            <w:r w:rsidR="004E70F2">
              <w:rPr>
                <w:noProof/>
                <w:webHidden/>
              </w:rPr>
              <w:fldChar w:fldCharType="end"/>
            </w:r>
          </w:hyperlink>
        </w:p>
        <w:p w14:paraId="5A2B0BA1" w14:textId="3DCD765C" w:rsidR="004E70F2" w:rsidRDefault="004447CA">
          <w:pPr>
            <w:pStyle w:val="TM1"/>
            <w:tabs>
              <w:tab w:leader="dot" w:pos="9062" w:val="right"/>
            </w:tabs>
            <w:rPr>
              <w:rFonts w:cstheme="minorBidi"/>
              <w:noProof/>
            </w:rPr>
          </w:pPr>
          <w:hyperlink w:anchor="_Toc121503566" w:history="1">
            <w:r w:rsidR="004E70F2" w:rsidRPr="00406ECB">
              <w:rPr>
                <w:rStyle w:val="Lienhypertexte"/>
                <w:rFonts w:asciiTheme="majorHAnsi" w:hAnsiTheme="majorHAnsi"/>
                <w:noProof/>
              </w:rPr>
              <w:t>ARTICLE 17 : Révision</w:t>
            </w:r>
            <w:r w:rsidR="004E70F2">
              <w:rPr>
                <w:noProof/>
                <w:webHidden/>
              </w:rPr>
              <w:tab/>
            </w:r>
            <w:r w:rsidR="004E70F2">
              <w:rPr>
                <w:noProof/>
                <w:webHidden/>
              </w:rPr>
              <w:fldChar w:fldCharType="begin"/>
            </w:r>
            <w:r w:rsidR="004E70F2">
              <w:rPr>
                <w:noProof/>
                <w:webHidden/>
              </w:rPr>
              <w:instrText xml:space="preserve"> PAGEREF _Toc121503566 \h </w:instrText>
            </w:r>
            <w:r w:rsidR="004E70F2">
              <w:rPr>
                <w:noProof/>
                <w:webHidden/>
              </w:rPr>
            </w:r>
            <w:r w:rsidR="004E70F2">
              <w:rPr>
                <w:noProof/>
                <w:webHidden/>
              </w:rPr>
              <w:fldChar w:fldCharType="separate"/>
            </w:r>
            <w:r>
              <w:rPr>
                <w:noProof/>
                <w:webHidden/>
              </w:rPr>
              <w:t>9</w:t>
            </w:r>
            <w:r w:rsidR="004E70F2">
              <w:rPr>
                <w:noProof/>
                <w:webHidden/>
              </w:rPr>
              <w:fldChar w:fldCharType="end"/>
            </w:r>
          </w:hyperlink>
        </w:p>
        <w:p w14:paraId="4069F9A1" w14:textId="2751DC6F" w:rsidR="004E70F2" w:rsidRDefault="004447CA">
          <w:pPr>
            <w:pStyle w:val="TM1"/>
            <w:tabs>
              <w:tab w:leader="dot" w:pos="9062" w:val="right"/>
            </w:tabs>
            <w:rPr>
              <w:rFonts w:cstheme="minorBidi"/>
              <w:noProof/>
            </w:rPr>
          </w:pPr>
          <w:hyperlink w:anchor="_Toc121503567" w:history="1">
            <w:r w:rsidR="004E70F2" w:rsidRPr="00406ECB">
              <w:rPr>
                <w:rStyle w:val="Lienhypertexte"/>
                <w:rFonts w:asciiTheme="majorHAnsi" w:hAnsiTheme="majorHAnsi"/>
                <w:noProof/>
              </w:rPr>
              <w:t>ARTICLE 18 : Durée de l’accord</w:t>
            </w:r>
            <w:r w:rsidR="004E70F2">
              <w:rPr>
                <w:noProof/>
                <w:webHidden/>
              </w:rPr>
              <w:tab/>
            </w:r>
            <w:r w:rsidR="004E70F2">
              <w:rPr>
                <w:noProof/>
                <w:webHidden/>
              </w:rPr>
              <w:fldChar w:fldCharType="begin"/>
            </w:r>
            <w:r w:rsidR="004E70F2">
              <w:rPr>
                <w:noProof/>
                <w:webHidden/>
              </w:rPr>
              <w:instrText xml:space="preserve"> PAGEREF _Toc121503567 \h </w:instrText>
            </w:r>
            <w:r w:rsidR="004E70F2">
              <w:rPr>
                <w:noProof/>
                <w:webHidden/>
              </w:rPr>
            </w:r>
            <w:r w:rsidR="004E70F2">
              <w:rPr>
                <w:noProof/>
                <w:webHidden/>
              </w:rPr>
              <w:fldChar w:fldCharType="separate"/>
            </w:r>
            <w:r>
              <w:rPr>
                <w:noProof/>
                <w:webHidden/>
              </w:rPr>
              <w:t>10</w:t>
            </w:r>
            <w:r w:rsidR="004E70F2">
              <w:rPr>
                <w:noProof/>
                <w:webHidden/>
              </w:rPr>
              <w:fldChar w:fldCharType="end"/>
            </w:r>
          </w:hyperlink>
        </w:p>
        <w:p w14:paraId="3C9A5CAC" w14:textId="428202E0" w:rsidR="004E70F2" w:rsidRDefault="004447CA">
          <w:pPr>
            <w:pStyle w:val="TM1"/>
            <w:tabs>
              <w:tab w:leader="dot" w:pos="9062" w:val="right"/>
            </w:tabs>
            <w:rPr>
              <w:rFonts w:cstheme="minorBidi"/>
              <w:noProof/>
            </w:rPr>
          </w:pPr>
          <w:hyperlink w:anchor="_Toc121503568" w:history="1">
            <w:r w:rsidR="004E70F2" w:rsidRPr="00406ECB">
              <w:rPr>
                <w:rStyle w:val="Lienhypertexte"/>
                <w:rFonts w:asciiTheme="majorHAnsi" w:hAnsiTheme="majorHAnsi"/>
                <w:noProof/>
              </w:rPr>
              <w:t>ARTICLE 19 : Formalités de dépôt</w:t>
            </w:r>
            <w:r w:rsidR="004E70F2">
              <w:rPr>
                <w:noProof/>
                <w:webHidden/>
              </w:rPr>
              <w:tab/>
            </w:r>
            <w:r w:rsidR="004E70F2">
              <w:rPr>
                <w:noProof/>
                <w:webHidden/>
              </w:rPr>
              <w:fldChar w:fldCharType="begin"/>
            </w:r>
            <w:r w:rsidR="004E70F2">
              <w:rPr>
                <w:noProof/>
                <w:webHidden/>
              </w:rPr>
              <w:instrText xml:space="preserve"> PAGEREF _Toc121503568 \h </w:instrText>
            </w:r>
            <w:r w:rsidR="004E70F2">
              <w:rPr>
                <w:noProof/>
                <w:webHidden/>
              </w:rPr>
            </w:r>
            <w:r w:rsidR="004E70F2">
              <w:rPr>
                <w:noProof/>
                <w:webHidden/>
              </w:rPr>
              <w:fldChar w:fldCharType="separate"/>
            </w:r>
            <w:r>
              <w:rPr>
                <w:noProof/>
                <w:webHidden/>
              </w:rPr>
              <w:t>10</w:t>
            </w:r>
            <w:r w:rsidR="004E70F2">
              <w:rPr>
                <w:noProof/>
                <w:webHidden/>
              </w:rPr>
              <w:fldChar w:fldCharType="end"/>
            </w:r>
          </w:hyperlink>
        </w:p>
        <w:p w14:paraId="1BF662D3" w14:textId="14652DD9" w:rsidP="0095204A" w:rsidR="00D74430" w:rsidRDefault="00B46547" w:rsidRPr="009F5361">
          <w:r>
            <w:rPr>
              <w:b/>
              <w:bCs/>
            </w:rPr>
            <w:fldChar w:fldCharType="end"/>
          </w:r>
        </w:p>
      </w:sdtContent>
    </w:sdt>
    <w:p w14:paraId="68C91180" w14:textId="30E1E96A" w:rsidP="00B64DB0" w:rsidR="00674DEA" w:rsidRDefault="00471AD9">
      <w:pPr>
        <w:pStyle w:val="Titre1"/>
        <w:rPr>
          <w:color w:themeColor="accent1" w:themeShade="BF" w:val="2E74B5"/>
          <w:sz w:val="22"/>
          <w:u w:val="none"/>
        </w:rPr>
      </w:pPr>
      <w:bookmarkStart w:id="0" w:name="_Toc121503538"/>
      <w:r w:rsidRPr="003D3F8A">
        <w:rPr>
          <w:color w:themeColor="accent1" w:themeShade="BF" w:val="2E74B5"/>
          <w:sz w:val="22"/>
          <w:u w:val="none"/>
        </w:rPr>
        <w:lastRenderedPageBreak/>
        <w:t xml:space="preserve">ARTICLE </w:t>
      </w:r>
      <w:r w:rsidR="00BC3283">
        <w:rPr>
          <w:color w:themeColor="accent1" w:themeShade="BF" w:val="2E74B5"/>
          <w:sz w:val="22"/>
          <w:u w:val="none"/>
        </w:rPr>
        <w:t>PRE</w:t>
      </w:r>
      <w:r w:rsidRPr="003D3F8A">
        <w:rPr>
          <w:color w:themeColor="accent1" w:themeShade="BF" w:val="2E74B5"/>
          <w:sz w:val="22"/>
          <w:u w:val="none"/>
        </w:rPr>
        <w:t xml:space="preserve">LIMINAIRE </w:t>
      </w:r>
      <w:r w:rsidR="00674DEA" w:rsidRPr="003D3F8A">
        <w:rPr>
          <w:color w:themeColor="accent1" w:themeShade="BF" w:val="2E74B5"/>
          <w:sz w:val="22"/>
          <w:u w:val="none"/>
        </w:rPr>
        <w:t>: C</w:t>
      </w:r>
      <w:r w:rsidR="00B620AE">
        <w:rPr>
          <w:color w:themeColor="accent1" w:themeShade="BF" w:val="2E74B5"/>
          <w:sz w:val="22"/>
          <w:u w:val="none"/>
        </w:rPr>
        <w:t>ontexte et c</w:t>
      </w:r>
      <w:r w:rsidR="00674DEA" w:rsidRPr="003D3F8A">
        <w:rPr>
          <w:color w:themeColor="accent1" w:themeShade="BF" w:val="2E74B5"/>
          <w:sz w:val="22"/>
          <w:u w:val="none"/>
        </w:rPr>
        <w:t>hamp d’application</w:t>
      </w:r>
      <w:bookmarkEnd w:id="0"/>
    </w:p>
    <w:p w14:paraId="75731AD7" w14:textId="5865332B" w:rsidP="0095204A" w:rsidR="0095204A" w:rsidRDefault="0095204A" w:rsidRPr="00F37522">
      <w:pPr>
        <w:rPr>
          <w:b/>
          <w:i/>
          <w:u w:val="single"/>
        </w:rPr>
      </w:pPr>
      <w:r w:rsidRPr="00F37522">
        <w:rPr>
          <w:b/>
          <w:i/>
          <w:u w:val="single"/>
        </w:rPr>
        <w:t xml:space="preserve">Contexte : </w:t>
      </w:r>
    </w:p>
    <w:p w14:paraId="104A4BBD" w14:textId="7DEFEF94" w:rsidP="00B620AE" w:rsidR="00B620AE" w:rsidRDefault="00B620AE">
      <w:pPr>
        <w:pStyle w:val="NormalWeb"/>
        <w:jc w:val="both"/>
        <w:rPr>
          <w:rFonts w:asciiTheme="majorHAnsi" w:cstheme="majorHAnsi" w:hAnsiTheme="majorHAnsi"/>
          <w:b/>
          <w:color w:val="000000"/>
          <w:u w:val="single"/>
        </w:rPr>
      </w:pPr>
      <w:r w:rsidRPr="00B620AE">
        <w:rPr>
          <w:rFonts w:asciiTheme="majorHAnsi" w:cstheme="majorHAnsi" w:hAnsiTheme="majorHAnsi"/>
          <w:b/>
          <w:color w:val="000000"/>
          <w:u w:val="single"/>
        </w:rPr>
        <w:t>Mot de notre Directeur Général :</w:t>
      </w:r>
    </w:p>
    <w:p w14:paraId="78C6F07B" w14:textId="77777777" w:rsidP="00B620AE" w:rsidR="00B620AE" w:rsidRDefault="00B620AE" w:rsidRPr="00B620AE">
      <w:pPr>
        <w:pStyle w:val="NormalWeb"/>
        <w:jc w:val="both"/>
        <w:rPr>
          <w:rFonts w:asciiTheme="majorHAnsi" w:cstheme="majorHAnsi" w:hAnsiTheme="majorHAnsi"/>
          <w:b/>
          <w:color w:val="000000"/>
          <w:u w:val="single"/>
        </w:rPr>
      </w:pPr>
    </w:p>
    <w:p w14:paraId="1D478EFB" w14:textId="531106CA" w:rsidP="00B620AE" w:rsidR="0095204A" w:rsidRDefault="00B620AE" w:rsidRPr="00B620AE">
      <w:pPr>
        <w:pStyle w:val="NormalWeb"/>
        <w:jc w:val="both"/>
        <w:rPr>
          <w:rFonts w:asciiTheme="majorHAnsi" w:cstheme="majorHAnsi" w:hAnsiTheme="majorHAnsi"/>
          <w:color w:val="000000"/>
        </w:rPr>
      </w:pPr>
      <w:r>
        <w:rPr>
          <w:rFonts w:asciiTheme="majorHAnsi" w:cstheme="majorHAnsi" w:hAnsiTheme="majorHAnsi"/>
          <w:color w:val="000000"/>
        </w:rPr>
        <w:t>« </w:t>
      </w:r>
      <w:r w:rsidR="0095204A" w:rsidRPr="00B620AE">
        <w:rPr>
          <w:rFonts w:asciiTheme="majorHAnsi" w:cstheme="majorHAnsi" w:hAnsiTheme="majorHAnsi"/>
          <w:color w:val="000000"/>
        </w:rPr>
        <w:t>Nous gérons une situation inédite, tous les clignotants ou presque sont au rouge, l'inflation fait son retour en force, nous logeons une population de plus en plus pauvre. </w:t>
      </w:r>
    </w:p>
    <w:p w14:paraId="5D44FF3C" w14:textId="4BB935BD"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 xml:space="preserve">Les charges s'envolent pour tous, locataires, </w:t>
      </w:r>
      <w:r w:rsidR="00BE3495">
        <w:rPr>
          <w:rFonts w:asciiTheme="majorHAnsi" w:cstheme="majorHAnsi" w:hAnsiTheme="majorHAnsi"/>
          <w:color w:val="000000"/>
        </w:rPr>
        <w:t>collaborateurs</w:t>
      </w:r>
      <w:r w:rsidRPr="00B620AE">
        <w:rPr>
          <w:rFonts w:asciiTheme="majorHAnsi" w:cstheme="majorHAnsi" w:hAnsiTheme="majorHAnsi"/>
          <w:color w:val="000000"/>
        </w:rPr>
        <w:t xml:space="preserve"> mais aussi pour l'établissement.</w:t>
      </w:r>
    </w:p>
    <w:p w14:paraId="3B0088A6" w14:textId="5E3B2757"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A cela s'ajoute</w:t>
      </w:r>
      <w:r w:rsidR="00B620AE">
        <w:rPr>
          <w:rFonts w:asciiTheme="majorHAnsi" w:cstheme="majorHAnsi" w:hAnsiTheme="majorHAnsi"/>
          <w:color w:val="000000"/>
        </w:rPr>
        <w:t xml:space="preserve"> </w:t>
      </w:r>
      <w:r w:rsidRPr="00B620AE">
        <w:rPr>
          <w:rFonts w:asciiTheme="majorHAnsi" w:cstheme="majorHAnsi" w:hAnsiTheme="majorHAnsi"/>
          <w:color w:val="000000"/>
        </w:rPr>
        <w:t>la situation du département qui perd entre 1</w:t>
      </w:r>
      <w:r w:rsidR="00B620AE">
        <w:rPr>
          <w:rFonts w:asciiTheme="majorHAnsi" w:cstheme="majorHAnsi" w:hAnsiTheme="majorHAnsi"/>
          <w:color w:val="000000"/>
        </w:rPr>
        <w:t>.</w:t>
      </w:r>
      <w:r w:rsidRPr="00B620AE">
        <w:rPr>
          <w:rFonts w:asciiTheme="majorHAnsi" w:cstheme="majorHAnsi" w:hAnsiTheme="majorHAnsi"/>
          <w:color w:val="000000"/>
        </w:rPr>
        <w:t>500 à 2</w:t>
      </w:r>
      <w:r w:rsidR="00B620AE">
        <w:rPr>
          <w:rFonts w:asciiTheme="majorHAnsi" w:cstheme="majorHAnsi" w:hAnsiTheme="majorHAnsi"/>
          <w:color w:val="000000"/>
        </w:rPr>
        <w:t>.</w:t>
      </w:r>
      <w:r w:rsidRPr="00B620AE">
        <w:rPr>
          <w:rFonts w:asciiTheme="majorHAnsi" w:cstheme="majorHAnsi" w:hAnsiTheme="majorHAnsi"/>
          <w:color w:val="000000"/>
        </w:rPr>
        <w:t>000 habitants par an, donc de moins en moins de locataires potentiels.</w:t>
      </w:r>
    </w:p>
    <w:p w14:paraId="1E8718B5" w14:textId="3FA28A3D"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Pour 2023 l'OPAC fait face à la progression du livret A qui en passant de 0.5% à 2</w:t>
      </w:r>
      <w:r w:rsidR="00476245" w:rsidRPr="00B620AE">
        <w:rPr>
          <w:rFonts w:asciiTheme="majorHAnsi" w:cstheme="majorHAnsi" w:hAnsiTheme="majorHAnsi"/>
          <w:color w:val="000000"/>
        </w:rPr>
        <w:t>% génère</w:t>
      </w:r>
      <w:r w:rsidRPr="00B620AE">
        <w:rPr>
          <w:rFonts w:asciiTheme="majorHAnsi" w:cstheme="majorHAnsi" w:hAnsiTheme="majorHAnsi"/>
          <w:color w:val="000000"/>
        </w:rPr>
        <w:t xml:space="preserve"> une charge supplémentaire de 2 millions </w:t>
      </w:r>
      <w:r w:rsidR="00476245" w:rsidRPr="00B620AE">
        <w:rPr>
          <w:rFonts w:asciiTheme="majorHAnsi" w:cstheme="majorHAnsi" w:hAnsiTheme="majorHAnsi"/>
          <w:color w:val="000000"/>
        </w:rPr>
        <w:t>d’euros. Il</w:t>
      </w:r>
      <w:r w:rsidRPr="00B620AE">
        <w:rPr>
          <w:rFonts w:asciiTheme="majorHAnsi" w:cstheme="majorHAnsi" w:hAnsiTheme="majorHAnsi"/>
          <w:color w:val="000000"/>
        </w:rPr>
        <w:t xml:space="preserve"> est annoncé pour février 2023 un taux du livret A à 3.5% puis 4% en aout 2023.</w:t>
      </w:r>
    </w:p>
    <w:p w14:paraId="3FCB8769" w14:textId="77777777"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Chaque augmentation de 0.5% produit une charge financière de 700 000 €.</w:t>
      </w:r>
    </w:p>
    <w:p w14:paraId="7E168EB3" w14:textId="77777777"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Le budget 2023 qui sera présenté au CA a fait l'objet d'arbitrages lourds.</w:t>
      </w:r>
    </w:p>
    <w:p w14:paraId="426D54C6" w14:textId="206FA67F" w:rsidP="00B620AE" w:rsidR="0095204A" w:rsidRDefault="0095204A" w:rsidRPr="00B620AE">
      <w:pPr>
        <w:pStyle w:val="NormalWeb"/>
        <w:jc w:val="both"/>
        <w:rPr>
          <w:rFonts w:asciiTheme="majorHAnsi" w:cstheme="majorHAnsi" w:hAnsiTheme="majorHAnsi"/>
          <w:color w:val="000000"/>
        </w:rPr>
      </w:pPr>
      <w:r w:rsidRPr="00B620AE">
        <w:rPr>
          <w:rFonts w:asciiTheme="majorHAnsi" w:cstheme="majorHAnsi" w:hAnsiTheme="majorHAnsi"/>
          <w:color w:val="000000"/>
        </w:rPr>
        <w:t xml:space="preserve">Le budget 2023 est excédentaire par le remboursement des assurances suite à la grêle, sinon nous serions en déficit de près de 3 millions, sachant qu'un établissement public ne peut pas présenter un budget en </w:t>
      </w:r>
      <w:r w:rsidR="00476245" w:rsidRPr="00B620AE">
        <w:rPr>
          <w:rFonts w:asciiTheme="majorHAnsi" w:cstheme="majorHAnsi" w:hAnsiTheme="majorHAnsi"/>
          <w:color w:val="000000"/>
        </w:rPr>
        <w:t>déficit.</w:t>
      </w:r>
    </w:p>
    <w:p w14:paraId="775A118F" w14:textId="77777777" w:rsidP="00B620AE" w:rsidR="0095204A" w:rsidRDefault="0095204A" w:rsidRPr="00B620AE">
      <w:pPr>
        <w:pStyle w:val="NormalWeb"/>
        <w:jc w:val="both"/>
        <w:rPr>
          <w:rFonts w:asciiTheme="majorHAnsi" w:cstheme="majorHAnsi" w:hAnsiTheme="majorHAnsi"/>
          <w:color w:val="000000"/>
        </w:rPr>
      </w:pPr>
    </w:p>
    <w:p w14:paraId="04B13C76" w14:textId="19721840" w:rsidP="00B620AE" w:rsidR="005A72EF" w:rsidRDefault="0095204A">
      <w:pPr>
        <w:pStyle w:val="NormalWeb"/>
        <w:jc w:val="both"/>
        <w:rPr>
          <w:rFonts w:asciiTheme="majorHAnsi" w:cstheme="majorHAnsi" w:hAnsiTheme="majorHAnsi"/>
        </w:rPr>
      </w:pPr>
      <w:r w:rsidRPr="00B620AE">
        <w:rPr>
          <w:rFonts w:asciiTheme="majorHAnsi" w:cstheme="majorHAnsi" w:hAnsiTheme="majorHAnsi"/>
          <w:color w:val="000000"/>
        </w:rPr>
        <w:t xml:space="preserve">Conscient des attentes des salariés mais aussi garant de la pérennité de </w:t>
      </w:r>
      <w:r w:rsidR="00476245" w:rsidRPr="00B620AE">
        <w:rPr>
          <w:rFonts w:asciiTheme="majorHAnsi" w:cstheme="majorHAnsi" w:hAnsiTheme="majorHAnsi"/>
          <w:color w:val="000000"/>
        </w:rPr>
        <w:t>l’office, ci-dessous l</w:t>
      </w:r>
      <w:r w:rsidR="00674DEA" w:rsidRPr="00B620AE">
        <w:rPr>
          <w:rFonts w:asciiTheme="majorHAnsi" w:cstheme="majorHAnsi" w:hAnsiTheme="majorHAnsi"/>
        </w:rPr>
        <w:t xml:space="preserve">e </w:t>
      </w:r>
      <w:r w:rsidR="00476245" w:rsidRPr="00B620AE">
        <w:rPr>
          <w:rFonts w:asciiTheme="majorHAnsi" w:cstheme="majorHAnsi" w:hAnsiTheme="majorHAnsi"/>
        </w:rPr>
        <w:t>p</w:t>
      </w:r>
      <w:r w:rsidR="00674DEA" w:rsidRPr="00B620AE">
        <w:rPr>
          <w:rFonts w:asciiTheme="majorHAnsi" w:cstheme="majorHAnsi" w:hAnsiTheme="majorHAnsi"/>
        </w:rPr>
        <w:t xml:space="preserve">résent accord </w:t>
      </w:r>
      <w:r w:rsidR="00476245" w:rsidRPr="00B620AE">
        <w:rPr>
          <w:rFonts w:asciiTheme="majorHAnsi" w:cstheme="majorHAnsi" w:hAnsiTheme="majorHAnsi"/>
        </w:rPr>
        <w:t xml:space="preserve">qui </w:t>
      </w:r>
      <w:r w:rsidR="00674DEA" w:rsidRPr="00B620AE">
        <w:rPr>
          <w:rFonts w:asciiTheme="majorHAnsi" w:cstheme="majorHAnsi" w:hAnsiTheme="majorHAnsi"/>
        </w:rPr>
        <w:t>concerne les personnels de l’OPAC 36, relevant du Code du Travail, à l’exclusion des personnels relevant du Statut de la Fonction Publique Territoriale pour les articles</w:t>
      </w:r>
      <w:r w:rsidR="00264D06" w:rsidRPr="00B620AE">
        <w:rPr>
          <w:rFonts w:asciiTheme="majorHAnsi" w:cstheme="majorHAnsi" w:hAnsiTheme="majorHAnsi"/>
        </w:rPr>
        <w:t xml:space="preserve"> 1</w:t>
      </w:r>
      <w:r w:rsidR="00B620AE">
        <w:rPr>
          <w:rFonts w:asciiTheme="majorHAnsi" w:cstheme="majorHAnsi" w:hAnsiTheme="majorHAnsi"/>
        </w:rPr>
        <w:t> ».</w:t>
      </w:r>
    </w:p>
    <w:p w14:paraId="49191109" w14:textId="61AF728A" w:rsidP="00B620AE" w:rsidR="00182786" w:rsidRDefault="00182786">
      <w:pPr>
        <w:pStyle w:val="NormalWeb"/>
        <w:jc w:val="both"/>
        <w:rPr>
          <w:rFonts w:asciiTheme="majorHAnsi" w:cstheme="majorHAnsi" w:hAnsiTheme="majorHAnsi"/>
          <w:color w:val="000000"/>
        </w:rPr>
      </w:pPr>
    </w:p>
    <w:p w14:paraId="7A693BAA" w14:textId="228A995F" w:rsidP="00182786" w:rsidR="00182786" w:rsidRDefault="00A15C85" w:rsidRPr="00A15C85">
      <w:pPr>
        <w:pStyle w:val="NormalWeb"/>
        <w:rPr>
          <w:rFonts w:asciiTheme="majorHAnsi" w:cstheme="majorHAnsi" w:hAnsiTheme="majorHAnsi"/>
          <w:color w:val="000000"/>
          <w:szCs w:val="24"/>
        </w:rPr>
      </w:pPr>
      <w:r w:rsidRPr="00A15C85">
        <w:rPr>
          <w:rFonts w:asciiTheme="majorHAnsi" w:cstheme="majorHAnsi" w:hAnsiTheme="majorHAnsi"/>
          <w:color w:val="000000"/>
          <w:szCs w:val="24"/>
        </w:rPr>
        <w:t>La responsabilité de tous les collaborateurs est également rappelée par le respect de la p</w:t>
      </w:r>
      <w:r w:rsidR="00182786" w:rsidRPr="00A15C85">
        <w:rPr>
          <w:rFonts w:asciiTheme="majorHAnsi" w:cstheme="majorHAnsi" w:hAnsiTheme="majorHAnsi"/>
          <w:color w:val="000000"/>
          <w:szCs w:val="24"/>
        </w:rPr>
        <w:t xml:space="preserve">olitique RSE, </w:t>
      </w:r>
      <w:r w:rsidR="002F0CF6">
        <w:rPr>
          <w:rFonts w:asciiTheme="majorHAnsi" w:cstheme="majorHAnsi" w:hAnsiTheme="majorHAnsi"/>
          <w:color w:val="000000"/>
          <w:szCs w:val="24"/>
        </w:rPr>
        <w:t>il est demandé l’</w:t>
      </w:r>
      <w:r w:rsidR="00182786" w:rsidRPr="00A15C85">
        <w:rPr>
          <w:rFonts w:asciiTheme="majorHAnsi" w:cstheme="majorHAnsi" w:hAnsiTheme="majorHAnsi"/>
          <w:color w:val="000000"/>
          <w:szCs w:val="24"/>
        </w:rPr>
        <w:t xml:space="preserve">effort de tous pour </w:t>
      </w:r>
      <w:r w:rsidR="002F0CF6" w:rsidRPr="00A15C85">
        <w:rPr>
          <w:rFonts w:asciiTheme="majorHAnsi" w:cstheme="majorHAnsi" w:hAnsiTheme="majorHAnsi"/>
          <w:color w:val="000000"/>
          <w:szCs w:val="24"/>
        </w:rPr>
        <w:t>accomplir</w:t>
      </w:r>
      <w:r w:rsidR="00182786" w:rsidRPr="00A15C85">
        <w:rPr>
          <w:rFonts w:asciiTheme="majorHAnsi" w:cstheme="majorHAnsi" w:hAnsiTheme="majorHAnsi"/>
          <w:color w:val="000000"/>
          <w:szCs w:val="24"/>
        </w:rPr>
        <w:t xml:space="preserve"> les écogestes </w:t>
      </w:r>
      <w:r w:rsidR="005C4E5F" w:rsidRPr="00A15C85">
        <w:rPr>
          <w:rFonts w:asciiTheme="majorHAnsi" w:cstheme="majorHAnsi" w:hAnsiTheme="majorHAnsi"/>
          <w:color w:val="000000"/>
          <w:szCs w:val="24"/>
        </w:rPr>
        <w:t>(éteindre</w:t>
      </w:r>
      <w:r w:rsidR="00182786" w:rsidRPr="00A15C85">
        <w:rPr>
          <w:rFonts w:asciiTheme="majorHAnsi" w:cstheme="majorHAnsi" w:hAnsiTheme="majorHAnsi"/>
          <w:color w:val="000000"/>
          <w:szCs w:val="24"/>
        </w:rPr>
        <w:t xml:space="preserve"> les lumières, gérer les consommables, ......)</w:t>
      </w:r>
    </w:p>
    <w:p w14:paraId="22CA0408" w14:textId="003BFE56" w:rsidP="00B620AE" w:rsidR="00182786" w:rsidRDefault="00182786">
      <w:pPr>
        <w:pStyle w:val="NormalWeb"/>
        <w:jc w:val="both"/>
        <w:rPr>
          <w:rFonts w:asciiTheme="majorHAnsi" w:cstheme="majorHAnsi" w:hAnsiTheme="majorHAnsi"/>
          <w:color w:val="000000"/>
        </w:rPr>
      </w:pPr>
    </w:p>
    <w:p w14:paraId="4462F4CC" w14:textId="77777777" w:rsidP="00B64DB0" w:rsidR="00B84EB6" w:rsidRDefault="00471AD9" w:rsidRPr="003D3F8A">
      <w:pPr>
        <w:pStyle w:val="Titre1"/>
        <w:rPr>
          <w:color w:themeColor="accent1" w:themeShade="BF" w:val="2E74B5"/>
          <w:sz w:val="22"/>
          <w:u w:val="none"/>
        </w:rPr>
      </w:pPr>
      <w:bookmarkStart w:id="1" w:name="_Toc121503539"/>
      <w:r w:rsidRPr="003D3F8A">
        <w:rPr>
          <w:color w:themeColor="accent1" w:themeShade="BF" w:val="2E74B5"/>
          <w:sz w:val="22"/>
          <w:u w:val="none"/>
        </w:rPr>
        <w:t>CHAPITRE I </w:t>
      </w:r>
      <w:r w:rsidR="00EE447E" w:rsidRPr="003D3F8A">
        <w:rPr>
          <w:color w:themeColor="accent1" w:themeShade="BF" w:val="2E74B5"/>
          <w:sz w:val="22"/>
          <w:u w:val="none"/>
        </w:rPr>
        <w:t xml:space="preserve">- </w:t>
      </w:r>
      <w:r w:rsidR="00A536FC" w:rsidRPr="003D3F8A">
        <w:rPr>
          <w:color w:themeColor="accent1" w:themeShade="BF" w:val="2E74B5"/>
          <w:sz w:val="22"/>
          <w:u w:val="none"/>
        </w:rPr>
        <w:t>R</w:t>
      </w:r>
      <w:r w:rsidR="0031018B" w:rsidRPr="003D3F8A">
        <w:rPr>
          <w:color w:themeColor="accent1" w:themeShade="BF" w:val="2E74B5"/>
          <w:sz w:val="22"/>
          <w:u w:val="none"/>
        </w:rPr>
        <w:t>émunération,</w:t>
      </w:r>
      <w:r w:rsidR="005856F7" w:rsidRPr="003D3F8A">
        <w:rPr>
          <w:color w:themeColor="accent1" w:themeShade="BF" w:val="2E74B5"/>
          <w:sz w:val="22"/>
          <w:u w:val="none"/>
        </w:rPr>
        <w:t xml:space="preserve"> temps de travail et </w:t>
      </w:r>
      <w:r w:rsidR="0031018B" w:rsidRPr="003D3F8A">
        <w:rPr>
          <w:color w:themeColor="accent1" w:themeShade="BF" w:val="2E74B5"/>
          <w:sz w:val="22"/>
          <w:u w:val="none"/>
        </w:rPr>
        <w:t>partage de la valeur ajoutée</w:t>
      </w:r>
      <w:bookmarkEnd w:id="1"/>
    </w:p>
    <w:p w14:paraId="3586C7C8" w14:textId="25A45522" w:rsidP="00B64DB0" w:rsidR="005A72EF" w:rsidRDefault="00471AD9" w:rsidRPr="003D3F8A">
      <w:pPr>
        <w:pStyle w:val="Titre1"/>
        <w:rPr>
          <w:color w:themeColor="accent1" w:themeShade="BF" w:val="2E74B5"/>
          <w:sz w:val="22"/>
          <w:u w:val="none"/>
        </w:rPr>
      </w:pPr>
      <w:bookmarkStart w:id="2" w:name="_Toc121503540"/>
      <w:r w:rsidRPr="003D3F8A">
        <w:rPr>
          <w:color w:themeColor="accent1" w:themeShade="BF" w:val="2E74B5"/>
          <w:sz w:val="22"/>
          <w:u w:val="none"/>
        </w:rPr>
        <w:t>ARTICLE 1 </w:t>
      </w:r>
      <w:r w:rsidR="006F4DD7" w:rsidRPr="003D3F8A">
        <w:rPr>
          <w:color w:themeColor="accent1" w:themeShade="BF" w:val="2E74B5"/>
          <w:sz w:val="22"/>
          <w:u w:val="none"/>
        </w:rPr>
        <w:t xml:space="preserve">: </w:t>
      </w:r>
      <w:r w:rsidR="00DD5A18" w:rsidRPr="003D3F8A">
        <w:rPr>
          <w:color w:themeColor="accent1" w:themeShade="BF" w:val="2E74B5"/>
          <w:sz w:val="22"/>
          <w:u w:val="none"/>
        </w:rPr>
        <w:t>Rémunération &amp;</w:t>
      </w:r>
      <w:r w:rsidR="005856F7" w:rsidRPr="003D3F8A">
        <w:rPr>
          <w:color w:themeColor="accent1" w:themeShade="BF" w:val="2E74B5"/>
          <w:sz w:val="22"/>
          <w:u w:val="none"/>
        </w:rPr>
        <w:t xml:space="preserve"> </w:t>
      </w:r>
      <w:r w:rsidR="006F4DD7" w:rsidRPr="003D3F8A">
        <w:rPr>
          <w:color w:themeColor="accent1" w:themeShade="BF" w:val="2E74B5"/>
          <w:sz w:val="22"/>
          <w:u w:val="none"/>
        </w:rPr>
        <w:t>salaires effectifs</w:t>
      </w:r>
      <w:bookmarkEnd w:id="2"/>
      <w:r w:rsidR="006F4DD7" w:rsidRPr="003D3F8A">
        <w:rPr>
          <w:color w:themeColor="accent1" w:themeShade="BF" w:val="2E74B5"/>
          <w:sz w:val="22"/>
          <w:u w:val="none"/>
        </w:rPr>
        <w:t xml:space="preserve"> </w:t>
      </w:r>
    </w:p>
    <w:p w14:paraId="535E3C6A" w14:textId="77777777" w:rsidP="00264D06" w:rsidR="00B84EB6" w:rsidRDefault="006F4DD7" w:rsidRPr="003D3F8A">
      <w:pPr>
        <w:pStyle w:val="Titre2"/>
        <w:rPr>
          <w:color w:themeColor="accent1" w:themeShade="BF" w:val="2E74B5"/>
        </w:rPr>
      </w:pPr>
      <w:bookmarkStart w:id="3" w:name="_Toc121503541"/>
      <w:r w:rsidRPr="003D3F8A">
        <w:rPr>
          <w:color w:themeColor="accent1" w:themeShade="BF" w:val="2E74B5"/>
        </w:rPr>
        <w:t>Article 1.1</w:t>
      </w:r>
      <w:r w:rsidR="00A536FC" w:rsidRPr="003D3F8A">
        <w:rPr>
          <w:color w:themeColor="accent1" w:themeShade="BF" w:val="2E74B5"/>
        </w:rPr>
        <w:t xml:space="preserve"> : </w:t>
      </w:r>
      <w:r w:rsidR="00B84EB6" w:rsidRPr="003D3F8A">
        <w:rPr>
          <w:color w:themeColor="accent1" w:themeShade="BF" w:val="2E74B5"/>
        </w:rPr>
        <w:t>Augmentation collective</w:t>
      </w:r>
      <w:bookmarkEnd w:id="3"/>
    </w:p>
    <w:p w14:paraId="0536FEF0" w14:textId="77777777" w:rsidP="002D0DE3" w:rsidR="006F4DD7" w:rsidRDefault="00145745">
      <w:pPr>
        <w:spacing w:after="0" w:line="240" w:lineRule="auto"/>
        <w:jc w:val="both"/>
      </w:pPr>
      <w:r w:rsidRPr="009F5361">
        <w:t>Tout d’abord, l’é</w:t>
      </w:r>
      <w:r w:rsidR="006F4DD7" w:rsidRPr="009F5361">
        <w:t xml:space="preserve">volution des augmentations collectives est rappelée. </w:t>
      </w:r>
    </w:p>
    <w:p w14:paraId="44B9409D" w14:textId="77777777" w:rsidP="002D0DE3" w:rsidR="0067235C" w:rsidRDefault="0067235C" w:rsidRPr="009F5361">
      <w:pPr>
        <w:spacing w:after="0" w:line="240" w:lineRule="auto"/>
        <w:jc w:val="both"/>
      </w:pPr>
    </w:p>
    <w:p w14:paraId="52559FB3" w14:textId="77777777" w:rsidP="002D0DE3" w:rsidR="00A701AE" w:rsidRDefault="006F4DD7">
      <w:pPr>
        <w:spacing w:after="0" w:line="240" w:lineRule="auto"/>
        <w:jc w:val="both"/>
      </w:pPr>
      <w:r w:rsidRPr="009F5361">
        <w:t>Depuis 2010, la revalorisation générale de la valeur du point n’est plus liée à la valeur de l’indice 100 de la Fonction Publique, mais déterminée par la négociation annuelle obligatoire au sein de l’OPAC</w:t>
      </w:r>
      <w:r w:rsidR="00C73F86" w:rsidRPr="009F5361">
        <w:t xml:space="preserve"> 36</w:t>
      </w:r>
      <w:r w:rsidRPr="009F5361">
        <w:t xml:space="preserve">. </w:t>
      </w:r>
    </w:p>
    <w:p w14:paraId="5BE704D9" w14:textId="35C8547A" w:rsidR="00ED0F32" w:rsidRDefault="00ED0F32">
      <w:r>
        <w:br w:type="page"/>
      </w:r>
    </w:p>
    <w:p w14:paraId="615D9A2B" w14:textId="36EA61F6" w:rsidP="002D0DE3" w:rsidR="00A701AE" w:rsidRDefault="00A701AE">
      <w:pPr>
        <w:spacing w:after="0" w:line="240" w:lineRule="auto"/>
        <w:jc w:val="both"/>
      </w:pPr>
    </w:p>
    <w:p w14:paraId="58BCDA21" w14:textId="77777777" w:rsidP="002D0DE3" w:rsidR="00ED0F32" w:rsidRDefault="00ED0F32">
      <w:pPr>
        <w:spacing w:after="0" w:line="240" w:lineRule="auto"/>
        <w:jc w:val="both"/>
      </w:pPr>
    </w:p>
    <w:p w14:paraId="29DEE952" w14:textId="307433CC" w:rsidP="002D0DE3" w:rsidR="006F4DD7" w:rsidRDefault="006F4DD7">
      <w:pPr>
        <w:spacing w:after="0" w:line="240" w:lineRule="auto"/>
        <w:jc w:val="both"/>
      </w:pPr>
      <w:r w:rsidRPr="009F5361">
        <w:t>Pour mémoire, un tableau récapitulatif :</w:t>
      </w:r>
    </w:p>
    <w:p w14:paraId="3AC8254B" w14:textId="77777777" w:rsidP="002D0DE3" w:rsidR="00A701AE" w:rsidRDefault="00A701AE">
      <w:pPr>
        <w:spacing w:after="0" w:line="240" w:lineRule="auto"/>
        <w:jc w:val="both"/>
      </w:pPr>
    </w:p>
    <w:p w14:paraId="6426EF5A" w14:textId="77777777" w:rsidP="002D0DE3" w:rsidR="0067235C" w:rsidRDefault="0067235C" w:rsidRPr="009F5361">
      <w:pPr>
        <w:spacing w:after="0" w:line="240" w:lineRule="auto"/>
        <w:jc w:val="both"/>
      </w:pPr>
    </w:p>
    <w:tbl>
      <w:tblPr>
        <w:tblW w:type="dxa" w:w="7655"/>
        <w:jc w:val="center"/>
        <w:tblCellMar>
          <w:left w:type="dxa" w:w="70"/>
          <w:right w:type="dxa" w:w="70"/>
        </w:tblCellMar>
        <w:tblLook w:firstColumn="1" w:firstRow="1" w:lastColumn="0" w:lastRow="0" w:noHBand="0" w:noVBand="1" w:val="04A0"/>
      </w:tblPr>
      <w:tblGrid>
        <w:gridCol w:w="1200"/>
        <w:gridCol w:w="1252"/>
        <w:gridCol w:w="1571"/>
        <w:gridCol w:w="1155"/>
        <w:gridCol w:w="2477"/>
      </w:tblGrid>
      <w:tr w14:paraId="250FED7E" w14:textId="77777777" w:rsidR="006F4DD7" w:rsidRPr="009F5361" w:rsidTr="003E2596">
        <w:trPr>
          <w:trHeight w:val="615"/>
          <w:jc w:val="center"/>
        </w:trPr>
        <w:tc>
          <w:tcPr>
            <w:tcW w:type="dxa" w:w="1200"/>
            <w:tcBorders>
              <w:bottom w:color="auto" w:space="0" w:sz="6" w:val="double"/>
            </w:tcBorders>
            <w:shd w:color="auto" w:fill="auto" w:val="clear"/>
            <w:noWrap/>
            <w:vAlign w:val="center"/>
          </w:tcPr>
          <w:p w14:paraId="776E7B10" w14:textId="77777777" w:rsidP="0031018B" w:rsidR="006F4DD7" w:rsidRDefault="006F4DD7" w:rsidRPr="009F5361">
            <w:pPr>
              <w:jc w:val="center"/>
              <w:rPr>
                <w:b/>
                <w:bCs/>
                <w:color w:val="000000"/>
              </w:rPr>
            </w:pPr>
          </w:p>
        </w:tc>
        <w:tc>
          <w:tcPr>
            <w:tcW w:type="dxa" w:w="1252"/>
            <w:tcBorders>
              <w:bottom w:color="auto" w:space="0" w:sz="4" w:val="double"/>
              <w:right w:color="auto" w:space="0" w:sz="6" w:val="double"/>
            </w:tcBorders>
            <w:shd w:color="auto" w:fill="auto" w:val="clear"/>
            <w:noWrap/>
            <w:vAlign w:val="center"/>
          </w:tcPr>
          <w:p w14:paraId="64740B0C" w14:textId="77777777" w:rsidP="0031018B" w:rsidR="006F4DD7" w:rsidRDefault="006F4DD7" w:rsidRPr="009F5361">
            <w:pPr>
              <w:jc w:val="center"/>
              <w:rPr>
                <w:b/>
                <w:bCs/>
                <w:color w:val="000000"/>
              </w:rPr>
            </w:pPr>
          </w:p>
        </w:tc>
        <w:tc>
          <w:tcPr>
            <w:tcW w:type="dxa" w:w="2726"/>
            <w:gridSpan w:val="2"/>
            <w:tcBorders>
              <w:top w:color="auto" w:space="0" w:sz="6" w:val="double"/>
              <w:left w:color="auto" w:space="0" w:sz="6" w:val="double"/>
              <w:bottom w:color="auto" w:space="0" w:sz="6" w:val="double"/>
              <w:right w:color="auto" w:space="0" w:sz="4" w:val="single"/>
            </w:tcBorders>
            <w:shd w:color="auto" w:fill="auto" w:val="clear"/>
            <w:noWrap/>
            <w:vAlign w:val="center"/>
            <w:hideMark/>
          </w:tcPr>
          <w:p w14:paraId="52D8BD79" w14:textId="77777777" w:rsidP="0031018B" w:rsidR="006F4DD7" w:rsidRDefault="006F4DD7" w:rsidRPr="009F5361">
            <w:pPr>
              <w:jc w:val="center"/>
              <w:rPr>
                <w:b/>
                <w:bCs/>
                <w:color w:val="000000"/>
              </w:rPr>
            </w:pPr>
            <w:r w:rsidRPr="009F5361">
              <w:rPr>
                <w:b/>
                <w:bCs/>
                <w:color w:val="000000"/>
              </w:rPr>
              <w:t>Augmentation collective</w:t>
            </w:r>
          </w:p>
        </w:tc>
        <w:tc>
          <w:tcPr>
            <w:tcW w:type="dxa" w:w="2477"/>
            <w:tcBorders>
              <w:top w:color="auto" w:space="0" w:sz="6" w:val="double"/>
              <w:left w:val="nil"/>
              <w:bottom w:color="auto" w:space="0" w:sz="6" w:val="double"/>
              <w:right w:color="auto" w:space="0" w:sz="6" w:val="double"/>
            </w:tcBorders>
            <w:shd w:color="auto" w:fill="auto" w:val="clear"/>
            <w:vAlign w:val="center"/>
            <w:hideMark/>
          </w:tcPr>
          <w:p w14:paraId="5FE9BD4C" w14:textId="77777777" w:rsidP="0031018B" w:rsidR="006F4DD7" w:rsidRDefault="006F4DD7" w:rsidRPr="009F5361">
            <w:pPr>
              <w:jc w:val="center"/>
              <w:rPr>
                <w:b/>
                <w:bCs/>
                <w:color w:val="000000"/>
              </w:rPr>
            </w:pPr>
            <w:r w:rsidRPr="009F5361">
              <w:rPr>
                <w:b/>
                <w:bCs/>
                <w:color w:val="000000"/>
              </w:rPr>
              <w:t>Augmentations individuelles</w:t>
            </w:r>
          </w:p>
        </w:tc>
      </w:tr>
      <w:tr w14:paraId="4847D833" w14:textId="77777777" w:rsidR="006F4DD7" w:rsidRPr="009F5361" w:rsidTr="003E2596">
        <w:trPr>
          <w:trHeight w:val="600"/>
          <w:jc w:val="center"/>
        </w:trPr>
        <w:tc>
          <w:tcPr>
            <w:tcW w:type="dxa" w:w="1200"/>
            <w:tcBorders>
              <w:top w:color="auto" w:space="0" w:sz="6" w:val="double"/>
              <w:left w:color="auto" w:space="0" w:sz="6" w:val="double"/>
              <w:bottom w:color="auto" w:space="0" w:sz="4" w:val="double"/>
              <w:right w:color="auto" w:space="0" w:sz="4" w:val="double"/>
            </w:tcBorders>
            <w:shd w:color="auto" w:fill="auto" w:val="clear"/>
            <w:noWrap/>
            <w:vAlign w:val="center"/>
            <w:hideMark/>
          </w:tcPr>
          <w:p w14:paraId="6F16CF4A" w14:textId="77777777" w:rsidP="0031018B" w:rsidR="006F4DD7" w:rsidRDefault="006F4DD7" w:rsidRPr="009F5361">
            <w:pPr>
              <w:jc w:val="center"/>
              <w:rPr>
                <w:color w:val="000000"/>
              </w:rPr>
            </w:pPr>
            <w:r w:rsidRPr="009F5361">
              <w:rPr>
                <w:color w:val="000000"/>
              </w:rPr>
              <w:t>Année</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hideMark/>
          </w:tcPr>
          <w:p w14:paraId="591B45E3" w14:textId="77777777" w:rsidP="0031018B" w:rsidR="006F4DD7" w:rsidRDefault="006F4DD7" w:rsidRPr="009F5361">
            <w:pPr>
              <w:jc w:val="center"/>
              <w:rPr>
                <w:color w:val="000000"/>
              </w:rPr>
            </w:pPr>
            <w:r w:rsidRPr="009F5361">
              <w:rPr>
                <w:color w:val="000000"/>
              </w:rPr>
              <w:t>Date d’effet</w:t>
            </w:r>
          </w:p>
        </w:tc>
        <w:tc>
          <w:tcPr>
            <w:tcW w:type="dxa" w:w="1571"/>
            <w:tcBorders>
              <w:top w:color="auto" w:space="0" w:sz="6" w:val="double"/>
              <w:left w:color="auto" w:space="0" w:sz="4" w:val="double"/>
              <w:bottom w:color="auto" w:space="0" w:sz="4" w:val="double"/>
              <w:right w:color="auto" w:space="0" w:sz="4" w:val="single"/>
            </w:tcBorders>
            <w:shd w:color="auto" w:fill="auto" w:val="clear"/>
            <w:noWrap/>
            <w:vAlign w:val="center"/>
            <w:hideMark/>
          </w:tcPr>
          <w:p w14:paraId="065506FC" w14:textId="77777777" w:rsidP="0031018B" w:rsidR="006F4DD7" w:rsidRDefault="006F4DD7" w:rsidRPr="009F5361">
            <w:pPr>
              <w:jc w:val="center"/>
              <w:rPr>
                <w:color w:val="000000"/>
              </w:rPr>
            </w:pPr>
            <w:r w:rsidRPr="009F5361">
              <w:rPr>
                <w:color w:val="000000"/>
              </w:rPr>
              <w:t>% d’augmentation</w:t>
            </w:r>
          </w:p>
        </w:tc>
        <w:tc>
          <w:tcPr>
            <w:tcW w:type="dxa" w:w="1155"/>
            <w:tcBorders>
              <w:top w:color="auto" w:space="0" w:sz="6" w:val="double"/>
              <w:left w:val="nil"/>
              <w:bottom w:color="auto" w:space="0" w:sz="4" w:val="double"/>
              <w:right w:color="auto" w:space="0" w:sz="4" w:val="single"/>
            </w:tcBorders>
            <w:shd w:color="auto" w:fill="auto" w:val="clear"/>
            <w:vAlign w:val="center"/>
            <w:hideMark/>
          </w:tcPr>
          <w:p w14:paraId="06F9AC25" w14:textId="77777777" w:rsidP="0031018B" w:rsidR="006F4DD7" w:rsidRDefault="006F4DD7" w:rsidRPr="009F5361">
            <w:pPr>
              <w:jc w:val="center"/>
              <w:rPr>
                <w:color w:val="000000"/>
              </w:rPr>
            </w:pPr>
            <w:r w:rsidRPr="009F5361">
              <w:rPr>
                <w:color w:val="000000"/>
              </w:rPr>
              <w:t>Valeur du point</w:t>
            </w:r>
          </w:p>
        </w:tc>
        <w:tc>
          <w:tcPr>
            <w:tcW w:type="dxa" w:w="2477"/>
            <w:tcBorders>
              <w:top w:color="auto" w:space="0" w:sz="6" w:val="double"/>
              <w:left w:val="nil"/>
              <w:bottom w:color="auto" w:space="0" w:sz="4" w:val="double"/>
              <w:right w:color="auto" w:space="0" w:sz="6" w:val="double"/>
            </w:tcBorders>
            <w:shd w:color="auto" w:fill="auto" w:val="clear"/>
            <w:noWrap/>
            <w:vAlign w:val="center"/>
            <w:hideMark/>
          </w:tcPr>
          <w:p w14:paraId="334DBC91" w14:textId="77777777" w:rsidP="0031018B" w:rsidR="006F4DD7" w:rsidRDefault="006F4DD7" w:rsidRPr="009F5361">
            <w:pPr>
              <w:jc w:val="center"/>
              <w:rPr>
                <w:color w:val="000000"/>
              </w:rPr>
            </w:pPr>
            <w:r w:rsidRPr="009F5361">
              <w:rPr>
                <w:bCs/>
                <w:color w:val="000000"/>
              </w:rPr>
              <w:t>Points attribués</w:t>
            </w:r>
          </w:p>
        </w:tc>
      </w:tr>
      <w:tr w14:paraId="539EA9F9" w14:textId="77777777" w:rsidR="009C0409" w:rsidRPr="009F5361" w:rsidTr="005210AF">
        <w:trPr>
          <w:trHeight w:val="510"/>
          <w:jc w:val="center"/>
        </w:trPr>
        <w:tc>
          <w:tcPr>
            <w:tcW w:type="dxa" w:w="1200"/>
            <w:vMerge w:val="restart"/>
            <w:tcBorders>
              <w:top w:color="auto" w:space="0" w:sz="4" w:val="double"/>
              <w:left w:color="auto" w:space="0" w:sz="4" w:val="double"/>
              <w:right w:color="auto" w:space="0" w:sz="4" w:val="double"/>
            </w:tcBorders>
            <w:shd w:color="auto" w:fill="auto" w:val="clear"/>
            <w:noWrap/>
            <w:vAlign w:val="center"/>
          </w:tcPr>
          <w:p w14:paraId="3E623B87" w14:textId="77777777" w:rsidP="0031018B" w:rsidR="009C0409" w:rsidRDefault="009C0409">
            <w:pPr>
              <w:jc w:val="center"/>
              <w:rPr>
                <w:color w:val="000000"/>
              </w:rPr>
            </w:pPr>
          </w:p>
          <w:p w14:paraId="59928215" w14:textId="77777777" w:rsidP="0031018B" w:rsidR="009C0409" w:rsidRDefault="009C0409" w:rsidRPr="009F5361">
            <w:pPr>
              <w:jc w:val="center"/>
              <w:rPr>
                <w:color w:val="000000"/>
              </w:rPr>
            </w:pPr>
            <w:r w:rsidRPr="009F5361">
              <w:rPr>
                <w:color w:val="000000"/>
              </w:rPr>
              <w:t>2017</w:t>
            </w:r>
          </w:p>
          <w:p w14:paraId="073DE7FC" w14:textId="1EF02320" w:rsidP="0031018B" w:rsidR="009C0409" w:rsidRDefault="009C0409" w:rsidRPr="009F5361">
            <w:pPr>
              <w:jc w:val="center"/>
              <w:rPr>
                <w:color w:val="000000"/>
              </w:rPr>
            </w:pP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6CF95EA6" w14:textId="3A54F8DE" w:rsidP="0031018B" w:rsidR="009C0409" w:rsidRDefault="009C0409" w:rsidRPr="009F5361">
            <w:pPr>
              <w:jc w:val="center"/>
              <w:rPr>
                <w:color w:val="000000"/>
              </w:rPr>
            </w:pPr>
            <w:r w:rsidRPr="009F5361">
              <w:rPr>
                <w:color w:val="000000"/>
              </w:rPr>
              <w:t>01/01/2017</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35B0F7AC" w14:textId="63BE6419" w:rsidP="0031018B" w:rsidR="009C0409" w:rsidRDefault="009C0409" w:rsidRPr="009F5361">
            <w:pPr>
              <w:ind w:firstLine="440" w:firstLineChars="200"/>
              <w:jc w:val="center"/>
              <w:rPr>
                <w:color w:val="000000"/>
              </w:rPr>
            </w:pPr>
            <w:r w:rsidRPr="009F5361">
              <w:rPr>
                <w:color w:val="000000"/>
              </w:rPr>
              <w:t>0,4%</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611A5494" w14:textId="642BDEFD" w:rsidP="0031018B" w:rsidR="009C0409" w:rsidRDefault="009C0409" w:rsidRPr="009F5361">
            <w:pPr>
              <w:jc w:val="center"/>
              <w:rPr>
                <w:color w:val="000000"/>
              </w:rPr>
            </w:pPr>
            <w:r w:rsidRPr="009F5361">
              <w:rPr>
                <w:color w:val="000000"/>
              </w:rPr>
              <w:t>5,9141 €</w:t>
            </w:r>
          </w:p>
        </w:tc>
        <w:tc>
          <w:tcPr>
            <w:tcW w:type="dxa" w:w="2477"/>
            <w:vMerge w:val="restart"/>
            <w:tcBorders>
              <w:top w:color="auto" w:space="0" w:sz="4" w:val="double"/>
              <w:left w:color="auto" w:space="0" w:sz="4" w:val="double"/>
              <w:right w:color="auto" w:space="0" w:sz="4" w:val="double"/>
            </w:tcBorders>
            <w:shd w:color="auto" w:fill="auto" w:val="clear"/>
            <w:noWrap/>
            <w:vAlign w:val="center"/>
          </w:tcPr>
          <w:p w14:paraId="34C64FAD" w14:textId="090EF506" w:rsidP="00DE1642" w:rsidR="009C0409" w:rsidRDefault="009C0409" w:rsidRPr="009F5361">
            <w:pPr>
              <w:spacing w:after="0"/>
              <w:jc w:val="center"/>
              <w:rPr>
                <w:color w:val="000000"/>
              </w:rPr>
            </w:pPr>
            <w:r w:rsidRPr="009F5361">
              <w:rPr>
                <w:color w:val="000000"/>
              </w:rPr>
              <w:t>500 Minimum</w:t>
            </w:r>
          </w:p>
          <w:p w14:paraId="5CB616B5" w14:textId="6D6802D7" w:rsidP="003E2596" w:rsidR="009C0409" w:rsidRDefault="009C0409" w:rsidRPr="009F5361">
            <w:pPr>
              <w:spacing w:after="0"/>
              <w:jc w:val="right"/>
              <w:rPr>
                <w:color w:val="000000"/>
              </w:rPr>
            </w:pPr>
            <w:r w:rsidRPr="009F5361">
              <w:rPr>
                <w:color w:val="000000"/>
              </w:rPr>
              <w:t xml:space="preserve"> 652 </w:t>
            </w:r>
            <w:r w:rsidR="00A701AE">
              <w:rPr>
                <w:color w:val="000000"/>
              </w:rPr>
              <w:t xml:space="preserve">pts </w:t>
            </w:r>
            <w:r w:rsidRPr="009F5361">
              <w:rPr>
                <w:color w:val="000000"/>
              </w:rPr>
              <w:t>attribués</w:t>
            </w:r>
          </w:p>
          <w:p w14:paraId="061E4DE3" w14:textId="4E4005F1" w:rsidP="00DE1642" w:rsidR="009C0409" w:rsidRDefault="009C0409" w:rsidRPr="009F5361">
            <w:pPr>
              <w:spacing w:after="0"/>
              <w:jc w:val="center"/>
              <w:rPr>
                <w:color w:val="000000"/>
              </w:rPr>
            </w:pPr>
          </w:p>
        </w:tc>
      </w:tr>
      <w:tr w14:paraId="7B5D3E53" w14:textId="77777777" w:rsidR="009C0409" w:rsidRPr="009F5361" w:rsidTr="005210AF">
        <w:trPr>
          <w:trHeight w:val="510"/>
          <w:jc w:val="center"/>
        </w:trPr>
        <w:tc>
          <w:tcPr>
            <w:tcW w:type="dxa" w:w="1200"/>
            <w:vMerge/>
            <w:tcBorders>
              <w:left w:color="auto" w:space="0" w:sz="4" w:val="double"/>
              <w:bottom w:color="auto" w:space="0" w:sz="4" w:val="double"/>
              <w:right w:color="auto" w:space="0" w:sz="4" w:val="double"/>
            </w:tcBorders>
            <w:shd w:color="auto" w:fill="auto" w:val="clear"/>
            <w:noWrap/>
            <w:vAlign w:val="center"/>
          </w:tcPr>
          <w:p w14:paraId="08EB8B41" w14:textId="73EF3FB3" w:rsidP="0031018B" w:rsidR="009C0409" w:rsidRDefault="009C0409" w:rsidRPr="009F5361">
            <w:pPr>
              <w:jc w:val="center"/>
              <w:rPr>
                <w:color w:val="000000"/>
              </w:rPr>
            </w:pP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4F49EF44" w14:textId="6A02726A" w:rsidP="0031018B" w:rsidR="009C0409" w:rsidRDefault="009C0409" w:rsidRPr="009F5361">
            <w:pPr>
              <w:jc w:val="center"/>
              <w:rPr>
                <w:color w:val="000000"/>
              </w:rPr>
            </w:pPr>
            <w:r w:rsidRPr="009F5361">
              <w:rPr>
                <w:color w:val="000000"/>
              </w:rPr>
              <w:t>01/07/2017</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626CD573" w14:textId="553F4B26" w:rsidP="0031018B" w:rsidR="009C0409" w:rsidRDefault="009C0409" w:rsidRPr="009F5361">
            <w:pPr>
              <w:ind w:firstLine="440" w:firstLineChars="200"/>
              <w:jc w:val="center"/>
              <w:rPr>
                <w:color w:val="000000"/>
              </w:rPr>
            </w:pPr>
            <w:r w:rsidRPr="009F5361">
              <w:rPr>
                <w:color w:val="000000"/>
              </w:rPr>
              <w:t>0,10%</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04457D24" w14:textId="536641A4" w:rsidP="0031018B" w:rsidR="009C0409" w:rsidRDefault="009C0409" w:rsidRPr="009F5361">
            <w:pPr>
              <w:jc w:val="center"/>
              <w:rPr>
                <w:color w:val="000000"/>
              </w:rPr>
            </w:pPr>
            <w:r w:rsidRPr="009F5361">
              <w:rPr>
                <w:color w:val="000000"/>
              </w:rPr>
              <w:t>5,9200 €</w:t>
            </w:r>
          </w:p>
        </w:tc>
        <w:tc>
          <w:tcPr>
            <w:tcW w:type="dxa" w:w="2477"/>
            <w:vMerge/>
            <w:tcBorders>
              <w:left w:color="auto" w:space="0" w:sz="4" w:val="double"/>
              <w:bottom w:color="auto" w:space="0" w:sz="4" w:val="double"/>
              <w:right w:color="auto" w:space="0" w:sz="4" w:val="double"/>
            </w:tcBorders>
            <w:shd w:color="auto" w:fill="auto" w:val="clear"/>
            <w:noWrap/>
            <w:vAlign w:val="center"/>
          </w:tcPr>
          <w:p w14:paraId="08C1516B" w14:textId="437AE528" w:rsidP="00DE1642" w:rsidR="009C0409" w:rsidRDefault="009C0409" w:rsidRPr="009F5361">
            <w:pPr>
              <w:spacing w:after="0"/>
              <w:jc w:val="center"/>
              <w:rPr>
                <w:color w:val="000000"/>
              </w:rPr>
            </w:pPr>
          </w:p>
        </w:tc>
      </w:tr>
      <w:tr w14:paraId="7CB53BEB" w14:textId="77777777" w:rsidR="00A7709F" w:rsidRPr="009F5361" w:rsidTr="003E2596">
        <w:trPr>
          <w:trHeight w:val="451"/>
          <w:jc w:val="center"/>
        </w:trPr>
        <w:tc>
          <w:tcPr>
            <w:tcW w:type="dxa" w:w="1200"/>
            <w:tcBorders>
              <w:top w:color="auto" w:space="0" w:sz="4" w:val="double"/>
              <w:left w:color="auto" w:space="0" w:sz="4" w:val="double"/>
              <w:bottom w:color="auto" w:space="0" w:sz="4" w:val="double"/>
              <w:right w:color="auto" w:space="0" w:sz="4" w:val="double"/>
            </w:tcBorders>
            <w:shd w:color="auto" w:fill="auto" w:val="clear"/>
            <w:noWrap/>
            <w:vAlign w:val="center"/>
          </w:tcPr>
          <w:p w14:paraId="432CE8CB" w14:textId="3C6BB1F6" w:rsidP="0031018B" w:rsidR="00A7709F" w:rsidRDefault="009C0409" w:rsidRPr="009F5361">
            <w:pPr>
              <w:jc w:val="center"/>
              <w:rPr>
                <w:color w:val="000000"/>
              </w:rPr>
            </w:pPr>
            <w:r w:rsidRPr="009F5361">
              <w:rPr>
                <w:color w:val="000000"/>
              </w:rPr>
              <w:t>2018</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2CEB8A4A" w14:textId="75F8D126" w:rsidP="0031018B" w:rsidR="00A7709F" w:rsidRDefault="00A7709F" w:rsidRPr="009F5361">
            <w:pPr>
              <w:jc w:val="center"/>
              <w:rPr>
                <w:color w:val="000000"/>
              </w:rPr>
            </w:pPr>
            <w:r w:rsidRPr="009F5361">
              <w:rPr>
                <w:color w:val="000000"/>
              </w:rPr>
              <w:t>01/01/2018</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63250ADA" w14:textId="773AD4EC" w:rsidP="0031018B" w:rsidR="00A7709F" w:rsidRDefault="00A7709F" w:rsidRPr="009F5361">
            <w:pPr>
              <w:ind w:firstLine="440" w:firstLineChars="200"/>
              <w:jc w:val="center"/>
              <w:rPr>
                <w:color w:val="000000"/>
              </w:rPr>
            </w:pPr>
            <w:r w:rsidRPr="009F5361">
              <w:rPr>
                <w:color w:val="000000"/>
              </w:rPr>
              <w:t>1,3514 %</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1F1E4276" w14:textId="6278982B" w:rsidP="0031018B" w:rsidR="00A7709F" w:rsidRDefault="00A7709F" w:rsidRPr="009F5361">
            <w:pPr>
              <w:jc w:val="center"/>
              <w:rPr>
                <w:color w:val="000000"/>
              </w:rPr>
            </w:pPr>
            <w:r w:rsidRPr="009F5361">
              <w:rPr>
                <w:color w:val="000000"/>
              </w:rPr>
              <w:t>6,00 €</w:t>
            </w:r>
          </w:p>
        </w:tc>
        <w:tc>
          <w:tcPr>
            <w:tcW w:type="dxa" w:w="2477"/>
            <w:tcBorders>
              <w:top w:color="auto" w:space="0" w:sz="4" w:val="double"/>
              <w:left w:color="auto" w:space="0" w:sz="4" w:val="double"/>
              <w:bottom w:color="auto" w:space="0" w:sz="4" w:val="double"/>
              <w:right w:color="auto" w:space="0" w:sz="4" w:val="double"/>
            </w:tcBorders>
            <w:shd w:color="auto" w:fill="auto" w:val="clear"/>
            <w:noWrap/>
            <w:vAlign w:val="center"/>
          </w:tcPr>
          <w:p w14:paraId="66E8669B" w14:textId="74F3F62B" w:rsidP="003E2596" w:rsidR="00A7709F" w:rsidRDefault="003E2596" w:rsidRPr="009F5361">
            <w:pPr>
              <w:jc w:val="right"/>
              <w:rPr>
                <w:color w:val="000000"/>
              </w:rPr>
            </w:pPr>
            <w:r w:rsidRPr="009F5361">
              <w:rPr>
                <w:color w:val="000000"/>
              </w:rPr>
              <w:t>295</w:t>
            </w:r>
            <w:r>
              <w:rPr>
                <w:color w:val="000000"/>
              </w:rPr>
              <w:t xml:space="preserve"> pts </w:t>
            </w:r>
            <w:r w:rsidRPr="009F5361">
              <w:rPr>
                <w:color w:val="000000"/>
              </w:rPr>
              <w:t>attribués</w:t>
            </w:r>
          </w:p>
        </w:tc>
      </w:tr>
      <w:tr w14:paraId="7C2421D3" w14:textId="77777777" w:rsidR="00A7709F" w:rsidRPr="009F5361" w:rsidTr="003E2596">
        <w:trPr>
          <w:trHeight w:val="451"/>
          <w:jc w:val="center"/>
        </w:trPr>
        <w:tc>
          <w:tcPr>
            <w:tcW w:type="dxa" w:w="1200"/>
            <w:tcBorders>
              <w:top w:color="auto" w:space="0" w:sz="4" w:val="double"/>
              <w:left w:color="auto" w:space="0" w:sz="4" w:val="double"/>
              <w:bottom w:color="auto" w:space="0" w:sz="4" w:val="double"/>
              <w:right w:color="auto" w:space="0" w:sz="4" w:val="double"/>
            </w:tcBorders>
            <w:shd w:color="auto" w:fill="auto" w:val="clear"/>
            <w:noWrap/>
            <w:vAlign w:val="center"/>
          </w:tcPr>
          <w:p w14:paraId="4FC8B0FD" w14:textId="1F476F1A" w:rsidP="0031018B" w:rsidR="00A7709F" w:rsidRDefault="00A7709F" w:rsidRPr="009F5361">
            <w:pPr>
              <w:jc w:val="center"/>
              <w:rPr>
                <w:color w:val="000000"/>
              </w:rPr>
            </w:pPr>
            <w:r w:rsidRPr="00737309">
              <w:rPr>
                <w:color w:val="000000"/>
              </w:rPr>
              <w:t>2019</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613AB53F" w14:textId="03FBAC78" w:rsidP="0031018B" w:rsidR="00A7709F" w:rsidRDefault="00A7709F" w:rsidRPr="009F5361">
            <w:pPr>
              <w:jc w:val="center"/>
              <w:rPr>
                <w:color w:val="000000"/>
              </w:rPr>
            </w:pPr>
            <w:r w:rsidRPr="00737309">
              <w:rPr>
                <w:color w:val="000000"/>
              </w:rPr>
              <w:t>01/01/2019</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24481BD6" w14:textId="47EFEA40" w:rsidP="0031018B" w:rsidR="00A7709F" w:rsidRDefault="00A7709F" w:rsidRPr="009F5361">
            <w:pPr>
              <w:ind w:firstLine="440" w:firstLineChars="200"/>
              <w:jc w:val="center"/>
              <w:rPr>
                <w:color w:val="000000"/>
              </w:rPr>
            </w:pPr>
            <w:r w:rsidRPr="00737309">
              <w:rPr>
                <w:color w:val="000000"/>
              </w:rPr>
              <w:t>0,50%</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7D60B46F" w14:textId="79969A15" w:rsidP="0031018B" w:rsidR="00A7709F" w:rsidRDefault="00A7709F" w:rsidRPr="009F5361">
            <w:pPr>
              <w:jc w:val="center"/>
              <w:rPr>
                <w:color w:val="000000"/>
              </w:rPr>
            </w:pPr>
            <w:r w:rsidRPr="00737309">
              <w:rPr>
                <w:color w:val="000000"/>
              </w:rPr>
              <w:t>6,03 €</w:t>
            </w:r>
          </w:p>
        </w:tc>
        <w:tc>
          <w:tcPr>
            <w:tcW w:type="dxa" w:w="2477"/>
            <w:tcBorders>
              <w:top w:color="auto" w:space="0" w:sz="4" w:val="double"/>
              <w:left w:color="auto" w:space="0" w:sz="4" w:val="double"/>
              <w:bottom w:color="auto" w:space="0" w:sz="4" w:val="double"/>
              <w:right w:color="auto" w:space="0" w:sz="4" w:val="double"/>
            </w:tcBorders>
            <w:shd w:color="auto" w:fill="auto" w:val="clear"/>
            <w:noWrap/>
            <w:vAlign w:val="center"/>
          </w:tcPr>
          <w:p w14:paraId="01F70269" w14:textId="55148D12" w:rsidP="003E2596" w:rsidR="00A7709F" w:rsidRDefault="00A7709F" w:rsidRPr="009F5361">
            <w:pPr>
              <w:spacing w:after="0" w:line="240" w:lineRule="auto"/>
              <w:jc w:val="right"/>
              <w:rPr>
                <w:color w:val="000000"/>
              </w:rPr>
            </w:pPr>
            <w:r>
              <w:rPr>
                <w:color w:val="000000"/>
              </w:rPr>
              <w:t xml:space="preserve">  </w:t>
            </w:r>
            <w:r w:rsidRPr="008D353E">
              <w:rPr>
                <w:color w:val="000000"/>
              </w:rPr>
              <w:t xml:space="preserve">629 </w:t>
            </w:r>
            <w:r w:rsidR="003E2596">
              <w:rPr>
                <w:color w:val="000000"/>
              </w:rPr>
              <w:t xml:space="preserve">pts </w:t>
            </w:r>
            <w:r w:rsidRPr="008D353E">
              <w:rPr>
                <w:color w:val="000000"/>
              </w:rPr>
              <w:t>attribués</w:t>
            </w:r>
          </w:p>
        </w:tc>
      </w:tr>
      <w:tr w14:paraId="79DF364D" w14:textId="77777777" w:rsidR="00A7709F" w:rsidRPr="009F5361" w:rsidTr="003E2596">
        <w:trPr>
          <w:trHeight w:val="451"/>
          <w:jc w:val="center"/>
        </w:trPr>
        <w:tc>
          <w:tcPr>
            <w:tcW w:type="dxa" w:w="1200"/>
            <w:vMerge w:val="restart"/>
            <w:tcBorders>
              <w:top w:color="auto" w:space="0" w:sz="4" w:val="double"/>
              <w:left w:color="auto" w:space="0" w:sz="4" w:val="double"/>
              <w:bottom w:color="auto" w:space="0" w:sz="4" w:val="double"/>
              <w:right w:color="auto" w:space="0" w:sz="4" w:val="double"/>
            </w:tcBorders>
            <w:shd w:color="auto" w:fill="auto" w:val="clear"/>
            <w:noWrap/>
            <w:vAlign w:val="center"/>
          </w:tcPr>
          <w:p w14:paraId="113297E4" w14:textId="44C5D403" w:rsidP="003E2596" w:rsidR="00A7709F" w:rsidRDefault="00A7709F" w:rsidRPr="00323FE4">
            <w:pPr>
              <w:jc w:val="center"/>
              <w:rPr>
                <w:color w:val="000000"/>
                <w:highlight w:val="yellow"/>
              </w:rPr>
            </w:pPr>
            <w:r>
              <w:rPr>
                <w:color w:val="000000"/>
              </w:rPr>
              <w:t>2020</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5CF9B029" w14:textId="28853439" w:rsidP="0031018B" w:rsidR="00A7709F" w:rsidRDefault="00A7709F" w:rsidRPr="00323FE4">
            <w:pPr>
              <w:jc w:val="center"/>
              <w:rPr>
                <w:color w:val="000000"/>
                <w:highlight w:val="yellow"/>
              </w:rPr>
            </w:pPr>
            <w:r>
              <w:rPr>
                <w:color w:val="000000"/>
              </w:rPr>
              <w:t>01/01/2020</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71E806C8" w14:textId="0D74D130" w:rsidP="0031018B" w:rsidR="00A7709F" w:rsidRDefault="00A7709F" w:rsidRPr="00323FE4">
            <w:pPr>
              <w:ind w:firstLine="440" w:firstLineChars="200"/>
              <w:jc w:val="center"/>
              <w:rPr>
                <w:color w:val="000000"/>
                <w:highlight w:val="yellow"/>
              </w:rPr>
            </w:pPr>
            <w:r>
              <w:rPr>
                <w:color w:val="000000"/>
              </w:rPr>
              <w:t>0,30%</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6D592A74" w14:textId="2566173D" w:rsidP="0031018B" w:rsidR="00A7709F" w:rsidRDefault="00A7709F" w:rsidRPr="00323FE4">
            <w:pPr>
              <w:jc w:val="center"/>
              <w:rPr>
                <w:color w:val="000000"/>
                <w:highlight w:val="yellow"/>
              </w:rPr>
            </w:pPr>
            <w:r>
              <w:rPr>
                <w:color w:val="000000"/>
              </w:rPr>
              <w:t>6,0481 €</w:t>
            </w:r>
          </w:p>
        </w:tc>
        <w:tc>
          <w:tcPr>
            <w:tcW w:type="dxa" w:w="2477"/>
            <w:vMerge w:val="restart"/>
            <w:tcBorders>
              <w:top w:color="auto" w:space="0" w:sz="4" w:val="double"/>
              <w:left w:color="auto" w:space="0" w:sz="4" w:val="double"/>
              <w:bottom w:color="auto" w:space="0" w:sz="4" w:val="double"/>
              <w:right w:color="auto" w:space="0" w:sz="4" w:val="double"/>
            </w:tcBorders>
            <w:shd w:color="auto" w:fill="auto" w:val="clear"/>
            <w:noWrap/>
            <w:vAlign w:val="center"/>
          </w:tcPr>
          <w:p w14:paraId="38A06FAB" w14:textId="77777777" w:rsidP="00BF2FE7" w:rsidR="0028739B" w:rsidRDefault="00BF2FE7" w:rsidRPr="00BF2FE7">
            <w:pPr>
              <w:spacing w:after="0" w:line="240" w:lineRule="auto"/>
              <w:jc w:val="center"/>
              <w:rPr>
                <w:color w:val="000000"/>
              </w:rPr>
            </w:pPr>
            <w:r w:rsidRPr="00BF2FE7">
              <w:rPr>
                <w:color w:val="000000"/>
              </w:rPr>
              <w:t>400 pts Minimum</w:t>
            </w:r>
          </w:p>
          <w:p w14:paraId="10BE9177" w14:textId="143E61C4" w:rsidP="00BF2FE7" w:rsidR="00BF2FE7" w:rsidRDefault="00BF2FE7" w:rsidRPr="00BF2FE7">
            <w:pPr>
              <w:spacing w:after="0" w:line="240" w:lineRule="auto"/>
              <w:jc w:val="right"/>
              <w:rPr>
                <w:color w:val="000000"/>
              </w:rPr>
            </w:pPr>
            <w:r w:rsidRPr="00BF2FE7">
              <w:rPr>
                <w:color w:val="000000"/>
              </w:rPr>
              <w:t>555 pts attribués</w:t>
            </w:r>
          </w:p>
        </w:tc>
      </w:tr>
      <w:tr w14:paraId="0736E54A" w14:textId="77777777" w:rsidR="00A7709F" w:rsidRPr="009F5361" w:rsidTr="003E2596">
        <w:trPr>
          <w:trHeight w:val="1039"/>
          <w:jc w:val="center"/>
        </w:trPr>
        <w:tc>
          <w:tcPr>
            <w:tcW w:type="dxa" w:w="1200"/>
            <w:vMerge/>
            <w:tcBorders>
              <w:top w:color="auto" w:space="0" w:sz="4" w:val="double"/>
              <w:left w:color="auto" w:space="0" w:sz="4" w:val="double"/>
              <w:bottom w:color="auto" w:space="0" w:sz="4" w:val="double"/>
              <w:right w:color="auto" w:space="0" w:sz="4" w:val="double"/>
            </w:tcBorders>
            <w:shd w:color="auto" w:fill="auto" w:val="clear"/>
            <w:noWrap/>
            <w:vAlign w:val="center"/>
          </w:tcPr>
          <w:p w14:paraId="6BCE7521" w14:textId="7F0889BC" w:rsidP="0031018B" w:rsidR="00A7709F" w:rsidRDefault="00A7709F" w:rsidRPr="00737309">
            <w:pPr>
              <w:jc w:val="center"/>
              <w:rPr>
                <w:color w:val="000000"/>
              </w:rPr>
            </w:pP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6A70525F" w14:textId="14929201" w:rsidP="0031018B" w:rsidR="00A7709F" w:rsidRDefault="00A7709F" w:rsidRPr="00737309">
            <w:pPr>
              <w:jc w:val="center"/>
              <w:rPr>
                <w:color w:val="000000"/>
              </w:rPr>
            </w:pPr>
            <w:r>
              <w:rPr>
                <w:color w:val="000000"/>
              </w:rPr>
              <w:t>01/07/2020</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7214E931" w14:textId="1542D689" w:rsidP="0031018B" w:rsidR="00A7709F" w:rsidRDefault="00A7709F" w:rsidRPr="00737309">
            <w:pPr>
              <w:ind w:firstLine="440" w:firstLineChars="200"/>
              <w:jc w:val="center"/>
              <w:rPr>
                <w:color w:val="000000"/>
              </w:rPr>
            </w:pPr>
            <w:r>
              <w:rPr>
                <w:color w:val="000000"/>
              </w:rPr>
              <w:t>0.</w:t>
            </w:r>
            <w:r w:rsidR="00FB2726">
              <w:rPr>
                <w:color w:val="000000"/>
              </w:rPr>
              <w:t>3</w:t>
            </w:r>
            <w:r>
              <w:rPr>
                <w:color w:val="000000"/>
              </w:rPr>
              <w:t>0%</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2742DF1C" w14:textId="24E50F58" w:rsidP="0031018B" w:rsidR="00A7709F" w:rsidRDefault="00A7709F" w:rsidRPr="00737309">
            <w:pPr>
              <w:jc w:val="center"/>
              <w:rPr>
                <w:color w:val="000000"/>
              </w:rPr>
            </w:pPr>
            <w:r>
              <w:rPr>
                <w:color w:val="000000"/>
              </w:rPr>
              <w:t>6,0662 €</w:t>
            </w:r>
          </w:p>
        </w:tc>
        <w:tc>
          <w:tcPr>
            <w:tcW w:type="dxa" w:w="2477"/>
            <w:vMerge/>
            <w:tcBorders>
              <w:top w:color="auto" w:space="0" w:sz="4" w:val="double"/>
              <w:left w:color="auto" w:space="0" w:sz="4" w:val="double"/>
              <w:bottom w:color="auto" w:space="0" w:sz="6" w:val="double"/>
              <w:right w:color="auto" w:space="0" w:sz="6" w:val="double"/>
            </w:tcBorders>
            <w:shd w:color="auto" w:fill="auto" w:val="clear"/>
            <w:noWrap/>
            <w:vAlign w:val="center"/>
          </w:tcPr>
          <w:p w14:paraId="4B75F4A3" w14:textId="7353095A" w:rsidP="004122F1" w:rsidR="00A7709F" w:rsidRDefault="00A7709F">
            <w:pPr>
              <w:spacing w:after="0" w:line="240" w:lineRule="auto"/>
              <w:jc w:val="both"/>
              <w:rPr>
                <w:color w:val="000000"/>
              </w:rPr>
            </w:pPr>
          </w:p>
        </w:tc>
      </w:tr>
      <w:tr w14:paraId="76EE2B41" w14:textId="77777777" w:rsidR="00BD2EAB" w:rsidRPr="009F5361" w:rsidTr="003A3F58">
        <w:trPr>
          <w:trHeight w:val="1039"/>
          <w:jc w:val="center"/>
        </w:trPr>
        <w:tc>
          <w:tcPr>
            <w:tcW w:type="dxa" w:w="1200"/>
            <w:tcBorders>
              <w:top w:color="auto" w:space="0" w:sz="4" w:val="double"/>
              <w:left w:color="auto" w:space="0" w:sz="4" w:val="double"/>
              <w:bottom w:color="auto" w:space="0" w:sz="4" w:val="double"/>
              <w:right w:color="auto" w:space="0" w:sz="4" w:val="double"/>
            </w:tcBorders>
            <w:shd w:color="auto" w:fill="auto" w:val="clear"/>
            <w:noWrap/>
            <w:vAlign w:val="center"/>
          </w:tcPr>
          <w:p w14:paraId="52F08DA5" w14:textId="372B2057" w:rsidP="0031018B" w:rsidR="00BD2EAB" w:rsidRDefault="00BD2EAB" w:rsidRPr="002A0BE6">
            <w:pPr>
              <w:jc w:val="center"/>
              <w:rPr>
                <w:color w:val="000000"/>
              </w:rPr>
            </w:pPr>
            <w:r w:rsidRPr="002A0BE6">
              <w:rPr>
                <w:color w:val="000000"/>
              </w:rPr>
              <w:t>2021</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7176C4FC" w14:textId="103C7CC8" w:rsidP="0031018B" w:rsidR="00BD2EAB" w:rsidRDefault="00BD2EAB" w:rsidRPr="002A0BE6">
            <w:pPr>
              <w:jc w:val="center"/>
              <w:rPr>
                <w:color w:val="000000"/>
              </w:rPr>
            </w:pPr>
            <w:r w:rsidRPr="002A0BE6">
              <w:rPr>
                <w:color w:val="000000"/>
              </w:rPr>
              <w:t>01/01/2021</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746FF3C6" w14:textId="645934AB" w:rsidP="0031018B" w:rsidR="00BD2EAB" w:rsidRDefault="00BD2EAB" w:rsidRPr="002A0BE6">
            <w:pPr>
              <w:ind w:firstLine="440" w:firstLineChars="200"/>
              <w:jc w:val="center"/>
              <w:rPr>
                <w:color w:val="000000"/>
              </w:rPr>
            </w:pPr>
            <w:r w:rsidRPr="002A0BE6">
              <w:rPr>
                <w:color w:val="000000"/>
              </w:rPr>
              <w:t>0.70</w:t>
            </w:r>
            <w:r w:rsidR="002965E6" w:rsidRPr="002A0BE6">
              <w:rPr>
                <w:color w:val="000000"/>
              </w:rPr>
              <w:t>%</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05E7F96E" w14:textId="27D2A3C7" w:rsidP="0031018B" w:rsidR="00BD2EAB" w:rsidRDefault="00BD2EAB" w:rsidRPr="002A0BE6">
            <w:pPr>
              <w:jc w:val="center"/>
              <w:rPr>
                <w:color w:val="000000"/>
              </w:rPr>
            </w:pPr>
            <w:r w:rsidRPr="002A0BE6">
              <w:rPr>
                <w:color w:val="000000"/>
              </w:rPr>
              <w:t>6.1087</w:t>
            </w:r>
            <w:r w:rsidR="00062720" w:rsidRPr="002A0BE6">
              <w:rPr>
                <w:color w:val="000000"/>
              </w:rPr>
              <w:t xml:space="preserve"> €</w:t>
            </w:r>
          </w:p>
        </w:tc>
        <w:tc>
          <w:tcPr>
            <w:tcW w:type="dxa" w:w="2477"/>
            <w:tcBorders>
              <w:top w:color="auto" w:space="0" w:sz="4" w:val="double"/>
              <w:left w:color="auto" w:space="0" w:sz="4" w:val="double"/>
              <w:bottom w:color="auto" w:space="0" w:sz="4" w:val="double"/>
              <w:right w:color="auto" w:space="0" w:sz="6" w:val="double"/>
            </w:tcBorders>
            <w:shd w:color="auto" w:fill="auto" w:val="clear"/>
            <w:noWrap/>
            <w:vAlign w:val="center"/>
          </w:tcPr>
          <w:p w14:paraId="17013437" w14:textId="5638CF0A" w:rsidP="00BD2EAB" w:rsidR="00BD2EAB" w:rsidRDefault="00BD2EAB" w:rsidRPr="002A0BE6">
            <w:pPr>
              <w:spacing w:after="0" w:line="240" w:lineRule="auto"/>
              <w:jc w:val="center"/>
              <w:rPr>
                <w:color w:val="000000"/>
              </w:rPr>
            </w:pPr>
            <w:r w:rsidRPr="002A0BE6">
              <w:rPr>
                <w:color w:val="000000"/>
              </w:rPr>
              <w:t>400 pts Minimum</w:t>
            </w:r>
          </w:p>
          <w:p w14:paraId="5C6B959D" w14:textId="2A595652" w:rsidP="00681E08" w:rsidR="005D5969" w:rsidRDefault="005D5969" w:rsidRPr="002A0BE6">
            <w:pPr>
              <w:spacing w:after="0" w:line="240" w:lineRule="auto"/>
              <w:jc w:val="right"/>
              <w:rPr>
                <w:color w:val="000000"/>
              </w:rPr>
            </w:pPr>
            <w:r w:rsidRPr="002A0BE6">
              <w:rPr>
                <w:color w:val="000000"/>
              </w:rPr>
              <w:t>18</w:t>
            </w:r>
            <w:r w:rsidR="00E56395" w:rsidRPr="002A0BE6">
              <w:rPr>
                <w:color w:val="000000"/>
              </w:rPr>
              <w:t>08</w:t>
            </w:r>
            <w:r w:rsidR="009C0409" w:rsidRPr="002A0BE6">
              <w:rPr>
                <w:color w:val="000000"/>
              </w:rPr>
              <w:t xml:space="preserve"> pts distribués</w:t>
            </w:r>
          </w:p>
          <w:p w14:paraId="2F58A63C" w14:textId="5A0062FB" w:rsidP="00BD2EAB" w:rsidR="00BD2EAB" w:rsidRDefault="00BD2EAB" w:rsidRPr="002A0BE6">
            <w:pPr>
              <w:spacing w:after="0" w:line="240" w:lineRule="auto"/>
              <w:jc w:val="center"/>
              <w:rPr>
                <w:color w:val="000000"/>
              </w:rPr>
            </w:pPr>
          </w:p>
        </w:tc>
      </w:tr>
      <w:tr w14:paraId="5406027C" w14:textId="77777777" w:rsidR="003A3F58" w:rsidRPr="009F5361" w:rsidTr="003E2596">
        <w:trPr>
          <w:trHeight w:val="1039"/>
          <w:jc w:val="center"/>
        </w:trPr>
        <w:tc>
          <w:tcPr>
            <w:tcW w:type="dxa" w:w="1200"/>
            <w:tcBorders>
              <w:top w:color="auto" w:space="0" w:sz="4" w:val="double"/>
              <w:left w:color="auto" w:space="0" w:sz="4" w:val="double"/>
              <w:bottom w:color="auto" w:space="0" w:sz="4" w:val="double"/>
              <w:right w:color="auto" w:space="0" w:sz="4" w:val="double"/>
            </w:tcBorders>
            <w:shd w:color="auto" w:fill="auto" w:val="clear"/>
            <w:noWrap/>
            <w:vAlign w:val="center"/>
          </w:tcPr>
          <w:p w14:paraId="3B3122D1" w14:textId="637A3AC3" w:rsidP="0031018B" w:rsidR="003A3F58" w:rsidRDefault="003A3F58" w:rsidRPr="002A0BE6">
            <w:pPr>
              <w:jc w:val="center"/>
              <w:rPr>
                <w:color w:val="000000"/>
              </w:rPr>
            </w:pPr>
            <w:r>
              <w:rPr>
                <w:color w:val="000000"/>
              </w:rPr>
              <w:t>2022</w:t>
            </w:r>
          </w:p>
        </w:tc>
        <w:tc>
          <w:tcPr>
            <w:tcW w:type="dxa" w:w="1252"/>
            <w:tcBorders>
              <w:top w:color="auto" w:space="0" w:sz="4" w:val="double"/>
              <w:left w:color="auto" w:space="0" w:sz="4" w:val="double"/>
              <w:bottom w:color="auto" w:space="0" w:sz="4" w:val="double"/>
              <w:right w:color="auto" w:space="0" w:sz="4" w:val="double"/>
            </w:tcBorders>
            <w:shd w:color="auto" w:fill="auto" w:val="clear"/>
            <w:noWrap/>
            <w:vAlign w:val="center"/>
          </w:tcPr>
          <w:p w14:paraId="67118A2F" w14:textId="23808A65" w:rsidP="0031018B" w:rsidR="003A3F58" w:rsidRDefault="003A3F58" w:rsidRPr="002A0BE6">
            <w:pPr>
              <w:jc w:val="center"/>
              <w:rPr>
                <w:color w:val="000000"/>
              </w:rPr>
            </w:pPr>
            <w:r>
              <w:rPr>
                <w:color w:val="000000"/>
              </w:rPr>
              <w:t>01/01/2022</w:t>
            </w:r>
          </w:p>
        </w:tc>
        <w:tc>
          <w:tcPr>
            <w:tcW w:type="dxa" w:w="1571"/>
            <w:tcBorders>
              <w:top w:color="auto" w:space="0" w:sz="4" w:val="double"/>
              <w:left w:color="auto" w:space="0" w:sz="4" w:val="double"/>
              <w:bottom w:color="auto" w:space="0" w:sz="4" w:val="double"/>
              <w:right w:color="auto" w:space="0" w:sz="4" w:val="double"/>
            </w:tcBorders>
            <w:shd w:color="auto" w:fill="auto" w:val="clear"/>
            <w:noWrap/>
            <w:vAlign w:val="center"/>
          </w:tcPr>
          <w:p w14:paraId="26EF1A3F" w14:textId="687F9A44" w:rsidP="0031018B" w:rsidR="003A3F58" w:rsidRDefault="003A3F58" w:rsidRPr="002A0BE6">
            <w:pPr>
              <w:ind w:firstLine="440" w:firstLineChars="200"/>
              <w:jc w:val="center"/>
              <w:rPr>
                <w:color w:val="000000"/>
              </w:rPr>
            </w:pPr>
            <w:r>
              <w:rPr>
                <w:color w:val="000000"/>
              </w:rPr>
              <w:t>0.85 %</w:t>
            </w:r>
          </w:p>
        </w:tc>
        <w:tc>
          <w:tcPr>
            <w:tcW w:type="dxa" w:w="1155"/>
            <w:tcBorders>
              <w:top w:color="auto" w:space="0" w:sz="4" w:val="double"/>
              <w:left w:color="auto" w:space="0" w:sz="4" w:val="double"/>
              <w:bottom w:color="auto" w:space="0" w:sz="4" w:val="double"/>
              <w:right w:color="auto" w:space="0" w:sz="4" w:val="double"/>
            </w:tcBorders>
            <w:shd w:color="auto" w:fill="auto" w:val="clear"/>
            <w:noWrap/>
            <w:vAlign w:val="center"/>
          </w:tcPr>
          <w:p w14:paraId="3DCEAF50" w14:textId="388CA555" w:rsidP="0031018B" w:rsidR="003A3F58" w:rsidRDefault="003A3F58" w:rsidRPr="002A0BE6">
            <w:pPr>
              <w:jc w:val="center"/>
              <w:rPr>
                <w:color w:val="000000"/>
              </w:rPr>
            </w:pPr>
            <w:r>
              <w:rPr>
                <w:color w:val="000000"/>
              </w:rPr>
              <w:t>6.1606 €</w:t>
            </w:r>
          </w:p>
        </w:tc>
        <w:tc>
          <w:tcPr>
            <w:tcW w:type="dxa" w:w="2477"/>
            <w:tcBorders>
              <w:top w:color="auto" w:space="0" w:sz="4" w:val="double"/>
              <w:left w:color="auto" w:space="0" w:sz="4" w:val="double"/>
              <w:bottom w:color="auto" w:space="0" w:sz="6" w:val="double"/>
              <w:right w:color="auto" w:space="0" w:sz="6" w:val="double"/>
            </w:tcBorders>
            <w:shd w:color="auto" w:fill="auto" w:val="clear"/>
            <w:noWrap/>
            <w:vAlign w:val="center"/>
          </w:tcPr>
          <w:p w14:paraId="58CB2C69" w14:textId="3AF9A9DA" w:rsidP="00971E8B" w:rsidR="003A3F58" w:rsidRDefault="00971E8B">
            <w:pPr>
              <w:spacing w:after="0" w:line="240" w:lineRule="auto"/>
              <w:jc w:val="center"/>
              <w:rPr>
                <w:color w:val="000000"/>
              </w:rPr>
            </w:pPr>
            <w:r>
              <w:rPr>
                <w:color w:val="000000"/>
              </w:rPr>
              <w:t>5</w:t>
            </w:r>
            <w:r w:rsidRPr="002A0BE6">
              <w:rPr>
                <w:color w:val="000000"/>
              </w:rPr>
              <w:t>00 pts Minimum</w:t>
            </w:r>
          </w:p>
          <w:p w14:paraId="3D287464" w14:textId="736CD83A" w:rsidP="00BD2EAB" w:rsidR="00C75F28" w:rsidRDefault="00B620AE" w:rsidRPr="002A0BE6">
            <w:pPr>
              <w:spacing w:after="0" w:line="240" w:lineRule="auto"/>
              <w:jc w:val="center"/>
              <w:rPr>
                <w:color w:val="000000"/>
              </w:rPr>
            </w:pPr>
            <w:r w:rsidRPr="00B620AE">
              <w:rPr>
                <w:color w:val="000000"/>
              </w:rPr>
              <w:t xml:space="preserve">800 </w:t>
            </w:r>
            <w:r w:rsidR="00C75F28" w:rsidRPr="00B620AE">
              <w:rPr>
                <w:color w:val="000000"/>
              </w:rPr>
              <w:t>Points attribués</w:t>
            </w:r>
          </w:p>
        </w:tc>
      </w:tr>
    </w:tbl>
    <w:p w14:paraId="11F0969D" w14:textId="77777777" w:rsidP="00317F3A" w:rsidR="0067235C" w:rsidRDefault="0067235C">
      <w:pPr>
        <w:spacing w:after="0" w:line="240" w:lineRule="auto"/>
        <w:jc w:val="both"/>
      </w:pPr>
    </w:p>
    <w:p w14:paraId="5DFAA843" w14:textId="2081D437" w:rsidP="00317F3A" w:rsidR="00B84EB6" w:rsidRDefault="00B84EB6">
      <w:pPr>
        <w:spacing w:after="0" w:line="240" w:lineRule="auto"/>
        <w:jc w:val="both"/>
        <w:rPr>
          <w:b/>
        </w:rPr>
      </w:pPr>
      <w:r w:rsidRPr="003E2596">
        <w:t xml:space="preserve">A la signature du présent accord, la valeur du point de coefficient </w:t>
      </w:r>
      <w:r w:rsidRPr="00BC3283">
        <w:t xml:space="preserve">est de </w:t>
      </w:r>
      <w:r w:rsidR="00323FE4" w:rsidRPr="00BC3283">
        <w:rPr>
          <w:b/>
        </w:rPr>
        <w:t>6,</w:t>
      </w:r>
      <w:r w:rsidR="003A3F58" w:rsidRPr="00BC3283">
        <w:rPr>
          <w:b/>
        </w:rPr>
        <w:t>1606</w:t>
      </w:r>
      <w:r w:rsidR="00BC3283" w:rsidRPr="00BC3283">
        <w:rPr>
          <w:b/>
        </w:rPr>
        <w:t xml:space="preserve"> </w:t>
      </w:r>
      <w:r w:rsidRPr="00BC3283">
        <w:rPr>
          <w:b/>
        </w:rPr>
        <w:t>€.</w:t>
      </w:r>
    </w:p>
    <w:p w14:paraId="75F991BA" w14:textId="77777777" w:rsidP="00317F3A" w:rsidR="0067235C" w:rsidRDefault="0067235C" w:rsidRPr="003E2596">
      <w:pPr>
        <w:spacing w:after="0" w:line="240" w:lineRule="auto"/>
        <w:jc w:val="both"/>
        <w:rPr>
          <w:b/>
        </w:rPr>
      </w:pPr>
    </w:p>
    <w:p w14:paraId="77CE5CD8" w14:textId="6004BAAE" w:rsidP="00317F3A" w:rsidR="00AF6E71" w:rsidRDefault="00173EE1">
      <w:pPr>
        <w:spacing w:after="0" w:line="240" w:lineRule="auto"/>
        <w:jc w:val="both"/>
      </w:pPr>
      <w:r w:rsidRPr="003E2596">
        <w:t>Pour l’année 20</w:t>
      </w:r>
      <w:r w:rsidR="00323FE4" w:rsidRPr="003E2596">
        <w:t>2</w:t>
      </w:r>
      <w:r w:rsidR="003A3F58">
        <w:t>3</w:t>
      </w:r>
      <w:r w:rsidRPr="003E2596">
        <w:t>, l</w:t>
      </w:r>
      <w:r w:rsidR="00B84EB6" w:rsidRPr="003E2596">
        <w:t>a valeur du point sera</w:t>
      </w:r>
      <w:r w:rsidR="00AF6E71" w:rsidRPr="003E2596">
        <w:t> :</w:t>
      </w:r>
    </w:p>
    <w:p w14:paraId="55CEB4C3" w14:textId="77777777" w:rsidP="00317F3A" w:rsidR="0067235C" w:rsidRDefault="0067235C" w:rsidRPr="003E2596">
      <w:pPr>
        <w:spacing w:after="0" w:line="240" w:lineRule="auto"/>
        <w:jc w:val="both"/>
      </w:pPr>
    </w:p>
    <w:p w14:paraId="7415F180" w14:textId="43CE9DCE" w:rsidP="00AF6E71" w:rsidR="002A0BE6" w:rsidRDefault="00AF6E71" w:rsidRPr="00C527F5">
      <w:pPr>
        <w:pStyle w:val="Paragraphedeliste"/>
        <w:numPr>
          <w:ilvl w:val="0"/>
          <w:numId w:val="32"/>
        </w:numPr>
        <w:jc w:val="both"/>
        <w:rPr>
          <w:rFonts w:asciiTheme="minorHAnsi" w:hAnsiTheme="minorHAnsi"/>
        </w:rPr>
      </w:pPr>
      <w:r w:rsidRPr="00C527F5">
        <w:rPr>
          <w:rFonts w:asciiTheme="minorHAnsi" w:hAnsiTheme="minorHAnsi"/>
          <w:b/>
        </w:rPr>
        <w:t>Au 1</w:t>
      </w:r>
      <w:r w:rsidRPr="00C527F5">
        <w:rPr>
          <w:rFonts w:asciiTheme="minorHAnsi" w:hAnsiTheme="minorHAnsi"/>
          <w:b/>
          <w:vertAlign w:val="superscript"/>
        </w:rPr>
        <w:t>er</w:t>
      </w:r>
      <w:r w:rsidRPr="00C527F5">
        <w:rPr>
          <w:rFonts w:asciiTheme="minorHAnsi" w:hAnsiTheme="minorHAnsi"/>
          <w:b/>
        </w:rPr>
        <w:t xml:space="preserve"> janvier </w:t>
      </w:r>
      <w:r w:rsidR="00B84EB6" w:rsidRPr="00C527F5">
        <w:rPr>
          <w:rFonts w:asciiTheme="minorHAnsi" w:hAnsiTheme="minorHAnsi"/>
          <w:b/>
        </w:rPr>
        <w:t>de</w:t>
      </w:r>
      <w:r w:rsidRPr="00C527F5">
        <w:rPr>
          <w:rFonts w:asciiTheme="minorHAnsi" w:hAnsiTheme="minorHAnsi"/>
          <w:b/>
        </w:rPr>
        <w:t xml:space="preserve"> </w:t>
      </w:r>
      <w:r w:rsidR="00C527F5" w:rsidRPr="00C527F5">
        <w:rPr>
          <w:rFonts w:asciiTheme="minorHAnsi" w:hAnsiTheme="minorHAnsi"/>
          <w:b/>
        </w:rPr>
        <w:t>6,3</w:t>
      </w:r>
      <w:r w:rsidR="001A242A">
        <w:rPr>
          <w:rFonts w:asciiTheme="minorHAnsi" w:hAnsiTheme="minorHAnsi"/>
          <w:b/>
        </w:rPr>
        <w:t>762</w:t>
      </w:r>
      <w:r w:rsidR="00C527F5" w:rsidRPr="00C527F5">
        <w:rPr>
          <w:rFonts w:asciiTheme="minorHAnsi" w:hAnsiTheme="minorHAnsi"/>
          <w:b/>
        </w:rPr>
        <w:t xml:space="preserve"> </w:t>
      </w:r>
      <w:r w:rsidR="002F35E2" w:rsidRPr="00C527F5">
        <w:rPr>
          <w:rFonts w:asciiTheme="minorHAnsi" w:hAnsiTheme="minorHAnsi"/>
          <w:b/>
        </w:rPr>
        <w:t>€</w:t>
      </w:r>
      <w:r w:rsidR="002F35E2" w:rsidRPr="00C527F5">
        <w:rPr>
          <w:rFonts w:asciiTheme="minorHAnsi" w:hAnsiTheme="minorHAnsi"/>
        </w:rPr>
        <w:t xml:space="preserve"> (</w:t>
      </w:r>
      <w:r w:rsidR="009E3A29" w:rsidRPr="00C527F5">
        <w:rPr>
          <w:rFonts w:asciiTheme="minorHAnsi" w:hAnsiTheme="minorHAnsi"/>
        </w:rPr>
        <w:t>pourcentage d’augmentation</w:t>
      </w:r>
      <w:r w:rsidR="002A0BE6" w:rsidRPr="00C527F5">
        <w:rPr>
          <w:rFonts w:asciiTheme="minorHAnsi" w:hAnsiTheme="minorHAnsi"/>
        </w:rPr>
        <w:t xml:space="preserve"> de</w:t>
      </w:r>
      <w:r w:rsidR="00FC2502" w:rsidRPr="00C527F5">
        <w:rPr>
          <w:rFonts w:asciiTheme="minorHAnsi" w:hAnsiTheme="minorHAnsi"/>
        </w:rPr>
        <w:t xml:space="preserve"> </w:t>
      </w:r>
      <w:r w:rsidR="001A242A">
        <w:rPr>
          <w:rFonts w:asciiTheme="minorHAnsi" w:hAnsiTheme="minorHAnsi"/>
        </w:rPr>
        <w:t>3</w:t>
      </w:r>
      <w:r w:rsidR="00B620AE" w:rsidRPr="00C527F5">
        <w:rPr>
          <w:rFonts w:asciiTheme="minorHAnsi" w:hAnsiTheme="minorHAnsi"/>
        </w:rPr>
        <w:t>,5</w:t>
      </w:r>
      <w:r w:rsidR="00C527F5" w:rsidRPr="00C527F5">
        <w:rPr>
          <w:rFonts w:asciiTheme="minorHAnsi" w:hAnsiTheme="minorHAnsi"/>
        </w:rPr>
        <w:t>0</w:t>
      </w:r>
      <w:r w:rsidR="00B620AE" w:rsidRPr="00C527F5">
        <w:rPr>
          <w:rFonts w:asciiTheme="minorHAnsi" w:hAnsiTheme="minorHAnsi"/>
        </w:rPr>
        <w:t xml:space="preserve"> </w:t>
      </w:r>
      <w:r w:rsidR="002F35E2" w:rsidRPr="00C527F5">
        <w:rPr>
          <w:rFonts w:asciiTheme="minorHAnsi" w:hAnsiTheme="minorHAnsi"/>
        </w:rPr>
        <w:t>%).</w:t>
      </w:r>
    </w:p>
    <w:p w14:paraId="7240C59E" w14:textId="75EEF2FA" w:rsidP="00AF6E71" w:rsidR="00476245" w:rsidRDefault="00476245" w:rsidRPr="00C527F5">
      <w:pPr>
        <w:pStyle w:val="Paragraphedeliste"/>
        <w:numPr>
          <w:ilvl w:val="0"/>
          <w:numId w:val="32"/>
        </w:numPr>
        <w:jc w:val="both"/>
        <w:rPr>
          <w:rFonts w:asciiTheme="minorHAnsi" w:hAnsiTheme="minorHAnsi"/>
        </w:rPr>
      </w:pPr>
      <w:r w:rsidRPr="00C527F5">
        <w:rPr>
          <w:rFonts w:asciiTheme="minorHAnsi" w:hAnsiTheme="minorHAnsi"/>
          <w:b/>
        </w:rPr>
        <w:t>Au 1</w:t>
      </w:r>
      <w:r w:rsidRPr="00C527F5">
        <w:rPr>
          <w:rFonts w:asciiTheme="minorHAnsi" w:hAnsiTheme="minorHAnsi"/>
          <w:b/>
          <w:vertAlign w:val="superscript"/>
        </w:rPr>
        <w:t>er</w:t>
      </w:r>
      <w:r w:rsidRPr="00C527F5">
        <w:rPr>
          <w:rFonts w:asciiTheme="minorHAnsi" w:hAnsiTheme="minorHAnsi"/>
          <w:b/>
        </w:rPr>
        <w:t xml:space="preserve"> juillet de </w:t>
      </w:r>
      <w:r w:rsidR="00C527F5" w:rsidRPr="00C527F5">
        <w:rPr>
          <w:rFonts w:asciiTheme="minorHAnsi" w:hAnsiTheme="minorHAnsi"/>
          <w:b/>
        </w:rPr>
        <w:t>6,</w:t>
      </w:r>
      <w:r w:rsidR="001A242A">
        <w:rPr>
          <w:rFonts w:asciiTheme="minorHAnsi" w:hAnsiTheme="minorHAnsi"/>
          <w:b/>
        </w:rPr>
        <w:t>4080</w:t>
      </w:r>
      <w:r w:rsidR="00C527F5" w:rsidRPr="00C527F5">
        <w:rPr>
          <w:rFonts w:asciiTheme="minorHAnsi" w:hAnsiTheme="minorHAnsi"/>
          <w:b/>
        </w:rPr>
        <w:t xml:space="preserve"> </w:t>
      </w:r>
      <w:r w:rsidRPr="00C527F5">
        <w:rPr>
          <w:rFonts w:asciiTheme="minorHAnsi" w:hAnsiTheme="minorHAnsi"/>
          <w:b/>
        </w:rPr>
        <w:t>€</w:t>
      </w:r>
      <w:r w:rsidRPr="00C527F5">
        <w:rPr>
          <w:rFonts w:asciiTheme="minorHAnsi" w:hAnsiTheme="minorHAnsi"/>
        </w:rPr>
        <w:t xml:space="preserve"> (pourcentage d’augmentation de </w:t>
      </w:r>
      <w:r w:rsidR="00C527F5" w:rsidRPr="00C527F5">
        <w:rPr>
          <w:rFonts w:asciiTheme="minorHAnsi" w:hAnsiTheme="minorHAnsi"/>
        </w:rPr>
        <w:t xml:space="preserve">0,50 </w:t>
      </w:r>
      <w:r w:rsidRPr="00C527F5">
        <w:rPr>
          <w:rFonts w:asciiTheme="minorHAnsi" w:hAnsiTheme="minorHAnsi"/>
        </w:rPr>
        <w:t>%).</w:t>
      </w:r>
    </w:p>
    <w:p w14:paraId="5A4E2F49" w14:textId="0478DB6A" w:rsidP="002A0BE6" w:rsidR="00512EF0" w:rsidRDefault="002A0BE6" w:rsidRPr="002A0BE6">
      <w:pPr>
        <w:tabs>
          <w:tab w:pos="5805" w:val="left"/>
        </w:tabs>
        <w:rPr>
          <w:lang w:eastAsia="fr-FR"/>
        </w:rPr>
      </w:pPr>
      <w:r>
        <w:rPr>
          <w:lang w:eastAsia="fr-FR"/>
        </w:rPr>
        <w:tab/>
      </w:r>
    </w:p>
    <w:p w14:paraId="71ECA493" w14:textId="1BAEE322" w:rsidP="00264D06" w:rsidR="00264D06" w:rsidRDefault="00A7709F" w:rsidRPr="003D3F8A">
      <w:pPr>
        <w:pStyle w:val="Titre2"/>
        <w:rPr>
          <w:rFonts w:asciiTheme="majorHAnsi" w:hAnsiTheme="majorHAnsi"/>
        </w:rPr>
      </w:pPr>
      <w:r w:rsidRPr="003D3F8A">
        <w:rPr>
          <w:rFonts w:asciiTheme="majorHAnsi" w:hAnsiTheme="majorHAnsi"/>
        </w:rPr>
        <w:br w:type="page"/>
      </w:r>
      <w:bookmarkStart w:id="4" w:name="_Toc121503542"/>
      <w:r w:rsidR="006F4DD7" w:rsidRPr="003D3F8A">
        <w:rPr>
          <w:rFonts w:asciiTheme="majorHAnsi" w:hAnsiTheme="majorHAnsi"/>
          <w:color w:themeColor="accent1" w:themeShade="BF" w:val="2E74B5"/>
        </w:rPr>
        <w:lastRenderedPageBreak/>
        <w:t>Article 1.2</w:t>
      </w:r>
      <w:r w:rsidR="00A536FC" w:rsidRPr="003D3F8A">
        <w:rPr>
          <w:rFonts w:asciiTheme="majorHAnsi" w:hAnsiTheme="majorHAnsi"/>
          <w:color w:themeColor="accent1" w:themeShade="BF" w:val="2E74B5"/>
        </w:rPr>
        <w:t xml:space="preserve"> : </w:t>
      </w:r>
      <w:r w:rsidR="00B84EB6" w:rsidRPr="003D3F8A">
        <w:rPr>
          <w:rFonts w:asciiTheme="majorHAnsi" w:hAnsiTheme="majorHAnsi"/>
          <w:color w:themeColor="accent1" w:themeShade="BF" w:val="2E74B5"/>
        </w:rPr>
        <w:t>Augmentations Individuelles</w:t>
      </w:r>
      <w:bookmarkEnd w:id="4"/>
    </w:p>
    <w:p w14:paraId="70208BB3" w14:textId="18EF354E" w:rsidP="0046407A" w:rsidR="00317F3A" w:rsidRDefault="00763C29" w:rsidRPr="003D3F8A">
      <w:pPr>
        <w:jc w:val="both"/>
        <w:rPr>
          <w:rFonts w:asciiTheme="majorHAnsi" w:hAnsiTheme="majorHAnsi"/>
          <w:b/>
          <w:i/>
        </w:rPr>
      </w:pPr>
      <w:r w:rsidRPr="00A701AE">
        <w:rPr>
          <w:rFonts w:asciiTheme="majorHAnsi" w:hAnsiTheme="majorHAnsi"/>
        </w:rPr>
        <w:t xml:space="preserve">Au cours des </w:t>
      </w:r>
      <w:r w:rsidR="009C0409" w:rsidRPr="00A701AE">
        <w:rPr>
          <w:rFonts w:asciiTheme="majorHAnsi" w:hAnsiTheme="majorHAnsi"/>
        </w:rPr>
        <w:t>cinq</w:t>
      </w:r>
      <w:r w:rsidR="00323FE4" w:rsidRPr="00A701AE">
        <w:rPr>
          <w:rFonts w:asciiTheme="majorHAnsi" w:hAnsiTheme="majorHAnsi"/>
        </w:rPr>
        <w:t xml:space="preserve"> dernières années (201</w:t>
      </w:r>
      <w:r w:rsidR="003A3F58" w:rsidRPr="00A701AE">
        <w:rPr>
          <w:rFonts w:asciiTheme="majorHAnsi" w:hAnsiTheme="majorHAnsi"/>
        </w:rPr>
        <w:t>8</w:t>
      </w:r>
      <w:r w:rsidR="00323FE4" w:rsidRPr="00A701AE">
        <w:rPr>
          <w:rFonts w:asciiTheme="majorHAnsi" w:hAnsiTheme="majorHAnsi"/>
        </w:rPr>
        <w:t>-20</w:t>
      </w:r>
      <w:r w:rsidR="00740A3A" w:rsidRPr="00A701AE">
        <w:rPr>
          <w:rFonts w:asciiTheme="majorHAnsi" w:hAnsiTheme="majorHAnsi"/>
        </w:rPr>
        <w:t>2</w:t>
      </w:r>
      <w:r w:rsidR="003A3F58" w:rsidRPr="00A701AE">
        <w:rPr>
          <w:rFonts w:asciiTheme="majorHAnsi" w:hAnsiTheme="majorHAnsi"/>
        </w:rPr>
        <w:t>2</w:t>
      </w:r>
      <w:r w:rsidR="006F4DD7" w:rsidRPr="00A701AE">
        <w:rPr>
          <w:rFonts w:asciiTheme="majorHAnsi" w:hAnsiTheme="majorHAnsi"/>
        </w:rPr>
        <w:t>), le total des points attribués selon les catégories de personnels, est de</w:t>
      </w:r>
      <w:r w:rsidR="00A8370C" w:rsidRPr="00A701AE">
        <w:rPr>
          <w:rFonts w:asciiTheme="majorHAnsi" w:hAnsiTheme="majorHAnsi"/>
        </w:rPr>
        <w:t xml:space="preserve"> </w:t>
      </w:r>
      <w:r w:rsidR="00A701AE" w:rsidRPr="00A701AE">
        <w:rPr>
          <w:rFonts w:asciiTheme="majorHAnsi" w:hAnsiTheme="majorHAnsi"/>
        </w:rPr>
        <w:t>4 087 p</w:t>
      </w:r>
      <w:r w:rsidR="00737309" w:rsidRPr="00A701AE">
        <w:rPr>
          <w:rFonts w:asciiTheme="majorHAnsi" w:hAnsiTheme="majorHAnsi"/>
        </w:rPr>
        <w:t>oints</w:t>
      </w:r>
      <w:r w:rsidR="00A701AE" w:rsidRPr="00A701AE">
        <w:rPr>
          <w:rFonts w:asciiTheme="majorHAnsi" w:hAnsiTheme="majorHAnsi"/>
        </w:rPr>
        <w:t>, soit une moyenne de 817 points par an.</w:t>
      </w:r>
    </w:p>
    <w:p w14:paraId="2B9C383B" w14:textId="77777777" w:rsidP="0046407A" w:rsidR="00317F3A" w:rsidRDefault="00317F3A" w:rsidRPr="003D3F8A">
      <w:pPr>
        <w:spacing w:after="0" w:line="240" w:lineRule="auto"/>
        <w:jc w:val="both"/>
        <w:rPr>
          <w:rFonts w:asciiTheme="majorHAnsi" w:hAnsiTheme="majorHAnsi"/>
        </w:rPr>
      </w:pPr>
    </w:p>
    <w:p w14:paraId="2325FFFC" w14:textId="77777777" w:rsidP="0046407A" w:rsidR="006F4DD7" w:rsidRDefault="006F4DD7" w:rsidRPr="003D3F8A">
      <w:pPr>
        <w:spacing w:after="0" w:line="240" w:lineRule="auto"/>
        <w:jc w:val="both"/>
        <w:rPr>
          <w:rFonts w:asciiTheme="majorHAnsi" w:hAnsiTheme="majorHAnsi"/>
        </w:rPr>
      </w:pPr>
      <w:r w:rsidRPr="003D3F8A">
        <w:rPr>
          <w:rFonts w:asciiTheme="majorHAnsi" w:hAnsiTheme="majorHAnsi"/>
        </w:rPr>
        <w:t>La Direction Générale s’engage à accompagner tout changement de niveau et de catégorie d’une revalorisation de salaire comme suit :</w:t>
      </w:r>
    </w:p>
    <w:p w14:paraId="03DA2424" w14:textId="77777777" w:rsidP="0046407A" w:rsidR="00A47DEC" w:rsidRDefault="00A47DEC" w:rsidRPr="003D3F8A">
      <w:pPr>
        <w:spacing w:after="0" w:line="240" w:lineRule="auto"/>
        <w:jc w:val="both"/>
        <w:rPr>
          <w:rFonts w:asciiTheme="majorHAnsi" w:hAnsiTheme="majorHAnsi"/>
        </w:rPr>
      </w:pPr>
    </w:p>
    <w:p w14:paraId="62A93864" w14:textId="77777777" w:rsidP="0046407A" w:rsidR="006F4DD7" w:rsidRDefault="006F4DD7" w:rsidRPr="003D3F8A">
      <w:pPr>
        <w:pStyle w:val="Paragraphedeliste"/>
        <w:numPr>
          <w:ilvl w:val="0"/>
          <w:numId w:val="29"/>
        </w:numPr>
        <w:jc w:val="both"/>
        <w:rPr>
          <w:rFonts w:asciiTheme="majorHAnsi" w:cstheme="minorBidi" w:eastAsiaTheme="minorHAnsi" w:hAnsiTheme="majorHAnsi"/>
          <w:sz w:val="22"/>
          <w:szCs w:val="22"/>
          <w:lang w:eastAsia="en-US"/>
        </w:rPr>
      </w:pPr>
      <w:r w:rsidRPr="003D3F8A">
        <w:rPr>
          <w:rFonts w:asciiTheme="majorHAnsi" w:cstheme="minorBidi" w:eastAsiaTheme="minorHAnsi" w:hAnsiTheme="majorHAnsi"/>
          <w:sz w:val="22"/>
          <w:szCs w:val="22"/>
          <w:lang w:eastAsia="en-US"/>
        </w:rPr>
        <w:t>Revalorisation h</w:t>
      </w:r>
      <w:r w:rsidR="00C73F86" w:rsidRPr="003D3F8A">
        <w:rPr>
          <w:rFonts w:asciiTheme="majorHAnsi" w:cstheme="minorBidi" w:eastAsiaTheme="minorHAnsi" w:hAnsiTheme="majorHAnsi"/>
          <w:sz w:val="22"/>
          <w:szCs w:val="22"/>
          <w:lang w:eastAsia="en-US"/>
        </w:rPr>
        <w:t xml:space="preserve">ors promotion </w:t>
      </w:r>
      <w:r w:rsidR="00C73F86" w:rsidRPr="003D3F8A">
        <w:rPr>
          <w:rFonts w:asciiTheme="majorHAnsi" w:cstheme="minorBidi" w:eastAsiaTheme="minorHAnsi" w:hAnsiTheme="majorHAnsi"/>
          <w:sz w:val="22"/>
          <w:szCs w:val="22"/>
          <w:lang w:eastAsia="en-US"/>
        </w:rPr>
        <w:tab/>
        <w:t>= 10 points m</w:t>
      </w:r>
      <w:r w:rsidRPr="003D3F8A">
        <w:rPr>
          <w:rFonts w:asciiTheme="majorHAnsi" w:cstheme="minorBidi" w:eastAsiaTheme="minorHAnsi" w:hAnsiTheme="majorHAnsi"/>
          <w:sz w:val="22"/>
          <w:szCs w:val="22"/>
          <w:lang w:eastAsia="en-US"/>
        </w:rPr>
        <w:t>inimum</w:t>
      </w:r>
    </w:p>
    <w:p w14:paraId="10E540D4" w14:textId="77777777" w:rsidP="0046407A" w:rsidR="006F4DD7" w:rsidRDefault="006F4DD7" w:rsidRPr="003D3F8A">
      <w:pPr>
        <w:pStyle w:val="Paragraphedeliste"/>
        <w:numPr>
          <w:ilvl w:val="0"/>
          <w:numId w:val="29"/>
        </w:numPr>
        <w:jc w:val="both"/>
        <w:rPr>
          <w:rFonts w:asciiTheme="majorHAnsi" w:cstheme="minorBidi" w:eastAsiaTheme="minorHAnsi" w:hAnsiTheme="majorHAnsi"/>
          <w:sz w:val="22"/>
          <w:szCs w:val="22"/>
          <w:lang w:eastAsia="en-US"/>
        </w:rPr>
      </w:pPr>
      <w:r w:rsidRPr="003D3F8A">
        <w:rPr>
          <w:rFonts w:asciiTheme="majorHAnsi" w:cstheme="minorBidi" w:eastAsiaTheme="minorHAnsi" w:hAnsiTheme="majorHAnsi"/>
          <w:sz w:val="22"/>
          <w:szCs w:val="22"/>
          <w:lang w:eastAsia="en-US"/>
        </w:rPr>
        <w:t>Revalorisation lors d’un changement de catég</w:t>
      </w:r>
      <w:r w:rsidR="009F5361" w:rsidRPr="003D3F8A">
        <w:rPr>
          <w:rFonts w:asciiTheme="majorHAnsi" w:cstheme="minorBidi" w:eastAsiaTheme="minorHAnsi" w:hAnsiTheme="majorHAnsi"/>
          <w:sz w:val="22"/>
          <w:szCs w:val="22"/>
          <w:lang w:eastAsia="en-US"/>
        </w:rPr>
        <w:t xml:space="preserve">orie ou de niveau </w:t>
      </w:r>
      <w:r w:rsidR="00C73F86" w:rsidRPr="003D3F8A">
        <w:rPr>
          <w:rFonts w:asciiTheme="majorHAnsi" w:cstheme="minorBidi" w:eastAsiaTheme="minorHAnsi" w:hAnsiTheme="majorHAnsi"/>
          <w:sz w:val="22"/>
          <w:szCs w:val="22"/>
          <w:lang w:eastAsia="en-US"/>
        </w:rPr>
        <w:t>= 15 points m</w:t>
      </w:r>
      <w:r w:rsidRPr="003D3F8A">
        <w:rPr>
          <w:rFonts w:asciiTheme="majorHAnsi" w:cstheme="minorBidi" w:eastAsiaTheme="minorHAnsi" w:hAnsiTheme="majorHAnsi"/>
          <w:sz w:val="22"/>
          <w:szCs w:val="22"/>
          <w:lang w:eastAsia="en-US"/>
        </w:rPr>
        <w:t>inimum</w:t>
      </w:r>
    </w:p>
    <w:p w14:paraId="45F4B917" w14:textId="77777777" w:rsidP="0046407A" w:rsidR="006F4DD7" w:rsidRDefault="006F4DD7" w:rsidRPr="00B26234">
      <w:pPr>
        <w:jc w:val="both"/>
        <w:rPr>
          <w:rFonts w:asciiTheme="majorHAnsi" w:cstheme="majorHAnsi" w:hAnsiTheme="majorHAnsi"/>
        </w:rPr>
      </w:pPr>
    </w:p>
    <w:p w14:paraId="586D8A69" w14:textId="77777777" w:rsidP="0046407A" w:rsidR="006F4DD7" w:rsidRDefault="006F4DD7" w:rsidRPr="00B26234">
      <w:pPr>
        <w:jc w:val="both"/>
        <w:rPr>
          <w:rFonts w:asciiTheme="majorHAnsi" w:cstheme="majorHAnsi" w:hAnsiTheme="majorHAnsi"/>
        </w:rPr>
      </w:pPr>
      <w:r w:rsidRPr="00B26234">
        <w:rPr>
          <w:rFonts w:asciiTheme="majorHAnsi" w:cstheme="majorHAnsi" w:hAnsiTheme="majorHAnsi"/>
        </w:rPr>
        <w:t>La Direction Générale reste vigilante sur une répartition équitable des points par catégorie, dans le temps.</w:t>
      </w:r>
    </w:p>
    <w:p w14:paraId="0AE6A02E" w14:textId="5E2C5767" w:rsidP="0046407A" w:rsidR="00B26234" w:rsidRDefault="00B84EB6">
      <w:pPr>
        <w:spacing w:after="0" w:line="240" w:lineRule="auto"/>
        <w:jc w:val="both"/>
        <w:rPr>
          <w:rFonts w:asciiTheme="majorHAnsi" w:cstheme="majorHAnsi" w:hAnsiTheme="majorHAnsi"/>
          <w:b/>
        </w:rPr>
      </w:pPr>
      <w:r w:rsidRPr="00B26234">
        <w:rPr>
          <w:rFonts w:asciiTheme="majorHAnsi" w:cstheme="majorHAnsi" w:hAnsiTheme="majorHAnsi"/>
          <w:b/>
        </w:rPr>
        <w:t xml:space="preserve">Pour l’année </w:t>
      </w:r>
      <w:r w:rsidR="00323FE4" w:rsidRPr="00B26234">
        <w:rPr>
          <w:rFonts w:asciiTheme="majorHAnsi" w:cstheme="majorHAnsi" w:hAnsiTheme="majorHAnsi"/>
          <w:b/>
        </w:rPr>
        <w:t>202</w:t>
      </w:r>
      <w:r w:rsidR="003A3F58" w:rsidRPr="00B26234">
        <w:rPr>
          <w:rFonts w:asciiTheme="majorHAnsi" w:cstheme="majorHAnsi" w:hAnsiTheme="majorHAnsi"/>
          <w:b/>
        </w:rPr>
        <w:t>3,</w:t>
      </w:r>
      <w:r w:rsidRPr="00B26234">
        <w:rPr>
          <w:rFonts w:asciiTheme="majorHAnsi" w:cstheme="majorHAnsi" w:hAnsiTheme="majorHAnsi"/>
          <w:b/>
        </w:rPr>
        <w:t xml:space="preserve"> </w:t>
      </w:r>
    </w:p>
    <w:p w14:paraId="6621E1DB" w14:textId="77777777" w:rsidP="0046407A" w:rsidR="00B63C8F" w:rsidRDefault="00B63C8F" w:rsidRPr="00B26234">
      <w:pPr>
        <w:spacing w:after="0" w:line="240" w:lineRule="auto"/>
        <w:jc w:val="both"/>
        <w:rPr>
          <w:rFonts w:asciiTheme="majorHAnsi" w:cstheme="majorHAnsi" w:hAnsiTheme="majorHAnsi"/>
          <w:b/>
        </w:rPr>
      </w:pPr>
    </w:p>
    <w:p w14:paraId="6F278F5C" w14:textId="2B594560" w:rsidP="0046407A" w:rsidR="00B26234" w:rsidRDefault="00B26234">
      <w:pPr>
        <w:pStyle w:val="NormalWeb"/>
        <w:jc w:val="both"/>
        <w:rPr>
          <w:rFonts w:asciiTheme="majorHAnsi" w:cstheme="majorHAnsi" w:hAnsiTheme="majorHAnsi"/>
          <w:color w:val="000000"/>
        </w:rPr>
      </w:pPr>
      <w:r w:rsidRPr="00B26234">
        <w:rPr>
          <w:rFonts w:asciiTheme="majorHAnsi" w:cstheme="majorHAnsi" w:hAnsiTheme="majorHAnsi"/>
          <w:b/>
          <w:color w:val="000000"/>
        </w:rPr>
        <w:t>Le salaire de base</w:t>
      </w:r>
      <w:r w:rsidRPr="00B26234">
        <w:rPr>
          <w:rFonts w:asciiTheme="majorHAnsi" w:cstheme="majorHAnsi" w:hAnsiTheme="majorHAnsi"/>
          <w:color w:val="000000"/>
        </w:rPr>
        <w:t xml:space="preserve"> sera au </w:t>
      </w:r>
      <w:r w:rsidRPr="00B26234">
        <w:rPr>
          <w:rFonts w:asciiTheme="majorHAnsi" w:cstheme="majorHAnsi" w:hAnsiTheme="majorHAnsi"/>
          <w:b/>
          <w:color w:val="000000"/>
        </w:rPr>
        <w:t>coefficient 300 au minium</w:t>
      </w:r>
      <w:r w:rsidRPr="00B26234">
        <w:rPr>
          <w:rFonts w:asciiTheme="majorHAnsi" w:cstheme="majorHAnsi" w:hAnsiTheme="majorHAnsi"/>
          <w:color w:val="000000"/>
        </w:rPr>
        <w:t xml:space="preserve"> pour l’ensemble des collaborateurs.</w:t>
      </w:r>
      <w:r w:rsidR="00B63C8F">
        <w:rPr>
          <w:rFonts w:asciiTheme="majorHAnsi" w:cstheme="majorHAnsi" w:hAnsiTheme="majorHAnsi"/>
          <w:color w:val="000000"/>
        </w:rPr>
        <w:t xml:space="preserve"> Ce qui engendre les augmentations suivantes :</w:t>
      </w:r>
    </w:p>
    <w:p w14:paraId="0BB5F2B2" w14:textId="77777777" w:rsidP="0046407A" w:rsidR="00B63C8F" w:rsidRDefault="00B63C8F" w:rsidRPr="008A1CDB">
      <w:pPr>
        <w:pStyle w:val="NormalWeb"/>
        <w:jc w:val="both"/>
        <w:rPr>
          <w:rFonts w:asciiTheme="majorHAnsi" w:cstheme="majorHAnsi" w:hAnsiTheme="majorHAnsi"/>
          <w:b/>
          <w:color w:val="000000"/>
        </w:rPr>
      </w:pPr>
    </w:p>
    <w:p w14:paraId="5BB3A313" w14:textId="1E272923" w:rsidP="0046407A" w:rsidR="00B26234" w:rsidRDefault="00B26234" w:rsidRPr="008A1CDB">
      <w:pPr>
        <w:pStyle w:val="NormalWeb"/>
        <w:numPr>
          <w:ilvl w:val="0"/>
          <w:numId w:val="29"/>
        </w:numPr>
        <w:jc w:val="both"/>
        <w:rPr>
          <w:rFonts w:asciiTheme="majorHAnsi" w:cstheme="majorHAnsi" w:hAnsiTheme="majorHAnsi"/>
          <w:b/>
          <w:color w:val="000000"/>
        </w:rPr>
      </w:pPr>
      <w:r w:rsidRPr="008A1CDB">
        <w:rPr>
          <w:rFonts w:asciiTheme="majorHAnsi" w:cstheme="majorHAnsi" w:hAnsiTheme="majorHAnsi"/>
          <w:b/>
          <w:color w:val="000000"/>
        </w:rPr>
        <w:t>15 Points pour l</w:t>
      </w:r>
      <w:r w:rsidR="00B63C8F" w:rsidRPr="008A1CDB">
        <w:rPr>
          <w:rFonts w:asciiTheme="majorHAnsi" w:cstheme="majorHAnsi" w:hAnsiTheme="majorHAnsi"/>
          <w:b/>
          <w:color w:val="000000"/>
        </w:rPr>
        <w:t xml:space="preserve">a catégorie I niveau </w:t>
      </w:r>
      <w:r w:rsidRPr="008A1CDB">
        <w:rPr>
          <w:rFonts w:asciiTheme="majorHAnsi" w:cstheme="majorHAnsi" w:hAnsiTheme="majorHAnsi"/>
          <w:b/>
          <w:color w:val="000000"/>
        </w:rPr>
        <w:t>1</w:t>
      </w:r>
    </w:p>
    <w:p w14:paraId="1583E40D" w14:textId="44F8FE64" w:rsidP="0046407A" w:rsidR="00B26234" w:rsidRDefault="00B26234">
      <w:pPr>
        <w:pStyle w:val="NormalWeb"/>
        <w:numPr>
          <w:ilvl w:val="0"/>
          <w:numId w:val="29"/>
        </w:numPr>
        <w:jc w:val="both"/>
        <w:rPr>
          <w:rFonts w:asciiTheme="majorHAnsi" w:cstheme="majorHAnsi" w:hAnsiTheme="majorHAnsi"/>
          <w:b/>
          <w:color w:val="000000"/>
        </w:rPr>
      </w:pPr>
      <w:r w:rsidRPr="008A1CDB">
        <w:rPr>
          <w:rFonts w:asciiTheme="majorHAnsi" w:cstheme="majorHAnsi" w:hAnsiTheme="majorHAnsi"/>
          <w:b/>
          <w:color w:val="000000"/>
        </w:rPr>
        <w:t>10 Points pour l</w:t>
      </w:r>
      <w:r w:rsidR="00B63C8F" w:rsidRPr="008A1CDB">
        <w:rPr>
          <w:rFonts w:asciiTheme="majorHAnsi" w:cstheme="majorHAnsi" w:hAnsiTheme="majorHAnsi"/>
          <w:b/>
          <w:color w:val="000000"/>
        </w:rPr>
        <w:t xml:space="preserve">a catégorie I </w:t>
      </w:r>
      <w:r w:rsidR="00B43793" w:rsidRPr="008A1CDB">
        <w:rPr>
          <w:rFonts w:asciiTheme="majorHAnsi" w:cstheme="majorHAnsi" w:hAnsiTheme="majorHAnsi"/>
          <w:b/>
          <w:color w:val="000000"/>
        </w:rPr>
        <w:t xml:space="preserve">niveau </w:t>
      </w:r>
      <w:r w:rsidRPr="008A1CDB">
        <w:rPr>
          <w:rFonts w:asciiTheme="majorHAnsi" w:cstheme="majorHAnsi" w:hAnsiTheme="majorHAnsi"/>
          <w:b/>
          <w:color w:val="000000"/>
        </w:rPr>
        <w:t>2 et l</w:t>
      </w:r>
      <w:r w:rsidR="00B43793" w:rsidRPr="008A1CDB">
        <w:rPr>
          <w:rFonts w:asciiTheme="majorHAnsi" w:cstheme="majorHAnsi" w:hAnsiTheme="majorHAnsi"/>
          <w:b/>
          <w:color w:val="000000"/>
        </w:rPr>
        <w:t xml:space="preserve">a catégorie II niveau </w:t>
      </w:r>
      <w:r w:rsidRPr="008A1CDB">
        <w:rPr>
          <w:rFonts w:asciiTheme="majorHAnsi" w:cstheme="majorHAnsi" w:hAnsiTheme="majorHAnsi"/>
          <w:b/>
          <w:color w:val="000000"/>
        </w:rPr>
        <w:t>1 entre 300</w:t>
      </w:r>
      <w:r w:rsidR="00B43793" w:rsidRPr="008A1CDB">
        <w:rPr>
          <w:rFonts w:asciiTheme="majorHAnsi" w:cstheme="majorHAnsi" w:hAnsiTheme="majorHAnsi"/>
          <w:b/>
          <w:color w:val="000000"/>
        </w:rPr>
        <w:t xml:space="preserve"> et </w:t>
      </w:r>
      <w:r w:rsidRPr="008A1CDB">
        <w:rPr>
          <w:rFonts w:asciiTheme="majorHAnsi" w:cstheme="majorHAnsi" w:hAnsiTheme="majorHAnsi"/>
          <w:b/>
          <w:color w:val="000000"/>
        </w:rPr>
        <w:t>319 p</w:t>
      </w:r>
      <w:r w:rsidR="00B43793" w:rsidRPr="008A1CDB">
        <w:rPr>
          <w:rFonts w:asciiTheme="majorHAnsi" w:cstheme="majorHAnsi" w:hAnsiTheme="majorHAnsi"/>
          <w:b/>
          <w:color w:val="000000"/>
        </w:rPr>
        <w:t>oints</w:t>
      </w:r>
    </w:p>
    <w:p w14:paraId="1F441CB2" w14:textId="77777777" w:rsidP="0046407A" w:rsidR="0046407A" w:rsidRDefault="0046407A" w:rsidRPr="008A1CDB">
      <w:pPr>
        <w:pStyle w:val="NormalWeb"/>
        <w:numPr>
          <w:ilvl w:val="0"/>
          <w:numId w:val="29"/>
        </w:numPr>
        <w:jc w:val="both"/>
        <w:rPr>
          <w:rFonts w:asciiTheme="majorHAnsi" w:cstheme="majorHAnsi" w:hAnsiTheme="majorHAnsi"/>
          <w:b/>
          <w:color w:val="000000"/>
        </w:rPr>
      </w:pPr>
    </w:p>
    <w:p w14:paraId="7FD07985" w14:textId="77777777" w:rsidP="0046407A" w:rsidR="00B26234" w:rsidRDefault="00B26234" w:rsidRPr="008A1CDB">
      <w:pPr>
        <w:pStyle w:val="NormalWeb"/>
        <w:jc w:val="both"/>
        <w:rPr>
          <w:rFonts w:asciiTheme="majorHAnsi" w:cstheme="majorHAnsi" w:hAnsiTheme="majorHAnsi"/>
          <w:b/>
          <w:color w:val="000000"/>
        </w:rPr>
      </w:pPr>
      <w:r w:rsidRPr="008A1CDB">
        <w:rPr>
          <w:rFonts w:asciiTheme="majorHAnsi" w:cstheme="majorHAnsi" w:hAnsiTheme="majorHAnsi"/>
          <w:b/>
          <w:color w:val="000000"/>
        </w:rPr>
        <w:t>Ce sont donc 375 points qui seront attribués.</w:t>
      </w:r>
    </w:p>
    <w:p w14:paraId="00202907" w14:textId="77777777" w:rsidP="0046407A" w:rsidR="008C07D9" w:rsidRDefault="008C07D9" w:rsidRPr="003D3F8A">
      <w:pPr>
        <w:autoSpaceDE w:val="0"/>
        <w:autoSpaceDN w:val="0"/>
        <w:adjustRightInd w:val="0"/>
        <w:spacing w:after="0" w:line="240" w:lineRule="auto"/>
        <w:jc w:val="both"/>
        <w:rPr>
          <w:rFonts w:asciiTheme="majorHAnsi" w:cs="AGaramond-Regular" w:hAnsiTheme="majorHAnsi"/>
        </w:rPr>
      </w:pPr>
    </w:p>
    <w:p w14:paraId="682E4132" w14:textId="7F7265C7" w:rsidP="0046407A" w:rsidR="00672DBF" w:rsidRDefault="007B07F6" w:rsidRPr="003D3F8A">
      <w:pPr>
        <w:pStyle w:val="Titre2"/>
        <w:jc w:val="both"/>
        <w:rPr>
          <w:rFonts w:asciiTheme="majorHAnsi" w:hAnsiTheme="majorHAnsi"/>
          <w:color w:themeColor="accent1" w:themeShade="BF" w:val="2E74B5"/>
        </w:rPr>
      </w:pPr>
      <w:bookmarkStart w:id="5" w:name="_Toc121503543"/>
      <w:r w:rsidRPr="003D3F8A">
        <w:rPr>
          <w:rFonts w:asciiTheme="majorHAnsi" w:hAnsiTheme="majorHAnsi"/>
          <w:color w:themeColor="accent1" w:themeShade="BF" w:val="2E74B5"/>
        </w:rPr>
        <w:t>Article 1.</w:t>
      </w:r>
      <w:r w:rsidR="004A4152" w:rsidRPr="003D3F8A">
        <w:rPr>
          <w:rFonts w:asciiTheme="majorHAnsi" w:hAnsiTheme="majorHAnsi"/>
          <w:color w:themeColor="accent1" w:themeShade="BF" w:val="2E74B5"/>
        </w:rPr>
        <w:t>3</w:t>
      </w:r>
      <w:r w:rsidR="00A536FC" w:rsidRPr="003D3F8A">
        <w:rPr>
          <w:rFonts w:asciiTheme="majorHAnsi" w:hAnsiTheme="majorHAnsi"/>
          <w:color w:themeColor="accent1" w:themeShade="BF" w:val="2E74B5"/>
        </w:rPr>
        <w:t> : P</w:t>
      </w:r>
      <w:r w:rsidRPr="003D3F8A">
        <w:rPr>
          <w:rFonts w:asciiTheme="majorHAnsi" w:hAnsiTheme="majorHAnsi"/>
          <w:color w:themeColor="accent1" w:themeShade="BF" w:val="2E74B5"/>
        </w:rPr>
        <w:t>rimes de certification</w:t>
      </w:r>
      <w:bookmarkEnd w:id="5"/>
    </w:p>
    <w:p w14:paraId="082920B6" w14:textId="29E5C0F7" w:rsidP="0046407A" w:rsidR="00F15912" w:rsidRDefault="00F15912" w:rsidRPr="0077508B">
      <w:pPr>
        <w:spacing w:after="0" w:line="240" w:lineRule="auto"/>
        <w:jc w:val="both"/>
        <w:rPr>
          <w:rFonts w:asciiTheme="majorHAnsi" w:hAnsiTheme="majorHAnsi"/>
        </w:rPr>
      </w:pPr>
      <w:r w:rsidRPr="0077508B">
        <w:rPr>
          <w:rFonts w:asciiTheme="majorHAnsi" w:hAnsiTheme="majorHAnsi"/>
        </w:rPr>
        <w:t>Les parties conviennent qu’au plus tard le 31 mars 202</w:t>
      </w:r>
      <w:r w:rsidR="003A3F58" w:rsidRPr="0077508B">
        <w:rPr>
          <w:rFonts w:asciiTheme="majorHAnsi" w:hAnsiTheme="majorHAnsi"/>
        </w:rPr>
        <w:t>3</w:t>
      </w:r>
      <w:r w:rsidRPr="0077508B">
        <w:rPr>
          <w:rFonts w:asciiTheme="majorHAnsi" w:hAnsiTheme="majorHAnsi"/>
        </w:rPr>
        <w:t>, les collaborateurs ayant été amenés à réaliser des formations diplômantes, certifiantes, ou formation longue (plus de 15 jours) et non encore gratifiés à la date de signature de la présente négociation, percevront la somme de :</w:t>
      </w:r>
    </w:p>
    <w:p w14:paraId="02587433" w14:textId="77777777" w:rsidP="0046407A" w:rsidR="0067235C" w:rsidRDefault="0067235C" w:rsidRPr="0077508B">
      <w:pPr>
        <w:spacing w:after="0" w:line="240" w:lineRule="auto"/>
        <w:jc w:val="both"/>
        <w:rPr>
          <w:rFonts w:asciiTheme="majorHAnsi" w:hAnsiTheme="majorHAnsi"/>
        </w:rPr>
      </w:pPr>
    </w:p>
    <w:p w14:paraId="2CD88AAF" w14:textId="77777777" w:rsidP="0046407A" w:rsidR="00F15912" w:rsidRDefault="00F15912" w:rsidRPr="0077508B">
      <w:pPr>
        <w:pStyle w:val="Paragraphedeliste"/>
        <w:numPr>
          <w:ilvl w:val="0"/>
          <w:numId w:val="34"/>
        </w:numPr>
        <w:jc w:val="both"/>
        <w:rPr>
          <w:rFonts w:asciiTheme="majorHAnsi" w:cstheme="minorBidi" w:eastAsiaTheme="minorHAnsi" w:hAnsiTheme="majorHAnsi"/>
          <w:sz w:val="22"/>
          <w:szCs w:val="22"/>
          <w:lang w:eastAsia="en-US"/>
        </w:rPr>
      </w:pPr>
      <w:r w:rsidRPr="0077508B">
        <w:rPr>
          <w:rFonts w:asciiTheme="majorHAnsi" w:cstheme="minorBidi" w:eastAsiaTheme="minorHAnsi" w:hAnsiTheme="majorHAnsi"/>
          <w:sz w:val="22"/>
          <w:szCs w:val="22"/>
          <w:lang w:eastAsia="en-US"/>
        </w:rPr>
        <w:t>1000 euros pour une formation longue (plus de 15 jours) ;</w:t>
      </w:r>
    </w:p>
    <w:p w14:paraId="0A4D27A1" w14:textId="77777777" w:rsidP="0046407A" w:rsidR="00F15912" w:rsidRDefault="00F15912" w:rsidRPr="0077508B">
      <w:pPr>
        <w:pStyle w:val="Paragraphedeliste"/>
        <w:numPr>
          <w:ilvl w:val="0"/>
          <w:numId w:val="34"/>
        </w:numPr>
        <w:jc w:val="both"/>
        <w:rPr>
          <w:rFonts w:asciiTheme="majorHAnsi" w:cstheme="minorBidi" w:eastAsiaTheme="minorHAnsi" w:hAnsiTheme="majorHAnsi"/>
          <w:sz w:val="22"/>
          <w:szCs w:val="22"/>
          <w:lang w:eastAsia="en-US"/>
        </w:rPr>
      </w:pPr>
      <w:r w:rsidRPr="0077508B">
        <w:rPr>
          <w:rFonts w:asciiTheme="majorHAnsi" w:cstheme="minorBidi" w:eastAsiaTheme="minorHAnsi" w:hAnsiTheme="majorHAnsi"/>
          <w:sz w:val="22"/>
          <w:szCs w:val="22"/>
          <w:lang w:eastAsia="en-US"/>
        </w:rPr>
        <w:t>2000 euros pour une formation certifiante ;</w:t>
      </w:r>
    </w:p>
    <w:p w14:paraId="4CF60CFA" w14:textId="77777777" w:rsidP="0046407A" w:rsidR="00F15912" w:rsidRDefault="00F15912">
      <w:pPr>
        <w:pStyle w:val="Paragraphedeliste"/>
        <w:numPr>
          <w:ilvl w:val="0"/>
          <w:numId w:val="34"/>
        </w:numPr>
        <w:jc w:val="both"/>
        <w:rPr>
          <w:rFonts w:asciiTheme="majorHAnsi" w:cstheme="minorBidi" w:eastAsiaTheme="minorHAnsi" w:hAnsiTheme="majorHAnsi"/>
          <w:sz w:val="22"/>
          <w:szCs w:val="22"/>
          <w:lang w:eastAsia="en-US"/>
        </w:rPr>
      </w:pPr>
      <w:r w:rsidRPr="0077508B">
        <w:rPr>
          <w:rFonts w:asciiTheme="majorHAnsi" w:cstheme="minorBidi" w:eastAsiaTheme="minorHAnsi" w:hAnsiTheme="majorHAnsi"/>
          <w:sz w:val="22"/>
          <w:szCs w:val="22"/>
          <w:lang w:eastAsia="en-US"/>
        </w:rPr>
        <w:t>2500 euros pour une formation diplômante</w:t>
      </w:r>
      <w:r w:rsidRPr="003D3F8A">
        <w:rPr>
          <w:rFonts w:asciiTheme="majorHAnsi" w:cstheme="minorBidi" w:eastAsiaTheme="minorHAnsi" w:hAnsiTheme="majorHAnsi"/>
          <w:sz w:val="22"/>
          <w:szCs w:val="22"/>
          <w:lang w:eastAsia="en-US"/>
        </w:rPr>
        <w:t>.</w:t>
      </w:r>
    </w:p>
    <w:p w14:paraId="166E8419" w14:textId="77777777" w:rsidP="0046407A" w:rsidR="0067235C" w:rsidRDefault="0067235C" w:rsidRPr="003D3F8A">
      <w:pPr>
        <w:pStyle w:val="Paragraphedeliste"/>
        <w:jc w:val="both"/>
        <w:rPr>
          <w:rFonts w:asciiTheme="majorHAnsi" w:cstheme="minorBidi" w:eastAsiaTheme="minorHAnsi" w:hAnsiTheme="majorHAnsi"/>
          <w:sz w:val="22"/>
          <w:szCs w:val="22"/>
          <w:lang w:eastAsia="en-US"/>
        </w:rPr>
      </w:pPr>
    </w:p>
    <w:p w14:paraId="165CA339" w14:textId="77777777" w:rsidP="0046407A" w:rsidR="00F15912" w:rsidRDefault="00F15912" w:rsidRPr="003D3F8A">
      <w:pPr>
        <w:spacing w:after="0" w:line="240" w:lineRule="auto"/>
        <w:jc w:val="both"/>
        <w:rPr>
          <w:rFonts w:asciiTheme="majorHAnsi" w:hAnsiTheme="majorHAnsi"/>
        </w:rPr>
      </w:pPr>
      <w:r w:rsidRPr="003D3F8A">
        <w:rPr>
          <w:rFonts w:asciiTheme="majorHAnsi" w:hAnsiTheme="majorHAnsi"/>
        </w:rPr>
        <w:t>A compter de la date de signature de la présente négociation, toutes les formations diplômantes certifiantes ou longues, devront être validées préalablement par la Direction Générale.</w:t>
      </w:r>
    </w:p>
    <w:p w14:paraId="4AE9DF7A" w14:textId="32E96B95" w:rsidP="0046407A" w:rsidR="00686B33" w:rsidRDefault="00910F5A" w:rsidRPr="003D3F8A">
      <w:pPr>
        <w:pStyle w:val="Titre2"/>
        <w:jc w:val="both"/>
        <w:rPr>
          <w:rFonts w:asciiTheme="majorHAnsi" w:hAnsiTheme="majorHAnsi"/>
          <w:color w:themeColor="accent1" w:themeShade="BF" w:val="2E74B5"/>
        </w:rPr>
      </w:pPr>
      <w:bookmarkStart w:id="6" w:name="_Toc121503544"/>
      <w:r w:rsidRPr="003D3F8A">
        <w:rPr>
          <w:rFonts w:asciiTheme="majorHAnsi" w:hAnsiTheme="majorHAnsi"/>
          <w:color w:themeColor="accent1" w:themeShade="BF" w:val="2E74B5"/>
        </w:rPr>
        <w:t>Article 1.</w:t>
      </w:r>
      <w:r w:rsidR="004A4152" w:rsidRPr="003D3F8A">
        <w:rPr>
          <w:rFonts w:asciiTheme="majorHAnsi" w:hAnsiTheme="majorHAnsi"/>
          <w:color w:themeColor="accent1" w:themeShade="BF" w:val="2E74B5"/>
        </w:rPr>
        <w:t>4</w:t>
      </w:r>
      <w:r w:rsidRPr="003D3F8A">
        <w:rPr>
          <w:rFonts w:asciiTheme="majorHAnsi" w:hAnsiTheme="majorHAnsi"/>
          <w:color w:themeColor="accent1" w:themeShade="BF" w:val="2E74B5"/>
        </w:rPr>
        <w:t xml:space="preserve"> P</w:t>
      </w:r>
      <w:r w:rsidR="00686B33" w:rsidRPr="003D3F8A">
        <w:rPr>
          <w:rFonts w:asciiTheme="majorHAnsi" w:hAnsiTheme="majorHAnsi"/>
          <w:color w:themeColor="accent1" w:themeShade="BF" w:val="2E74B5"/>
        </w:rPr>
        <w:t>rimes exceptionnelles</w:t>
      </w:r>
      <w:bookmarkEnd w:id="6"/>
    </w:p>
    <w:p w14:paraId="71833E1F" w14:textId="77777777" w:rsidP="0046407A" w:rsidR="00686B33" w:rsidRDefault="00686B33" w:rsidRPr="003D3F8A">
      <w:pPr>
        <w:spacing w:after="0" w:line="240" w:lineRule="auto"/>
        <w:jc w:val="both"/>
        <w:rPr>
          <w:rFonts w:asciiTheme="majorHAnsi" w:hAnsiTheme="majorHAnsi"/>
        </w:rPr>
      </w:pPr>
      <w:r w:rsidRPr="003D3F8A">
        <w:rPr>
          <w:rFonts w:asciiTheme="majorHAnsi" w:hAnsiTheme="majorHAnsi"/>
        </w:rPr>
        <w:t xml:space="preserve">Les parties au présent accord s’entendent sur le fait </w:t>
      </w:r>
      <w:r w:rsidR="00AE54D1" w:rsidRPr="003D3F8A">
        <w:rPr>
          <w:rFonts w:asciiTheme="majorHAnsi" w:hAnsiTheme="majorHAnsi"/>
        </w:rPr>
        <w:t>que les</w:t>
      </w:r>
      <w:r w:rsidR="00017E23" w:rsidRPr="003D3F8A">
        <w:rPr>
          <w:rFonts w:asciiTheme="majorHAnsi" w:hAnsiTheme="majorHAnsi"/>
        </w:rPr>
        <w:t xml:space="preserve"> prime</w:t>
      </w:r>
      <w:r w:rsidR="00AE54D1" w:rsidRPr="003D3F8A">
        <w:rPr>
          <w:rFonts w:asciiTheme="majorHAnsi" w:hAnsiTheme="majorHAnsi"/>
        </w:rPr>
        <w:t>s</w:t>
      </w:r>
      <w:r w:rsidR="00017E23" w:rsidRPr="003D3F8A">
        <w:rPr>
          <w:rFonts w:asciiTheme="majorHAnsi" w:hAnsiTheme="majorHAnsi"/>
        </w:rPr>
        <w:t xml:space="preserve"> exceptionnelle</w:t>
      </w:r>
      <w:r w:rsidR="00AE54D1" w:rsidRPr="003D3F8A">
        <w:rPr>
          <w:rFonts w:asciiTheme="majorHAnsi" w:hAnsiTheme="majorHAnsi"/>
        </w:rPr>
        <w:t>s</w:t>
      </w:r>
      <w:r w:rsidR="00017E23" w:rsidRPr="003D3F8A">
        <w:rPr>
          <w:rFonts w:asciiTheme="majorHAnsi" w:hAnsiTheme="majorHAnsi"/>
        </w:rPr>
        <w:t xml:space="preserve"> </w:t>
      </w:r>
      <w:r w:rsidR="00AE54D1" w:rsidRPr="003D3F8A">
        <w:rPr>
          <w:rFonts w:asciiTheme="majorHAnsi" w:hAnsiTheme="majorHAnsi"/>
        </w:rPr>
        <w:t>seront</w:t>
      </w:r>
      <w:r w:rsidR="00017E23" w:rsidRPr="003D3F8A">
        <w:rPr>
          <w:rFonts w:asciiTheme="majorHAnsi" w:hAnsiTheme="majorHAnsi"/>
        </w:rPr>
        <w:t xml:space="preserve"> attribuée</w:t>
      </w:r>
      <w:r w:rsidR="00AE54D1" w:rsidRPr="003D3F8A">
        <w:rPr>
          <w:rFonts w:asciiTheme="majorHAnsi" w:hAnsiTheme="majorHAnsi"/>
        </w:rPr>
        <w:t>s</w:t>
      </w:r>
      <w:r w:rsidR="00017E23" w:rsidRPr="003D3F8A">
        <w:rPr>
          <w:rFonts w:asciiTheme="majorHAnsi" w:hAnsiTheme="majorHAnsi"/>
        </w:rPr>
        <w:t xml:space="preserve"> à la discrétion de la Direction Générale.</w:t>
      </w:r>
    </w:p>
    <w:p w14:paraId="56AEDC5A" w14:textId="77777777" w:rsidP="0046407A" w:rsidR="008C07D9" w:rsidRDefault="00354CCE" w:rsidRPr="003D3F8A">
      <w:pPr>
        <w:pStyle w:val="Titre1"/>
        <w:rPr>
          <w:rFonts w:asciiTheme="majorHAnsi" w:hAnsiTheme="majorHAnsi"/>
          <w:color w:themeColor="accent1" w:themeShade="BF" w:val="2E74B5"/>
          <w:sz w:val="22"/>
          <w:szCs w:val="22"/>
          <w:u w:val="none"/>
        </w:rPr>
      </w:pPr>
      <w:bookmarkStart w:id="7" w:name="_Toc121503545"/>
      <w:r w:rsidRPr="003D3F8A">
        <w:rPr>
          <w:rFonts w:asciiTheme="majorHAnsi" w:hAnsiTheme="majorHAnsi"/>
          <w:color w:themeColor="accent1" w:themeShade="BF" w:val="2E74B5"/>
          <w:sz w:val="22"/>
          <w:szCs w:val="22"/>
          <w:u w:val="none"/>
        </w:rPr>
        <w:t>ARTICLE 2 </w:t>
      </w:r>
      <w:r w:rsidR="00A536FC" w:rsidRPr="003D3F8A">
        <w:rPr>
          <w:rFonts w:asciiTheme="majorHAnsi" w:hAnsiTheme="majorHAnsi"/>
          <w:color w:themeColor="accent1" w:themeShade="BF" w:val="2E74B5"/>
          <w:sz w:val="22"/>
          <w:szCs w:val="22"/>
          <w:u w:val="none"/>
        </w:rPr>
        <w:t xml:space="preserve">: </w:t>
      </w:r>
      <w:r w:rsidR="008C07D9" w:rsidRPr="003D3F8A">
        <w:rPr>
          <w:rFonts w:asciiTheme="majorHAnsi" w:hAnsiTheme="majorHAnsi"/>
          <w:color w:themeColor="accent1" w:themeShade="BF" w:val="2E74B5"/>
          <w:sz w:val="22"/>
          <w:szCs w:val="22"/>
          <w:u w:val="none"/>
        </w:rPr>
        <w:t>Gestion des emplois et des parcours professionnels</w:t>
      </w:r>
      <w:bookmarkEnd w:id="7"/>
    </w:p>
    <w:p w14:paraId="0D484DDA" w14:textId="77777777" w:rsidP="0046407A" w:rsidR="008C07D9" w:rsidRDefault="008C07D9" w:rsidRPr="003D3F8A">
      <w:pPr>
        <w:spacing w:after="0" w:line="240" w:lineRule="auto"/>
        <w:jc w:val="both"/>
        <w:rPr>
          <w:rFonts w:asciiTheme="majorHAnsi" w:hAnsiTheme="majorHAnsi"/>
        </w:rPr>
      </w:pPr>
      <w:r w:rsidRPr="003D3F8A">
        <w:rPr>
          <w:rFonts w:asciiTheme="majorHAnsi" w:hAnsiTheme="majorHAnsi"/>
        </w:rPr>
        <w:t>La Direction Générale s’engage, dans sa politique de Responsabilité Sociétale de l’Entreprise, à communiquer</w:t>
      </w:r>
      <w:r w:rsidR="00763C29" w:rsidRPr="003D3F8A">
        <w:rPr>
          <w:rFonts w:asciiTheme="majorHAnsi" w:hAnsiTheme="majorHAnsi"/>
        </w:rPr>
        <w:t xml:space="preserve"> les grandes orientations, sur trois</w:t>
      </w:r>
      <w:r w:rsidRPr="003D3F8A">
        <w:rPr>
          <w:rFonts w:asciiTheme="majorHAnsi" w:hAnsiTheme="majorHAnsi"/>
        </w:rPr>
        <w:t xml:space="preserve"> ans glissants, de la formation professionnelle. </w:t>
      </w:r>
    </w:p>
    <w:p w14:paraId="29DF5FEA" w14:textId="1E40BF4F" w:rsidP="0046407A" w:rsidR="008C07D9" w:rsidRDefault="008C07D9">
      <w:pPr>
        <w:spacing w:after="0" w:line="240" w:lineRule="auto"/>
        <w:jc w:val="both"/>
        <w:rPr>
          <w:rFonts w:asciiTheme="majorHAnsi" w:hAnsiTheme="majorHAnsi"/>
        </w:rPr>
      </w:pPr>
      <w:r w:rsidRPr="003D3F8A">
        <w:rPr>
          <w:rFonts w:asciiTheme="majorHAnsi" w:hAnsiTheme="majorHAnsi"/>
        </w:rPr>
        <w:t xml:space="preserve">Elle communiquera également les objectifs du plan de formation, mettra en place </w:t>
      </w:r>
      <w:r w:rsidR="00AE54D1" w:rsidRPr="003D3F8A">
        <w:rPr>
          <w:rFonts w:asciiTheme="majorHAnsi" w:hAnsiTheme="majorHAnsi"/>
        </w:rPr>
        <w:t xml:space="preserve">progressivement sur les années à venir </w:t>
      </w:r>
      <w:r w:rsidRPr="003D3F8A">
        <w:rPr>
          <w:rFonts w:asciiTheme="majorHAnsi" w:hAnsiTheme="majorHAnsi"/>
        </w:rPr>
        <w:t>un dispositif de gestion prévisionnelle des emplois et des compétences ainsi que les mesures d’accompagnement associées.</w:t>
      </w:r>
    </w:p>
    <w:p w14:paraId="34F7EFB9" w14:textId="26B464A0" w:rsidP="00991A78" w:rsidR="0077508B" w:rsidRDefault="0077508B">
      <w:pPr>
        <w:spacing w:after="0" w:line="240" w:lineRule="auto"/>
        <w:jc w:val="both"/>
        <w:rPr>
          <w:rFonts w:asciiTheme="majorHAnsi" w:hAnsiTheme="majorHAnsi"/>
        </w:rPr>
      </w:pPr>
    </w:p>
    <w:p w14:paraId="71850E7C" w14:textId="3840363A" w:rsidP="00991A78" w:rsidR="0077508B" w:rsidRDefault="0077508B">
      <w:pPr>
        <w:spacing w:after="0" w:line="240" w:lineRule="auto"/>
        <w:jc w:val="both"/>
        <w:rPr>
          <w:rFonts w:asciiTheme="majorHAnsi" w:hAnsiTheme="majorHAnsi"/>
        </w:rPr>
      </w:pPr>
    </w:p>
    <w:p w14:paraId="126D1AD3" w14:textId="32452A1B" w:rsidP="00991A78" w:rsidR="0077508B" w:rsidRDefault="0077508B">
      <w:pPr>
        <w:spacing w:after="0" w:line="240" w:lineRule="auto"/>
        <w:jc w:val="both"/>
        <w:rPr>
          <w:rFonts w:asciiTheme="majorHAnsi" w:hAnsiTheme="majorHAnsi"/>
        </w:rPr>
      </w:pPr>
    </w:p>
    <w:p w14:paraId="226D2A7F" w14:textId="77777777" w:rsidP="00991A78" w:rsidR="0077508B" w:rsidRDefault="0077508B" w:rsidRPr="003D3F8A">
      <w:pPr>
        <w:spacing w:after="0" w:line="240" w:lineRule="auto"/>
        <w:jc w:val="both"/>
        <w:rPr>
          <w:rFonts w:asciiTheme="majorHAnsi" w:hAnsiTheme="majorHAnsi"/>
        </w:rPr>
      </w:pPr>
    </w:p>
    <w:p w14:paraId="417FDEE5" w14:textId="77777777" w:rsidP="00B64DB0" w:rsidR="00512EF0" w:rsidRDefault="00354CCE" w:rsidRPr="003D3F8A">
      <w:pPr>
        <w:pStyle w:val="Titre1"/>
        <w:rPr>
          <w:rFonts w:asciiTheme="majorHAnsi" w:hAnsiTheme="majorHAnsi"/>
          <w:color w:themeColor="accent1" w:themeShade="BF" w:val="2E74B5"/>
          <w:sz w:val="22"/>
          <w:szCs w:val="22"/>
          <w:u w:val="none"/>
        </w:rPr>
      </w:pPr>
      <w:bookmarkStart w:id="8" w:name="_Toc121503546"/>
      <w:r w:rsidRPr="003D3F8A">
        <w:rPr>
          <w:rFonts w:asciiTheme="majorHAnsi" w:hAnsiTheme="majorHAnsi"/>
          <w:color w:themeColor="accent1" w:themeShade="BF" w:val="2E74B5"/>
          <w:sz w:val="22"/>
          <w:szCs w:val="22"/>
          <w:u w:val="none"/>
        </w:rPr>
        <w:lastRenderedPageBreak/>
        <w:t>ARTICLE 3 </w:t>
      </w:r>
      <w:r w:rsidR="0031018B" w:rsidRPr="003D3F8A">
        <w:rPr>
          <w:rFonts w:asciiTheme="majorHAnsi" w:hAnsiTheme="majorHAnsi"/>
          <w:color w:themeColor="accent1" w:themeShade="BF" w:val="2E74B5"/>
          <w:sz w:val="22"/>
          <w:szCs w:val="22"/>
          <w:u w:val="none"/>
        </w:rPr>
        <w:t xml:space="preserve">: </w:t>
      </w:r>
      <w:r w:rsidR="00B84EB6" w:rsidRPr="003D3F8A">
        <w:rPr>
          <w:rFonts w:asciiTheme="majorHAnsi" w:hAnsiTheme="majorHAnsi"/>
          <w:color w:themeColor="accent1" w:themeShade="BF" w:val="2E74B5"/>
          <w:sz w:val="22"/>
          <w:szCs w:val="22"/>
          <w:u w:val="none"/>
        </w:rPr>
        <w:t>Intéressement</w:t>
      </w:r>
      <w:bookmarkEnd w:id="8"/>
      <w:r w:rsidR="00B84EB6" w:rsidRPr="003D3F8A">
        <w:rPr>
          <w:rFonts w:asciiTheme="majorHAnsi" w:hAnsiTheme="majorHAnsi"/>
          <w:color w:themeColor="accent1" w:themeShade="BF" w:val="2E74B5"/>
          <w:sz w:val="22"/>
          <w:szCs w:val="22"/>
          <w:u w:val="none"/>
        </w:rPr>
        <w:t xml:space="preserve"> </w:t>
      </w:r>
    </w:p>
    <w:p w14:paraId="1A4F3676" w14:textId="77777777" w:rsidP="00991A78" w:rsidR="00261AD3" w:rsidRDefault="00B84EB6">
      <w:pPr>
        <w:spacing w:after="0" w:line="240" w:lineRule="auto"/>
        <w:jc w:val="both"/>
        <w:rPr>
          <w:rFonts w:asciiTheme="majorHAnsi" w:hAnsiTheme="majorHAnsi"/>
        </w:rPr>
      </w:pPr>
      <w:r w:rsidRPr="00A8370C">
        <w:rPr>
          <w:rFonts w:asciiTheme="majorHAnsi" w:hAnsiTheme="majorHAnsi"/>
        </w:rPr>
        <w:t>Un accord d’intéressement en date du 2 Juillet 2018 a été conclu</w:t>
      </w:r>
      <w:r w:rsidR="00DD5A18" w:rsidRPr="00A8370C">
        <w:rPr>
          <w:rFonts w:asciiTheme="majorHAnsi" w:hAnsiTheme="majorHAnsi"/>
        </w:rPr>
        <w:t xml:space="preserve"> </w:t>
      </w:r>
      <w:r w:rsidRPr="00A8370C">
        <w:rPr>
          <w:rFonts w:asciiTheme="majorHAnsi" w:hAnsiTheme="majorHAnsi"/>
        </w:rPr>
        <w:t>s’applique aux exercices 20</w:t>
      </w:r>
      <w:r w:rsidR="00BD2EAB" w:rsidRPr="00A8370C">
        <w:rPr>
          <w:rFonts w:asciiTheme="majorHAnsi" w:hAnsiTheme="majorHAnsi"/>
        </w:rPr>
        <w:t>21</w:t>
      </w:r>
      <w:r w:rsidRPr="00A8370C">
        <w:rPr>
          <w:rFonts w:asciiTheme="majorHAnsi" w:hAnsiTheme="majorHAnsi"/>
        </w:rPr>
        <w:t>, 20</w:t>
      </w:r>
      <w:r w:rsidR="00BD2EAB" w:rsidRPr="00A8370C">
        <w:rPr>
          <w:rFonts w:asciiTheme="majorHAnsi" w:hAnsiTheme="majorHAnsi"/>
        </w:rPr>
        <w:t>22</w:t>
      </w:r>
      <w:r w:rsidRPr="00A8370C">
        <w:rPr>
          <w:rFonts w:asciiTheme="majorHAnsi" w:hAnsiTheme="majorHAnsi"/>
        </w:rPr>
        <w:t>, 202</w:t>
      </w:r>
      <w:r w:rsidR="00BD2EAB" w:rsidRPr="00A8370C">
        <w:rPr>
          <w:rFonts w:asciiTheme="majorHAnsi" w:hAnsiTheme="majorHAnsi"/>
        </w:rPr>
        <w:t>3</w:t>
      </w:r>
      <w:r w:rsidRPr="00A8370C">
        <w:rPr>
          <w:rFonts w:asciiTheme="majorHAnsi" w:hAnsiTheme="majorHAnsi"/>
        </w:rPr>
        <w:t xml:space="preserve"> </w:t>
      </w:r>
      <w:r w:rsidR="005C4E5F" w:rsidRPr="00A8370C">
        <w:rPr>
          <w:rFonts w:asciiTheme="majorHAnsi" w:hAnsiTheme="majorHAnsi"/>
        </w:rPr>
        <w:t>portants</w:t>
      </w:r>
      <w:r w:rsidRPr="00A8370C">
        <w:rPr>
          <w:rFonts w:asciiTheme="majorHAnsi" w:hAnsiTheme="majorHAnsi"/>
        </w:rPr>
        <w:t xml:space="preserve"> sur la période du 1</w:t>
      </w:r>
      <w:r w:rsidRPr="00A8370C">
        <w:rPr>
          <w:rFonts w:asciiTheme="majorHAnsi" w:hAnsiTheme="majorHAnsi"/>
          <w:vertAlign w:val="superscript"/>
        </w:rPr>
        <w:t>er</w:t>
      </w:r>
      <w:r w:rsidRPr="00A8370C">
        <w:rPr>
          <w:rFonts w:asciiTheme="majorHAnsi" w:hAnsiTheme="majorHAnsi"/>
        </w:rPr>
        <w:t xml:space="preserve"> janvier au 31 décembre. </w:t>
      </w:r>
    </w:p>
    <w:p w14:paraId="70908094" w14:textId="418805B1" w:rsidP="00991A78" w:rsidR="00B84EB6" w:rsidRDefault="00B84EB6" w:rsidRPr="003D3F8A">
      <w:pPr>
        <w:spacing w:after="0" w:line="240" w:lineRule="auto"/>
        <w:jc w:val="both"/>
        <w:rPr>
          <w:rFonts w:asciiTheme="majorHAnsi" w:hAnsiTheme="majorHAnsi"/>
        </w:rPr>
      </w:pPr>
      <w:r w:rsidRPr="00A8370C">
        <w:rPr>
          <w:rFonts w:asciiTheme="majorHAnsi" w:hAnsiTheme="majorHAnsi"/>
        </w:rPr>
        <w:t>Durant cet accord, les signataires ont revu les critères de calcul de la prime.</w:t>
      </w:r>
    </w:p>
    <w:p w14:paraId="3C713950" w14:textId="77777777" w:rsidP="0077508B" w:rsidR="007435FC" w:rsidRDefault="007435FC" w:rsidRPr="003D3F8A">
      <w:pPr>
        <w:autoSpaceDE w:val="0"/>
        <w:autoSpaceDN w:val="0"/>
        <w:adjustRightInd w:val="0"/>
        <w:spacing w:after="0" w:line="240" w:lineRule="auto"/>
        <w:jc w:val="both"/>
        <w:rPr>
          <w:rFonts w:asciiTheme="majorHAnsi" w:hAnsiTheme="majorHAnsi"/>
          <w:u w:val="single"/>
        </w:rPr>
      </w:pPr>
    </w:p>
    <w:p w14:paraId="5EB0775F" w14:textId="77777777" w:rsidP="00B64DB0" w:rsidR="005A72EF" w:rsidRDefault="00354CCE" w:rsidRPr="003D3F8A">
      <w:pPr>
        <w:pStyle w:val="Titre1"/>
        <w:rPr>
          <w:rFonts w:asciiTheme="majorHAnsi" w:hAnsiTheme="majorHAnsi"/>
          <w:color w:themeColor="accent1" w:themeShade="BF" w:val="2E74B5"/>
          <w:sz w:val="22"/>
          <w:szCs w:val="22"/>
          <w:u w:val="none"/>
        </w:rPr>
      </w:pPr>
      <w:bookmarkStart w:id="9" w:name="_Toc121503547"/>
      <w:r w:rsidRPr="003D3F8A">
        <w:rPr>
          <w:rFonts w:asciiTheme="majorHAnsi" w:hAnsiTheme="majorHAnsi"/>
          <w:color w:themeColor="accent1" w:themeShade="BF" w:val="2E74B5"/>
          <w:sz w:val="22"/>
          <w:szCs w:val="22"/>
          <w:u w:val="none"/>
        </w:rPr>
        <w:t>ARTICLE 4 </w:t>
      </w:r>
      <w:r w:rsidR="00A536FC" w:rsidRPr="003D3F8A">
        <w:rPr>
          <w:rFonts w:asciiTheme="majorHAnsi" w:hAnsiTheme="majorHAnsi"/>
          <w:color w:themeColor="accent1" w:themeShade="BF" w:val="2E74B5"/>
          <w:sz w:val="22"/>
          <w:szCs w:val="22"/>
          <w:u w:val="none"/>
        </w:rPr>
        <w:t>:</w:t>
      </w:r>
      <w:r w:rsidR="0031018B" w:rsidRPr="003D3F8A">
        <w:rPr>
          <w:rFonts w:asciiTheme="majorHAnsi" w:hAnsiTheme="majorHAnsi"/>
          <w:color w:themeColor="accent1" w:themeShade="BF" w:val="2E74B5"/>
          <w:sz w:val="22"/>
          <w:szCs w:val="22"/>
          <w:u w:val="none"/>
        </w:rPr>
        <w:t xml:space="preserve"> </w:t>
      </w:r>
      <w:r w:rsidR="005856F7" w:rsidRPr="003D3F8A">
        <w:rPr>
          <w:rFonts w:asciiTheme="majorHAnsi" w:hAnsiTheme="majorHAnsi"/>
          <w:color w:themeColor="accent1" w:themeShade="BF" w:val="2E74B5"/>
          <w:sz w:val="22"/>
          <w:szCs w:val="22"/>
          <w:u w:val="none"/>
        </w:rPr>
        <w:t xml:space="preserve">Durée effective et </w:t>
      </w:r>
      <w:r w:rsidR="005A72EF" w:rsidRPr="003D3F8A">
        <w:rPr>
          <w:rFonts w:asciiTheme="majorHAnsi" w:hAnsiTheme="majorHAnsi"/>
          <w:color w:themeColor="accent1" w:themeShade="BF" w:val="2E74B5"/>
          <w:sz w:val="22"/>
          <w:szCs w:val="22"/>
          <w:u w:val="none"/>
        </w:rPr>
        <w:t>organisation du temps de travail</w:t>
      </w:r>
      <w:bookmarkEnd w:id="9"/>
    </w:p>
    <w:p w14:paraId="62B79A34" w14:textId="2ABC04A4" w:rsidP="00264D06" w:rsidR="00BB3C69" w:rsidRDefault="00BB3C69" w:rsidRPr="0067235C">
      <w:pPr>
        <w:pStyle w:val="Titre2"/>
        <w:rPr>
          <w:rFonts w:asciiTheme="majorHAnsi" w:hAnsiTheme="majorHAnsi"/>
          <w:color w:themeColor="accent1" w:themeShade="BF" w:val="2E74B5"/>
        </w:rPr>
      </w:pPr>
      <w:bookmarkStart w:id="10" w:name="_Toc121503548"/>
      <w:r w:rsidRPr="0067235C">
        <w:rPr>
          <w:rFonts w:asciiTheme="majorHAnsi" w:hAnsiTheme="majorHAnsi"/>
          <w:color w:themeColor="accent1" w:themeShade="BF" w:val="2E74B5"/>
        </w:rPr>
        <w:t>Article 4.1</w:t>
      </w:r>
      <w:r w:rsidR="00A536FC" w:rsidRPr="0067235C">
        <w:rPr>
          <w:rFonts w:asciiTheme="majorHAnsi" w:hAnsiTheme="majorHAnsi"/>
          <w:color w:themeColor="accent1" w:themeShade="BF" w:val="2E74B5"/>
        </w:rPr>
        <w:t xml:space="preserve"> : </w:t>
      </w:r>
      <w:r w:rsidR="00910F5A" w:rsidRPr="0067235C">
        <w:rPr>
          <w:rFonts w:asciiTheme="majorHAnsi" w:hAnsiTheme="majorHAnsi"/>
          <w:color w:themeColor="accent1" w:themeShade="BF" w:val="2E74B5"/>
        </w:rPr>
        <w:t>Emplois à temps p</w:t>
      </w:r>
      <w:r w:rsidRPr="0067235C">
        <w:rPr>
          <w:rFonts w:asciiTheme="majorHAnsi" w:hAnsiTheme="majorHAnsi"/>
          <w:color w:themeColor="accent1" w:themeShade="BF" w:val="2E74B5"/>
        </w:rPr>
        <w:t>artiel</w:t>
      </w:r>
      <w:bookmarkEnd w:id="10"/>
    </w:p>
    <w:p w14:paraId="76F9F42E" w14:textId="082C4098" w:rsidP="00FE054B" w:rsidR="00BB3C69" w:rsidRDefault="00BB3C69" w:rsidRPr="003D3F8A">
      <w:pPr>
        <w:spacing w:after="0" w:line="240" w:lineRule="auto"/>
        <w:jc w:val="both"/>
        <w:rPr>
          <w:rFonts w:asciiTheme="majorHAnsi" w:hAnsiTheme="majorHAnsi"/>
        </w:rPr>
      </w:pPr>
      <w:r w:rsidRPr="003D3F8A">
        <w:rPr>
          <w:rFonts w:asciiTheme="majorHAnsi" w:hAnsiTheme="majorHAnsi"/>
        </w:rPr>
        <w:t>A la date d</w:t>
      </w:r>
      <w:r w:rsidR="00763C29" w:rsidRPr="003D3F8A">
        <w:rPr>
          <w:rFonts w:asciiTheme="majorHAnsi" w:hAnsiTheme="majorHAnsi"/>
        </w:rPr>
        <w:t>e signature du présent accord</w:t>
      </w:r>
      <w:r w:rsidR="00763C29" w:rsidRPr="00A8370C">
        <w:rPr>
          <w:rFonts w:asciiTheme="majorHAnsi" w:hAnsiTheme="majorHAnsi"/>
        </w:rPr>
        <w:t xml:space="preserve">, </w:t>
      </w:r>
      <w:r w:rsidR="006F5693">
        <w:rPr>
          <w:rFonts w:asciiTheme="majorHAnsi" w:hAnsiTheme="majorHAnsi"/>
        </w:rPr>
        <w:t>trois collaboratrice</w:t>
      </w:r>
      <w:r w:rsidRPr="00A8370C">
        <w:rPr>
          <w:rFonts w:asciiTheme="majorHAnsi" w:hAnsiTheme="majorHAnsi"/>
        </w:rPr>
        <w:t>s sont titulaires d’un CDI à temps partiel.</w:t>
      </w:r>
    </w:p>
    <w:p w14:paraId="6E19817E" w14:textId="5D205E5A" w:rsidP="00FE054B" w:rsidR="00BB3C69" w:rsidRDefault="00C75F28" w:rsidRPr="002A0BE6">
      <w:pPr>
        <w:spacing w:after="0" w:line="240" w:lineRule="auto"/>
        <w:jc w:val="both"/>
        <w:rPr>
          <w:rFonts w:asciiTheme="majorHAnsi" w:hAnsiTheme="majorHAnsi"/>
        </w:rPr>
      </w:pPr>
      <w:r>
        <w:rPr>
          <w:rFonts w:asciiTheme="majorHAnsi" w:hAnsiTheme="majorHAnsi"/>
        </w:rPr>
        <w:t>D</w:t>
      </w:r>
      <w:r w:rsidR="00BB3C69" w:rsidRPr="002A0BE6">
        <w:rPr>
          <w:rFonts w:asciiTheme="majorHAnsi" w:hAnsiTheme="majorHAnsi"/>
        </w:rPr>
        <w:t>ans tous les cas</w:t>
      </w:r>
      <w:r w:rsidR="00FC2502" w:rsidRPr="002A0BE6">
        <w:rPr>
          <w:rFonts w:asciiTheme="majorHAnsi" w:hAnsiTheme="majorHAnsi"/>
        </w:rPr>
        <w:t>,</w:t>
      </w:r>
      <w:r w:rsidR="00BB3C69" w:rsidRPr="002A0BE6">
        <w:rPr>
          <w:rFonts w:asciiTheme="majorHAnsi" w:hAnsiTheme="majorHAnsi"/>
        </w:rPr>
        <w:t xml:space="preserve"> il s’agit de temps partiels choisis par les </w:t>
      </w:r>
      <w:r>
        <w:rPr>
          <w:rFonts w:asciiTheme="majorHAnsi" w:hAnsiTheme="majorHAnsi"/>
        </w:rPr>
        <w:t>collaboratrices.</w:t>
      </w:r>
    </w:p>
    <w:p w14:paraId="3550DB80" w14:textId="6C4849A2" w:rsidP="00264D06" w:rsidR="00B84EB6" w:rsidRDefault="0031018B" w:rsidRPr="002A0BE6">
      <w:pPr>
        <w:pStyle w:val="Titre2"/>
        <w:rPr>
          <w:rFonts w:asciiTheme="majorHAnsi" w:hAnsiTheme="majorHAnsi"/>
          <w:color w:themeColor="accent1" w:themeShade="BF" w:val="2E74B5"/>
        </w:rPr>
      </w:pPr>
      <w:bookmarkStart w:id="11" w:name="_Toc121503549"/>
      <w:r w:rsidRPr="002A0BE6">
        <w:rPr>
          <w:rFonts w:asciiTheme="majorHAnsi" w:hAnsiTheme="majorHAnsi"/>
          <w:color w:themeColor="accent1" w:themeShade="BF" w:val="2E74B5"/>
        </w:rPr>
        <w:t>Article</w:t>
      </w:r>
      <w:r w:rsidR="008C07D9" w:rsidRPr="002A0BE6">
        <w:rPr>
          <w:rFonts w:asciiTheme="majorHAnsi" w:hAnsiTheme="majorHAnsi"/>
          <w:color w:themeColor="accent1" w:themeShade="BF" w:val="2E74B5"/>
        </w:rPr>
        <w:t xml:space="preserve"> 4</w:t>
      </w:r>
      <w:r w:rsidR="00BB3C69" w:rsidRPr="002A0BE6">
        <w:rPr>
          <w:rFonts w:asciiTheme="majorHAnsi" w:hAnsiTheme="majorHAnsi"/>
          <w:color w:themeColor="accent1" w:themeShade="BF" w:val="2E74B5"/>
        </w:rPr>
        <w:t>.2</w:t>
      </w:r>
      <w:r w:rsidR="00A536FC" w:rsidRPr="002A0BE6">
        <w:rPr>
          <w:rFonts w:asciiTheme="majorHAnsi" w:hAnsiTheme="majorHAnsi"/>
          <w:color w:themeColor="accent1" w:themeShade="BF" w:val="2E74B5"/>
        </w:rPr>
        <w:t xml:space="preserve"> : </w:t>
      </w:r>
      <w:r w:rsidR="00DD5A18" w:rsidRPr="002A0BE6">
        <w:rPr>
          <w:rFonts w:asciiTheme="majorHAnsi" w:hAnsiTheme="majorHAnsi"/>
          <w:color w:themeColor="accent1" w:themeShade="BF" w:val="2E74B5"/>
        </w:rPr>
        <w:t>Extension du forfait jour aux cadres autonomes non intégrés à une équipe</w:t>
      </w:r>
      <w:bookmarkEnd w:id="11"/>
    </w:p>
    <w:p w14:paraId="29965C19" w14:textId="6F9777E9" w:rsidP="00FE054B" w:rsidR="00B84EB6" w:rsidRDefault="00CF6082" w:rsidRPr="002A0BE6">
      <w:pPr>
        <w:spacing w:after="0" w:line="240" w:lineRule="auto"/>
        <w:jc w:val="both"/>
        <w:rPr>
          <w:rFonts w:asciiTheme="majorHAnsi" w:hAnsiTheme="majorHAnsi"/>
        </w:rPr>
      </w:pPr>
      <w:r w:rsidRPr="002A0BE6">
        <w:rPr>
          <w:rFonts w:asciiTheme="majorHAnsi" w:hAnsiTheme="majorHAnsi"/>
        </w:rPr>
        <w:t>L</w:t>
      </w:r>
      <w:r w:rsidR="00DD5A18" w:rsidRPr="002A0BE6">
        <w:rPr>
          <w:rFonts w:asciiTheme="majorHAnsi" w:hAnsiTheme="majorHAnsi"/>
        </w:rPr>
        <w:t xml:space="preserve">’extension du forfait jours aux cadres autonomes non intégrés à une équipe est </w:t>
      </w:r>
      <w:bookmarkStart w:id="12" w:name="_Hlk54622103"/>
      <w:r w:rsidRPr="002A0BE6">
        <w:rPr>
          <w:rFonts w:asciiTheme="majorHAnsi" w:hAnsiTheme="majorHAnsi"/>
        </w:rPr>
        <w:t>régit par l’accord</w:t>
      </w:r>
      <w:r w:rsidR="0088071D" w:rsidRPr="002A0BE6">
        <w:rPr>
          <w:rFonts w:asciiTheme="majorHAnsi" w:hAnsiTheme="majorHAnsi"/>
        </w:rPr>
        <w:t xml:space="preserve"> du 18 décembre 2019 élargit aux responsables de services par accord du 22 décembre 2020.</w:t>
      </w:r>
    </w:p>
    <w:p w14:paraId="0857FE2E" w14:textId="3A8D6C47" w:rsidP="00264D06" w:rsidR="00512EF0" w:rsidRDefault="00B46547" w:rsidRPr="002A0BE6">
      <w:pPr>
        <w:pStyle w:val="Titre2"/>
        <w:rPr>
          <w:rFonts w:asciiTheme="majorHAnsi" w:hAnsiTheme="majorHAnsi"/>
          <w:color w:themeColor="accent1" w:themeShade="BF" w:val="2E74B5"/>
        </w:rPr>
      </w:pPr>
      <w:bookmarkStart w:id="13" w:name="_Toc121503550"/>
      <w:bookmarkEnd w:id="12"/>
      <w:r w:rsidRPr="002A0BE6">
        <w:rPr>
          <w:rFonts w:asciiTheme="majorHAnsi" w:hAnsiTheme="majorHAnsi"/>
          <w:color w:themeColor="accent1" w:themeShade="BF" w:val="2E74B5"/>
        </w:rPr>
        <w:t>Article 4.3 : Compte Epargne Temps</w:t>
      </w:r>
      <w:bookmarkEnd w:id="13"/>
    </w:p>
    <w:p w14:paraId="065A280C" w14:textId="3E06B0FF" w:rsidP="00B46547" w:rsidR="00B46547" w:rsidRDefault="00B46547">
      <w:pPr>
        <w:spacing w:after="0" w:line="240" w:lineRule="auto"/>
        <w:jc w:val="both"/>
        <w:rPr>
          <w:rFonts w:asciiTheme="majorHAnsi" w:hAnsiTheme="majorHAnsi"/>
          <w:lang w:eastAsia="fr-FR"/>
        </w:rPr>
      </w:pPr>
      <w:r w:rsidRPr="002A0BE6">
        <w:rPr>
          <w:rFonts w:asciiTheme="majorHAnsi" w:hAnsiTheme="majorHAnsi"/>
          <w:lang w:eastAsia="fr-FR"/>
        </w:rPr>
        <w:t xml:space="preserve">La mise en place d’un compte Epargne temps est </w:t>
      </w:r>
      <w:r w:rsidR="00CF6082" w:rsidRPr="002A0BE6">
        <w:rPr>
          <w:rFonts w:asciiTheme="majorHAnsi" w:hAnsiTheme="majorHAnsi"/>
          <w:lang w:eastAsia="fr-FR"/>
        </w:rPr>
        <w:t>effective depuis un accord du 22 décembre 2020.</w:t>
      </w:r>
    </w:p>
    <w:p w14:paraId="32BEEF0C" w14:textId="52EF1F37" w:rsidP="00264D06" w:rsidR="00B84EB6" w:rsidRDefault="00BB3C69" w:rsidRPr="0067235C">
      <w:pPr>
        <w:pStyle w:val="Titre2"/>
        <w:rPr>
          <w:rFonts w:asciiTheme="majorHAnsi" w:hAnsiTheme="majorHAnsi"/>
          <w:color w:themeColor="accent1" w:themeShade="BF" w:val="2E74B5"/>
        </w:rPr>
      </w:pPr>
      <w:bookmarkStart w:id="14" w:name="_Toc121503551"/>
      <w:r w:rsidRPr="0067235C">
        <w:rPr>
          <w:rFonts w:asciiTheme="majorHAnsi" w:hAnsiTheme="majorHAnsi"/>
          <w:color w:themeColor="accent1" w:themeShade="BF" w:val="2E74B5"/>
        </w:rPr>
        <w:t>Article 4.</w:t>
      </w:r>
      <w:r w:rsidR="00B46547" w:rsidRPr="0067235C">
        <w:rPr>
          <w:rFonts w:asciiTheme="majorHAnsi" w:hAnsiTheme="majorHAnsi"/>
          <w:color w:themeColor="accent1" w:themeShade="BF" w:val="2E74B5"/>
        </w:rPr>
        <w:t>4</w:t>
      </w:r>
      <w:r w:rsidR="00A536FC" w:rsidRPr="0067235C">
        <w:rPr>
          <w:rFonts w:asciiTheme="majorHAnsi" w:hAnsiTheme="majorHAnsi"/>
          <w:color w:themeColor="accent1" w:themeShade="BF" w:val="2E74B5"/>
        </w:rPr>
        <w:t> : Astreinte</w:t>
      </w:r>
      <w:bookmarkEnd w:id="14"/>
    </w:p>
    <w:p w14:paraId="396D81F6" w14:textId="04156289" w:rsidP="00C479F4" w:rsidR="00B84EB6" w:rsidRDefault="00062720" w:rsidRPr="003D3F8A">
      <w:pPr>
        <w:jc w:val="both"/>
        <w:rPr>
          <w:rFonts w:asciiTheme="majorHAnsi" w:hAnsiTheme="majorHAnsi"/>
        </w:rPr>
      </w:pPr>
      <w:r>
        <w:rPr>
          <w:rFonts w:asciiTheme="majorHAnsi" w:hAnsiTheme="majorHAnsi"/>
        </w:rPr>
        <w:t>Les astreintes sont régies par un accord du 19 février 2021.</w:t>
      </w:r>
    </w:p>
    <w:p w14:paraId="0AEA4DEA" w14:textId="77777777" w:rsidP="00B64DB0" w:rsidR="00B84EB6" w:rsidRDefault="00354CCE" w:rsidRPr="0067235C">
      <w:pPr>
        <w:pStyle w:val="Titre1"/>
        <w:rPr>
          <w:rFonts w:asciiTheme="majorHAnsi" w:hAnsiTheme="majorHAnsi"/>
          <w:color w:themeColor="accent1" w:themeShade="BF" w:val="2E74B5"/>
          <w:sz w:val="22"/>
          <w:szCs w:val="22"/>
          <w:u w:val="none"/>
        </w:rPr>
      </w:pPr>
      <w:bookmarkStart w:id="15" w:name="_Toc121503552"/>
      <w:r w:rsidRPr="0067235C">
        <w:rPr>
          <w:rFonts w:asciiTheme="majorHAnsi" w:hAnsiTheme="majorHAnsi"/>
          <w:color w:themeColor="accent1" w:themeShade="BF" w:val="2E74B5"/>
          <w:sz w:val="22"/>
          <w:szCs w:val="22"/>
          <w:u w:val="none"/>
        </w:rPr>
        <w:t xml:space="preserve">CHAPITRE II </w:t>
      </w:r>
      <w:r w:rsidR="00EE447E" w:rsidRPr="0067235C">
        <w:rPr>
          <w:rFonts w:asciiTheme="majorHAnsi" w:hAnsiTheme="majorHAnsi"/>
          <w:color w:themeColor="accent1" w:themeShade="BF" w:val="2E74B5"/>
          <w:sz w:val="22"/>
          <w:szCs w:val="22"/>
          <w:u w:val="none"/>
        </w:rPr>
        <w:t xml:space="preserve">- </w:t>
      </w:r>
      <w:r w:rsidR="005856F7" w:rsidRPr="0067235C">
        <w:rPr>
          <w:rFonts w:asciiTheme="majorHAnsi" w:hAnsiTheme="majorHAnsi"/>
          <w:color w:themeColor="accent1" w:themeShade="BF" w:val="2E74B5"/>
          <w:sz w:val="22"/>
          <w:szCs w:val="22"/>
          <w:u w:val="none"/>
        </w:rPr>
        <w:t>É</w:t>
      </w:r>
      <w:r w:rsidR="00B84EB6" w:rsidRPr="0067235C">
        <w:rPr>
          <w:rFonts w:asciiTheme="majorHAnsi" w:hAnsiTheme="majorHAnsi"/>
          <w:color w:themeColor="accent1" w:themeShade="BF" w:val="2E74B5"/>
          <w:sz w:val="22"/>
          <w:szCs w:val="22"/>
          <w:u w:val="none"/>
        </w:rPr>
        <w:t>galité professionnelle e</w:t>
      </w:r>
      <w:r w:rsidR="005856F7" w:rsidRPr="0067235C">
        <w:rPr>
          <w:rFonts w:asciiTheme="majorHAnsi" w:hAnsiTheme="majorHAnsi"/>
          <w:color w:themeColor="accent1" w:themeShade="BF" w:val="2E74B5"/>
          <w:sz w:val="22"/>
          <w:szCs w:val="22"/>
          <w:u w:val="none"/>
        </w:rPr>
        <w:t xml:space="preserve">t </w:t>
      </w:r>
      <w:r w:rsidR="00BA1300" w:rsidRPr="0067235C">
        <w:rPr>
          <w:rFonts w:asciiTheme="majorHAnsi" w:hAnsiTheme="majorHAnsi"/>
          <w:color w:themeColor="accent1" w:themeShade="BF" w:val="2E74B5"/>
          <w:sz w:val="22"/>
          <w:szCs w:val="22"/>
          <w:u w:val="none"/>
        </w:rPr>
        <w:t>qualité de vie au travail</w:t>
      </w:r>
      <w:bookmarkEnd w:id="15"/>
    </w:p>
    <w:p w14:paraId="112A9DB0" w14:textId="4DCF72AF" w:rsidP="00B64DB0" w:rsidR="00B84EB6" w:rsidRDefault="00471AD9" w:rsidRPr="0067235C">
      <w:pPr>
        <w:pStyle w:val="Titre1"/>
        <w:rPr>
          <w:rFonts w:asciiTheme="majorHAnsi" w:hAnsiTheme="majorHAnsi"/>
          <w:color w:themeColor="accent1" w:themeShade="BF" w:val="2E74B5"/>
          <w:sz w:val="22"/>
          <w:szCs w:val="22"/>
          <w:u w:val="none"/>
        </w:rPr>
      </w:pPr>
      <w:bookmarkStart w:id="16" w:name="_Toc121503553"/>
      <w:r w:rsidRPr="0067235C">
        <w:rPr>
          <w:rFonts w:asciiTheme="majorHAnsi" w:hAnsiTheme="majorHAnsi"/>
          <w:color w:themeColor="accent1" w:themeShade="BF" w:val="2E74B5"/>
          <w:sz w:val="22"/>
          <w:szCs w:val="22"/>
          <w:u w:val="none"/>
        </w:rPr>
        <w:t xml:space="preserve">ARTICLE </w:t>
      </w:r>
      <w:r w:rsidR="004A4152" w:rsidRPr="0067235C">
        <w:rPr>
          <w:rFonts w:asciiTheme="majorHAnsi" w:hAnsiTheme="majorHAnsi"/>
          <w:color w:themeColor="accent1" w:themeShade="BF" w:val="2E74B5"/>
          <w:sz w:val="22"/>
          <w:szCs w:val="22"/>
          <w:u w:val="none"/>
        </w:rPr>
        <w:t>5</w:t>
      </w:r>
      <w:r w:rsidR="005856F7" w:rsidRPr="0067235C">
        <w:rPr>
          <w:rFonts w:asciiTheme="majorHAnsi" w:hAnsiTheme="majorHAnsi"/>
          <w:color w:themeColor="accent1" w:themeShade="BF" w:val="2E74B5"/>
          <w:sz w:val="22"/>
          <w:szCs w:val="22"/>
          <w:u w:val="none"/>
        </w:rPr>
        <w:t> : A</w:t>
      </w:r>
      <w:r w:rsidR="00B84EB6" w:rsidRPr="0067235C">
        <w:rPr>
          <w:rFonts w:asciiTheme="majorHAnsi" w:hAnsiTheme="majorHAnsi"/>
          <w:color w:themeColor="accent1" w:themeShade="BF" w:val="2E74B5"/>
          <w:sz w:val="22"/>
          <w:szCs w:val="22"/>
          <w:u w:val="none"/>
        </w:rPr>
        <w:t>rticulation entre la vie personn</w:t>
      </w:r>
      <w:r w:rsidR="00512EF0" w:rsidRPr="0067235C">
        <w:rPr>
          <w:rFonts w:asciiTheme="majorHAnsi" w:hAnsiTheme="majorHAnsi"/>
          <w:color w:themeColor="accent1" w:themeShade="BF" w:val="2E74B5"/>
          <w:sz w:val="22"/>
          <w:szCs w:val="22"/>
          <w:u w:val="none"/>
        </w:rPr>
        <w:t>elle et la vie professionnelle</w:t>
      </w:r>
      <w:bookmarkEnd w:id="16"/>
    </w:p>
    <w:p w14:paraId="2AF0330B" w14:textId="77777777" w:rsidP="000135BF" w:rsidR="00246FD1" w:rsidRDefault="00246FD1" w:rsidRPr="003D3F8A">
      <w:pPr>
        <w:autoSpaceDE w:val="0"/>
        <w:autoSpaceDN w:val="0"/>
        <w:adjustRightInd w:val="0"/>
        <w:spacing w:after="0" w:line="240" w:lineRule="auto"/>
        <w:jc w:val="both"/>
        <w:rPr>
          <w:rFonts w:asciiTheme="majorHAnsi" w:cs="AGaramond-Regular" w:hAnsiTheme="majorHAnsi"/>
        </w:rPr>
      </w:pPr>
      <w:r w:rsidRPr="003D3F8A">
        <w:rPr>
          <w:rFonts w:asciiTheme="majorHAnsi" w:cs="AGaramond-Regular" w:hAnsiTheme="majorHAnsi"/>
        </w:rPr>
        <w:t xml:space="preserve">Les partenaires ont dressé ensemble un état des lieux des mesures existantes au sein de l’OPAC </w:t>
      </w:r>
      <w:r w:rsidR="00763C29" w:rsidRPr="003D3F8A">
        <w:rPr>
          <w:rFonts w:asciiTheme="majorHAnsi" w:cs="AGaramond-Regular" w:hAnsiTheme="majorHAnsi"/>
        </w:rPr>
        <w:t xml:space="preserve">36 </w:t>
      </w:r>
      <w:r w:rsidRPr="003D3F8A">
        <w:rPr>
          <w:rFonts w:asciiTheme="majorHAnsi" w:cs="AGaramond-Regular" w:hAnsiTheme="majorHAnsi"/>
        </w:rPr>
        <w:t>permettant aux salariés de concilier leur activité professionnelle avec leur vie personnelle et familiale :</w:t>
      </w:r>
    </w:p>
    <w:p w14:paraId="5BE2F91F" w14:textId="77777777" w:rsidP="00C479F4" w:rsidR="000135BF" w:rsidRDefault="000135BF" w:rsidRPr="003D3F8A">
      <w:pPr>
        <w:autoSpaceDE w:val="0"/>
        <w:autoSpaceDN w:val="0"/>
        <w:adjustRightInd w:val="0"/>
        <w:spacing w:after="0" w:line="240" w:lineRule="auto"/>
        <w:jc w:val="both"/>
        <w:rPr>
          <w:rFonts w:asciiTheme="majorHAnsi" w:cs="AGaramond-Regular" w:hAnsiTheme="majorHAnsi"/>
        </w:rPr>
      </w:pPr>
    </w:p>
    <w:p w14:paraId="2D7C0915" w14:textId="1B1E74AF" w:rsidP="00FC2502" w:rsidR="00246FD1" w:rsidRDefault="00B64DB0" w:rsidRPr="00962003">
      <w:pPr>
        <w:pStyle w:val="Paragraphedeliste"/>
        <w:numPr>
          <w:ilvl w:val="0"/>
          <w:numId w:val="18"/>
        </w:numPr>
        <w:jc w:val="both"/>
        <w:rPr>
          <w:rFonts w:asciiTheme="majorHAnsi" w:cstheme="minorBidi" w:eastAsiaTheme="minorHAnsi" w:hAnsiTheme="majorHAnsi"/>
          <w:sz w:val="22"/>
          <w:szCs w:val="22"/>
          <w:lang w:eastAsia="en-US"/>
        </w:rPr>
      </w:pPr>
      <w:r w:rsidRPr="00962003">
        <w:rPr>
          <w:rFonts w:asciiTheme="majorHAnsi" w:cstheme="minorBidi" w:eastAsiaTheme="minorHAnsi" w:hAnsiTheme="majorHAnsi"/>
          <w:sz w:val="22"/>
          <w:szCs w:val="22"/>
          <w:lang w:eastAsia="en-US"/>
        </w:rPr>
        <w:t>L</w:t>
      </w:r>
      <w:r w:rsidR="00246FD1" w:rsidRPr="00962003">
        <w:rPr>
          <w:rFonts w:asciiTheme="majorHAnsi" w:cstheme="minorBidi" w:eastAsiaTheme="minorHAnsi" w:hAnsiTheme="majorHAnsi"/>
          <w:sz w:val="22"/>
          <w:szCs w:val="22"/>
          <w:lang w:eastAsia="en-US"/>
        </w:rPr>
        <w:t xml:space="preserve">e système d’horaires variables (plage fixe 9h </w:t>
      </w:r>
      <w:r w:rsidR="000855B3" w:rsidRPr="00962003">
        <w:rPr>
          <w:rFonts w:asciiTheme="majorHAnsi" w:cstheme="minorBidi" w:eastAsiaTheme="minorHAnsi" w:hAnsiTheme="majorHAnsi"/>
          <w:sz w:val="22"/>
          <w:szCs w:val="22"/>
          <w:lang w:eastAsia="en-US"/>
        </w:rPr>
        <w:t xml:space="preserve">- </w:t>
      </w:r>
      <w:r w:rsidR="00246FD1" w:rsidRPr="00962003">
        <w:rPr>
          <w:rFonts w:asciiTheme="majorHAnsi" w:cstheme="minorBidi" w:eastAsiaTheme="minorHAnsi" w:hAnsiTheme="majorHAnsi"/>
          <w:sz w:val="22"/>
          <w:szCs w:val="22"/>
          <w:lang w:eastAsia="en-US"/>
        </w:rPr>
        <w:t>11h30</w:t>
      </w:r>
      <w:r w:rsidR="000855B3" w:rsidRPr="00962003">
        <w:rPr>
          <w:rFonts w:asciiTheme="majorHAnsi" w:cstheme="minorBidi" w:eastAsiaTheme="minorHAnsi" w:hAnsiTheme="majorHAnsi"/>
          <w:sz w:val="22"/>
          <w:szCs w:val="22"/>
          <w:lang w:eastAsia="en-US"/>
        </w:rPr>
        <w:t xml:space="preserve"> /</w:t>
      </w:r>
      <w:r w:rsidR="00246FD1" w:rsidRPr="00962003">
        <w:rPr>
          <w:rFonts w:asciiTheme="majorHAnsi" w:cstheme="minorBidi" w:eastAsiaTheme="minorHAnsi" w:hAnsiTheme="majorHAnsi"/>
          <w:sz w:val="22"/>
          <w:szCs w:val="22"/>
          <w:lang w:eastAsia="en-US"/>
        </w:rPr>
        <w:t xml:space="preserve"> 14h15 </w:t>
      </w:r>
      <w:r w:rsidR="000855B3" w:rsidRPr="00962003">
        <w:rPr>
          <w:rFonts w:asciiTheme="majorHAnsi" w:cstheme="minorBidi" w:eastAsiaTheme="minorHAnsi" w:hAnsiTheme="majorHAnsi"/>
          <w:sz w:val="22"/>
          <w:szCs w:val="22"/>
          <w:lang w:eastAsia="en-US"/>
        </w:rPr>
        <w:t xml:space="preserve">- </w:t>
      </w:r>
      <w:r w:rsidR="00246FD1" w:rsidRPr="00962003">
        <w:rPr>
          <w:rFonts w:asciiTheme="majorHAnsi" w:cstheme="minorBidi" w:eastAsiaTheme="minorHAnsi" w:hAnsiTheme="majorHAnsi"/>
          <w:sz w:val="22"/>
          <w:szCs w:val="22"/>
          <w:lang w:eastAsia="en-US"/>
        </w:rPr>
        <w:t xml:space="preserve">16h45) et plage variable </w:t>
      </w:r>
      <w:r w:rsidR="0052566F" w:rsidRPr="00962003">
        <w:rPr>
          <w:rFonts w:asciiTheme="majorHAnsi" w:cstheme="minorBidi" w:eastAsiaTheme="minorHAnsi" w:hAnsiTheme="majorHAnsi"/>
          <w:sz w:val="22"/>
          <w:szCs w:val="22"/>
          <w:lang w:eastAsia="en-US"/>
        </w:rPr>
        <w:t>(</w:t>
      </w:r>
      <w:r w:rsidR="00246FD1" w:rsidRPr="00962003">
        <w:rPr>
          <w:rFonts w:asciiTheme="majorHAnsi" w:cstheme="minorBidi" w:eastAsiaTheme="minorHAnsi" w:hAnsiTheme="majorHAnsi"/>
          <w:sz w:val="22"/>
          <w:szCs w:val="22"/>
          <w:lang w:eastAsia="en-US"/>
        </w:rPr>
        <w:t>7h30</w:t>
      </w:r>
      <w:r w:rsidR="0052566F" w:rsidRPr="00962003">
        <w:rPr>
          <w:rFonts w:asciiTheme="majorHAnsi" w:cstheme="minorBidi" w:eastAsiaTheme="minorHAnsi" w:hAnsiTheme="majorHAnsi"/>
          <w:sz w:val="22"/>
          <w:szCs w:val="22"/>
          <w:lang w:eastAsia="en-US"/>
        </w:rPr>
        <w:t xml:space="preserve"> – 9h00 /</w:t>
      </w:r>
      <w:r w:rsidR="00246FD1" w:rsidRPr="00962003">
        <w:rPr>
          <w:rFonts w:asciiTheme="majorHAnsi" w:cstheme="minorBidi" w:eastAsiaTheme="minorHAnsi" w:hAnsiTheme="majorHAnsi"/>
          <w:sz w:val="22"/>
          <w:szCs w:val="22"/>
          <w:lang w:eastAsia="en-US"/>
        </w:rPr>
        <w:t xml:space="preserve"> 11h30</w:t>
      </w:r>
      <w:r w:rsidR="0052566F" w:rsidRPr="00962003">
        <w:rPr>
          <w:rFonts w:asciiTheme="majorHAnsi" w:cstheme="minorBidi" w:eastAsiaTheme="minorHAnsi" w:hAnsiTheme="majorHAnsi"/>
          <w:sz w:val="22"/>
          <w:szCs w:val="22"/>
          <w:lang w:eastAsia="en-US"/>
        </w:rPr>
        <w:t xml:space="preserve"> – 14h15 /</w:t>
      </w:r>
      <w:r w:rsidR="00246FD1" w:rsidRPr="00962003">
        <w:rPr>
          <w:rFonts w:asciiTheme="majorHAnsi" w:cstheme="minorBidi" w:eastAsiaTheme="minorHAnsi" w:hAnsiTheme="majorHAnsi"/>
          <w:sz w:val="22"/>
          <w:szCs w:val="22"/>
          <w:lang w:eastAsia="en-US"/>
        </w:rPr>
        <w:t xml:space="preserve"> 16h45 19h00) permet une souplesse dans la gestion du temps de travail des salariés</w:t>
      </w:r>
      <w:r w:rsidR="00763C29" w:rsidRPr="00962003">
        <w:rPr>
          <w:rFonts w:asciiTheme="majorHAnsi" w:cstheme="minorBidi" w:eastAsiaTheme="minorHAnsi" w:hAnsiTheme="majorHAnsi"/>
          <w:sz w:val="22"/>
          <w:szCs w:val="22"/>
          <w:lang w:eastAsia="en-US"/>
        </w:rPr>
        <w:t> ;</w:t>
      </w:r>
    </w:p>
    <w:p w14:paraId="0A7536E9" w14:textId="0357B324" w:rsidP="00FC2502" w:rsidR="00246FD1" w:rsidRDefault="00B64DB0" w:rsidRPr="003D3F8A">
      <w:pPr>
        <w:pStyle w:val="Paragraphedeliste"/>
        <w:numPr>
          <w:ilvl w:val="0"/>
          <w:numId w:val="18"/>
        </w:numPr>
        <w:jc w:val="both"/>
        <w:rPr>
          <w:rFonts w:asciiTheme="majorHAnsi" w:cstheme="minorBidi" w:eastAsiaTheme="minorHAnsi" w:hAnsiTheme="majorHAnsi"/>
          <w:sz w:val="22"/>
          <w:szCs w:val="22"/>
          <w:lang w:eastAsia="en-US"/>
        </w:rPr>
      </w:pPr>
      <w:r w:rsidRPr="003D3F8A">
        <w:rPr>
          <w:rFonts w:asciiTheme="majorHAnsi" w:cstheme="minorBidi" w:eastAsiaTheme="minorHAnsi" w:hAnsiTheme="majorHAnsi"/>
          <w:sz w:val="22"/>
          <w:szCs w:val="22"/>
          <w:lang w:eastAsia="en-US"/>
        </w:rPr>
        <w:t>L</w:t>
      </w:r>
      <w:r w:rsidR="00246FD1" w:rsidRPr="003D3F8A">
        <w:rPr>
          <w:rFonts w:asciiTheme="majorHAnsi" w:cstheme="minorBidi" w:eastAsiaTheme="minorHAnsi" w:hAnsiTheme="majorHAnsi"/>
          <w:sz w:val="22"/>
          <w:szCs w:val="22"/>
          <w:lang w:eastAsia="en-US"/>
        </w:rPr>
        <w:t>e recours au temps partiel choisi est autorisé dès lors qu’il reste compatible avec l’activité et les nécessités de service</w:t>
      </w:r>
      <w:r w:rsidR="00763C29" w:rsidRPr="003D3F8A">
        <w:rPr>
          <w:rFonts w:asciiTheme="majorHAnsi" w:cstheme="minorBidi" w:eastAsiaTheme="minorHAnsi" w:hAnsiTheme="majorHAnsi"/>
          <w:sz w:val="22"/>
          <w:szCs w:val="22"/>
          <w:lang w:eastAsia="en-US"/>
        </w:rPr>
        <w:t>.</w:t>
      </w:r>
    </w:p>
    <w:p w14:paraId="16DD3C42" w14:textId="3904F277" w:rsidP="00FC2502" w:rsidR="00B64DB0" w:rsidRDefault="00B64DB0" w:rsidRPr="003D3F8A">
      <w:pPr>
        <w:pStyle w:val="Paragraphedeliste"/>
        <w:numPr>
          <w:ilvl w:val="0"/>
          <w:numId w:val="18"/>
        </w:numPr>
        <w:jc w:val="both"/>
        <w:rPr>
          <w:rFonts w:asciiTheme="majorHAnsi" w:cstheme="minorBidi" w:eastAsiaTheme="minorHAnsi" w:hAnsiTheme="majorHAnsi"/>
          <w:sz w:val="22"/>
          <w:szCs w:val="22"/>
          <w:lang w:eastAsia="en-US"/>
        </w:rPr>
      </w:pPr>
      <w:r w:rsidRPr="003D3F8A">
        <w:rPr>
          <w:rFonts w:asciiTheme="majorHAnsi" w:cstheme="minorBidi" w:eastAsiaTheme="minorHAnsi" w:hAnsiTheme="majorHAnsi"/>
          <w:sz w:val="22"/>
          <w:szCs w:val="22"/>
          <w:lang w:eastAsia="en-US"/>
        </w:rPr>
        <w:t>L’accord relatif au télétravail du 29 mai 2020.</w:t>
      </w:r>
    </w:p>
    <w:p w14:paraId="03AF7227" w14:textId="5D3E45B4" w:rsidP="00FC2502" w:rsidR="00B64DB0" w:rsidRDefault="00B64DB0" w:rsidRPr="003D3F8A">
      <w:pPr>
        <w:pStyle w:val="Paragraphedeliste"/>
        <w:numPr>
          <w:ilvl w:val="0"/>
          <w:numId w:val="18"/>
        </w:numPr>
        <w:jc w:val="both"/>
        <w:rPr>
          <w:rFonts w:asciiTheme="majorHAnsi" w:cstheme="minorBidi" w:eastAsiaTheme="minorHAnsi" w:hAnsiTheme="majorHAnsi"/>
          <w:sz w:val="22"/>
          <w:szCs w:val="22"/>
          <w:lang w:eastAsia="en-US"/>
        </w:rPr>
      </w:pPr>
      <w:r w:rsidRPr="003D3F8A">
        <w:rPr>
          <w:rFonts w:asciiTheme="majorHAnsi" w:cstheme="minorBidi" w:eastAsiaTheme="minorHAnsi" w:hAnsiTheme="majorHAnsi"/>
          <w:sz w:val="22"/>
          <w:szCs w:val="22"/>
          <w:lang w:eastAsia="en-US"/>
        </w:rPr>
        <w:t>L’accord relatif au droit à la déconnexion du 29 mai 2020.</w:t>
      </w:r>
    </w:p>
    <w:p w14:paraId="153308E3" w14:textId="77777777" w:rsidP="00C479F4" w:rsidR="0072545E" w:rsidRDefault="0072545E" w:rsidRPr="003D3F8A">
      <w:pPr>
        <w:autoSpaceDE w:val="0"/>
        <w:autoSpaceDN w:val="0"/>
        <w:adjustRightInd w:val="0"/>
        <w:spacing w:after="0" w:line="240" w:lineRule="auto"/>
        <w:jc w:val="both"/>
        <w:rPr>
          <w:rFonts w:asciiTheme="majorHAnsi" w:cs="AGaramond-Regular" w:hAnsiTheme="majorHAnsi"/>
        </w:rPr>
      </w:pPr>
    </w:p>
    <w:p w14:paraId="61E89D3E" w14:textId="50D06684" w:rsidP="00B64DB0" w:rsidR="00986C05" w:rsidRDefault="00471AD9" w:rsidRPr="0067235C">
      <w:pPr>
        <w:pStyle w:val="Titre1"/>
        <w:rPr>
          <w:rFonts w:asciiTheme="majorHAnsi" w:hAnsiTheme="majorHAnsi"/>
          <w:color w:themeColor="accent1" w:themeShade="BF" w:val="2E74B5"/>
          <w:sz w:val="22"/>
          <w:szCs w:val="22"/>
          <w:u w:val="none"/>
        </w:rPr>
      </w:pPr>
      <w:bookmarkStart w:id="17" w:name="_Toc121503554"/>
      <w:r w:rsidRPr="0067235C">
        <w:rPr>
          <w:rFonts w:asciiTheme="majorHAnsi" w:hAnsiTheme="majorHAnsi"/>
          <w:color w:themeColor="accent1" w:themeShade="BF" w:val="2E74B5"/>
          <w:sz w:val="22"/>
          <w:szCs w:val="22"/>
          <w:u w:val="none"/>
        </w:rPr>
        <w:t xml:space="preserve">ARTICLE </w:t>
      </w:r>
      <w:r w:rsidR="004A4152" w:rsidRPr="0067235C">
        <w:rPr>
          <w:rFonts w:asciiTheme="majorHAnsi" w:hAnsiTheme="majorHAnsi"/>
          <w:color w:themeColor="accent1" w:themeShade="BF" w:val="2E74B5"/>
          <w:sz w:val="22"/>
          <w:szCs w:val="22"/>
          <w:u w:val="none"/>
        </w:rPr>
        <w:t>6</w:t>
      </w:r>
      <w:r w:rsidRPr="0067235C">
        <w:rPr>
          <w:rFonts w:asciiTheme="majorHAnsi" w:hAnsiTheme="majorHAnsi"/>
          <w:color w:themeColor="accent1" w:themeShade="BF" w:val="2E74B5"/>
          <w:sz w:val="22"/>
          <w:szCs w:val="22"/>
          <w:u w:val="none"/>
        </w:rPr>
        <w:t> </w:t>
      </w:r>
      <w:r w:rsidR="00991831" w:rsidRPr="0067235C">
        <w:rPr>
          <w:rFonts w:asciiTheme="majorHAnsi" w:hAnsiTheme="majorHAnsi"/>
          <w:color w:themeColor="accent1" w:themeShade="BF" w:val="2E74B5"/>
          <w:sz w:val="22"/>
          <w:szCs w:val="22"/>
          <w:u w:val="none"/>
        </w:rPr>
        <w:t>:</w:t>
      </w:r>
      <w:r w:rsidR="005856F7" w:rsidRPr="0067235C">
        <w:rPr>
          <w:rFonts w:asciiTheme="majorHAnsi" w:hAnsiTheme="majorHAnsi"/>
          <w:color w:themeColor="accent1" w:themeShade="BF" w:val="2E74B5"/>
          <w:sz w:val="22"/>
          <w:szCs w:val="22"/>
          <w:u w:val="none"/>
        </w:rPr>
        <w:t xml:space="preserve"> M</w:t>
      </w:r>
      <w:r w:rsidR="003D6FE9" w:rsidRPr="0067235C">
        <w:rPr>
          <w:rFonts w:asciiTheme="majorHAnsi" w:hAnsiTheme="majorHAnsi"/>
          <w:color w:themeColor="accent1" w:themeShade="BF" w:val="2E74B5"/>
          <w:sz w:val="22"/>
          <w:szCs w:val="22"/>
          <w:u w:val="none"/>
        </w:rPr>
        <w:t>aintien des cotisations à l’assurance retraite sur une base de temps complet pour des salariés tra</w:t>
      </w:r>
      <w:r w:rsidR="005856F7" w:rsidRPr="0067235C">
        <w:rPr>
          <w:rFonts w:asciiTheme="majorHAnsi" w:hAnsiTheme="majorHAnsi"/>
          <w:color w:themeColor="accent1" w:themeShade="BF" w:val="2E74B5"/>
          <w:sz w:val="22"/>
          <w:szCs w:val="22"/>
          <w:u w:val="none"/>
        </w:rPr>
        <w:t xml:space="preserve">vaillant à temps partiel et </w:t>
      </w:r>
      <w:r w:rsidR="003D6FE9" w:rsidRPr="0067235C">
        <w:rPr>
          <w:rFonts w:asciiTheme="majorHAnsi" w:hAnsiTheme="majorHAnsi"/>
          <w:color w:themeColor="accent1" w:themeShade="BF" w:val="2E74B5"/>
          <w:sz w:val="22"/>
          <w:szCs w:val="22"/>
          <w:u w:val="none"/>
        </w:rPr>
        <w:t xml:space="preserve">conditions dans lesquelles l’employeur peut prendre en </w:t>
      </w:r>
      <w:proofErr w:type="gramStart"/>
      <w:r w:rsidR="003D6FE9" w:rsidRPr="0067235C">
        <w:rPr>
          <w:rFonts w:asciiTheme="majorHAnsi" w:hAnsiTheme="majorHAnsi"/>
          <w:color w:themeColor="accent1" w:themeShade="BF" w:val="2E74B5"/>
          <w:sz w:val="22"/>
          <w:szCs w:val="22"/>
          <w:u w:val="none"/>
        </w:rPr>
        <w:t>charge  tout</w:t>
      </w:r>
      <w:proofErr w:type="gramEnd"/>
      <w:r w:rsidR="003D6FE9" w:rsidRPr="0067235C">
        <w:rPr>
          <w:rFonts w:asciiTheme="majorHAnsi" w:hAnsiTheme="majorHAnsi"/>
          <w:color w:themeColor="accent1" w:themeShade="BF" w:val="2E74B5"/>
          <w:sz w:val="22"/>
          <w:szCs w:val="22"/>
          <w:u w:val="none"/>
        </w:rPr>
        <w:t xml:space="preserve"> ou partie du supplément des cotisations</w:t>
      </w:r>
      <w:bookmarkEnd w:id="17"/>
      <w:r w:rsidR="003D6FE9" w:rsidRPr="0067235C">
        <w:rPr>
          <w:rFonts w:asciiTheme="majorHAnsi" w:hAnsiTheme="majorHAnsi"/>
          <w:color w:themeColor="accent1" w:themeShade="BF" w:val="2E74B5"/>
          <w:sz w:val="22"/>
          <w:szCs w:val="22"/>
          <w:u w:val="none"/>
        </w:rPr>
        <w:t> </w:t>
      </w:r>
    </w:p>
    <w:p w14:paraId="7B772A08" w14:textId="77777777" w:rsidP="006A733A" w:rsidR="00A85D20" w:rsidRDefault="003D6FE9">
      <w:pPr>
        <w:autoSpaceDE w:val="0"/>
        <w:autoSpaceDN w:val="0"/>
        <w:adjustRightInd w:val="0"/>
        <w:spacing w:after="0" w:line="240" w:lineRule="auto"/>
        <w:jc w:val="both"/>
        <w:rPr>
          <w:rFonts w:asciiTheme="majorHAnsi" w:cs="AGaramond-Regular" w:hAnsiTheme="majorHAnsi"/>
        </w:rPr>
      </w:pPr>
      <w:r w:rsidRPr="003D3F8A">
        <w:rPr>
          <w:rFonts w:asciiTheme="majorHAnsi" w:cs="AGaramond-Regular" w:hAnsiTheme="majorHAnsi"/>
        </w:rPr>
        <w:t>Après discussion, les partenaires sociaux n’ont pas entendu mettre en place le maintien de cotisations à l'assurance retraite sur une base de temps complet pour des salariés travaillant à temps partiel et les conditions dans lesquelles l'employeur peut prendre en charge tout ou partie du s</w:t>
      </w:r>
      <w:r w:rsidR="00763C29" w:rsidRPr="003D3F8A">
        <w:rPr>
          <w:rFonts w:asciiTheme="majorHAnsi" w:cs="AGaramond-Regular" w:hAnsiTheme="majorHAnsi"/>
        </w:rPr>
        <w:t>upplément de cotisations.</w:t>
      </w:r>
    </w:p>
    <w:p w14:paraId="28CE7612" w14:textId="246AF0A4" w:rsidP="006A733A" w:rsidR="0067235C" w:rsidRDefault="0067235C">
      <w:pPr>
        <w:autoSpaceDE w:val="0"/>
        <w:autoSpaceDN w:val="0"/>
        <w:adjustRightInd w:val="0"/>
        <w:spacing w:after="0" w:line="240" w:lineRule="auto"/>
        <w:jc w:val="both"/>
        <w:rPr>
          <w:rFonts w:asciiTheme="majorHAnsi" w:cs="AGaramond-Regular" w:hAnsiTheme="majorHAnsi"/>
        </w:rPr>
      </w:pPr>
    </w:p>
    <w:p w14:paraId="3B7A5CBD" w14:textId="77567E7C" w:rsidP="00281299" w:rsidR="003F72F5" w:rsidRDefault="00354CCE" w:rsidRPr="00281299">
      <w:pPr>
        <w:pStyle w:val="Titre1"/>
        <w:rPr>
          <w:rFonts w:asciiTheme="majorHAnsi" w:hAnsiTheme="majorHAnsi"/>
          <w:color w:themeColor="accent1" w:themeShade="BF" w:val="2E74B5"/>
          <w:sz w:val="22"/>
          <w:szCs w:val="22"/>
          <w:u w:val="none"/>
        </w:rPr>
      </w:pPr>
      <w:bookmarkStart w:id="18" w:name="_Hlk118994365"/>
      <w:bookmarkStart w:id="19" w:name="_Toc121503555"/>
      <w:r w:rsidRPr="0067235C">
        <w:rPr>
          <w:rFonts w:asciiTheme="majorHAnsi" w:hAnsiTheme="majorHAnsi"/>
          <w:color w:themeColor="accent1" w:themeShade="BF" w:val="2E74B5"/>
          <w:sz w:val="22"/>
          <w:szCs w:val="22"/>
          <w:u w:val="none"/>
        </w:rPr>
        <w:lastRenderedPageBreak/>
        <w:t xml:space="preserve">ARTICLE </w:t>
      </w:r>
      <w:r w:rsidR="004A4152" w:rsidRPr="0067235C">
        <w:rPr>
          <w:rFonts w:asciiTheme="majorHAnsi" w:hAnsiTheme="majorHAnsi"/>
          <w:color w:themeColor="accent1" w:themeShade="BF" w:val="2E74B5"/>
          <w:sz w:val="22"/>
          <w:szCs w:val="22"/>
          <w:u w:val="none"/>
        </w:rPr>
        <w:t>7</w:t>
      </w:r>
      <w:r w:rsidRPr="0067235C">
        <w:rPr>
          <w:rFonts w:asciiTheme="majorHAnsi" w:hAnsiTheme="majorHAnsi"/>
          <w:color w:themeColor="accent1" w:themeShade="BF" w:val="2E74B5"/>
          <w:sz w:val="22"/>
          <w:szCs w:val="22"/>
          <w:u w:val="none"/>
        </w:rPr>
        <w:t> </w:t>
      </w:r>
      <w:r w:rsidR="00A536FC" w:rsidRPr="0067235C">
        <w:rPr>
          <w:rFonts w:asciiTheme="majorHAnsi" w:hAnsiTheme="majorHAnsi"/>
          <w:color w:themeColor="accent1" w:themeShade="BF" w:val="2E74B5"/>
          <w:sz w:val="22"/>
          <w:szCs w:val="22"/>
          <w:u w:val="none"/>
        </w:rPr>
        <w:t>:</w:t>
      </w:r>
      <w:r w:rsidR="00BA1300" w:rsidRPr="0067235C">
        <w:rPr>
          <w:rFonts w:asciiTheme="majorHAnsi" w:hAnsiTheme="majorHAnsi"/>
          <w:color w:themeColor="accent1" w:themeShade="BF" w:val="2E74B5"/>
          <w:sz w:val="22"/>
          <w:szCs w:val="22"/>
          <w:u w:val="none"/>
        </w:rPr>
        <w:t xml:space="preserve"> </w:t>
      </w:r>
      <w:r w:rsidR="0077508B">
        <w:rPr>
          <w:rFonts w:asciiTheme="majorHAnsi" w:hAnsiTheme="majorHAnsi"/>
          <w:color w:themeColor="accent1" w:themeShade="BF" w:val="2E74B5"/>
          <w:sz w:val="22"/>
          <w:szCs w:val="22"/>
          <w:u w:val="none"/>
        </w:rPr>
        <w:t>Monétisation de la RTT</w:t>
      </w:r>
      <w:bookmarkEnd w:id="18"/>
      <w:bookmarkEnd w:id="19"/>
    </w:p>
    <w:p w14:paraId="5CA4DA83" w14:textId="77777777" w:rsidP="00DE1832" w:rsidR="00DE1832" w:rsidRDefault="00DE1832">
      <w:pPr>
        <w:shd w:color="auto" w:fill="FFFFFF" w:val="clear"/>
        <w:spacing w:after="75"/>
        <w:ind w:left="15" w:right="15"/>
        <w:jc w:val="both"/>
        <w:rPr>
          <w:rFonts w:ascii="Calibri Light" w:cs="Calibri Light" w:hAnsi="Calibri Light"/>
        </w:rPr>
      </w:pPr>
      <w:r w:rsidRPr="00DE1832">
        <w:rPr>
          <w:rFonts w:ascii="Calibri Light" w:cs="Calibri Light" w:hAnsi="Calibri Light"/>
          <w:b/>
        </w:rPr>
        <w:t xml:space="preserve">L’article 5 de la loi de finances rectificative pour 2022, </w:t>
      </w:r>
      <w:r>
        <w:rPr>
          <w:rFonts w:ascii="Calibri Light" w:cs="Calibri Light" w:hAnsi="Calibri Light"/>
        </w:rPr>
        <w:t>prévoit la possibilité pour les collaborateurs de renoncer à des jours RTT acquis au 1</w:t>
      </w:r>
      <w:r>
        <w:rPr>
          <w:rFonts w:ascii="Calibri Light" w:cs="Calibri Light" w:hAnsi="Calibri Light"/>
          <w:vertAlign w:val="superscript"/>
        </w:rPr>
        <w:t>er</w:t>
      </w:r>
      <w:r>
        <w:rPr>
          <w:rFonts w:ascii="Calibri Light" w:cs="Calibri Light" w:hAnsi="Calibri Light"/>
        </w:rPr>
        <w:t xml:space="preserve"> Janvier 2022 sur leur demande et en accord avec leur employeur.</w:t>
      </w:r>
    </w:p>
    <w:p w14:paraId="721F6E43" w14:textId="7BF8E419" w:rsidP="00DE1832" w:rsidR="004A032A" w:rsidRDefault="00DE1832">
      <w:pPr>
        <w:spacing w:after="0" w:line="240" w:lineRule="auto"/>
        <w:ind w:right="567"/>
        <w:jc w:val="center"/>
        <w:rPr>
          <w:rFonts w:asciiTheme="majorHAnsi" w:hAnsiTheme="majorHAnsi"/>
        </w:rPr>
      </w:pPr>
      <w:r w:rsidRPr="00DE1832">
        <w:rPr>
          <w:rFonts w:ascii="Calibri" w:cs="Times New Roman" w:eastAsia="Calibri" w:hAnsi="Calibri"/>
          <w:noProof/>
        </w:rPr>
        <w:drawing>
          <wp:inline distB="0" distL="0" distR="0" distT="0" wp14:anchorId="2528E89C" wp14:editId="2D70607F">
            <wp:extent cx="4358640" cy="4343400"/>
            <wp:effectExtent b="0" l="0" r="381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4343400"/>
                    </a:xfrm>
                    <a:prstGeom prst="rect">
                      <a:avLst/>
                    </a:prstGeom>
                    <a:noFill/>
                    <a:ln>
                      <a:noFill/>
                    </a:ln>
                  </pic:spPr>
                </pic:pic>
              </a:graphicData>
            </a:graphic>
          </wp:inline>
        </w:drawing>
      </w:r>
    </w:p>
    <w:p w14:paraId="2D9A4A36" w14:textId="6148760C" w:rsidP="00DE1832" w:rsidR="00DE1832" w:rsidRDefault="00DE1832">
      <w:pPr>
        <w:spacing w:after="0" w:line="240" w:lineRule="auto"/>
        <w:ind w:right="567"/>
        <w:rPr>
          <w:rFonts w:asciiTheme="majorHAnsi" w:hAnsiTheme="majorHAnsi"/>
        </w:rPr>
      </w:pPr>
    </w:p>
    <w:p w14:paraId="0228D94E" w14:textId="60785CC4" w:rsidP="005D2909" w:rsidR="005D2909" w:rsidRDefault="005D2909">
      <w:pPr>
        <w:pStyle w:val="Titre1"/>
        <w:rPr>
          <w:rFonts w:asciiTheme="majorHAnsi" w:hAnsiTheme="majorHAnsi"/>
          <w:color w:themeColor="accent1" w:themeShade="BF" w:val="2E74B5"/>
          <w:sz w:val="22"/>
          <w:szCs w:val="22"/>
          <w:u w:val="none"/>
        </w:rPr>
      </w:pPr>
      <w:bookmarkStart w:id="20" w:name="_Toc121503556"/>
      <w:bookmarkStart w:id="21" w:name="_Hlk118995139"/>
      <w:r w:rsidRPr="0067235C">
        <w:rPr>
          <w:rFonts w:asciiTheme="majorHAnsi" w:hAnsiTheme="majorHAnsi"/>
          <w:color w:themeColor="accent1" w:themeShade="BF" w:val="2E74B5"/>
          <w:sz w:val="22"/>
          <w:szCs w:val="22"/>
          <w:u w:val="none"/>
        </w:rPr>
        <w:t xml:space="preserve">ARTICLE </w:t>
      </w:r>
      <w:r w:rsidR="00962003">
        <w:rPr>
          <w:rFonts w:asciiTheme="majorHAnsi" w:hAnsiTheme="majorHAnsi"/>
          <w:color w:themeColor="accent1" w:themeShade="BF" w:val="2E74B5"/>
          <w:sz w:val="22"/>
          <w:szCs w:val="22"/>
          <w:u w:val="none"/>
        </w:rPr>
        <w:t>8</w:t>
      </w:r>
      <w:r w:rsidRPr="0067235C">
        <w:rPr>
          <w:rFonts w:asciiTheme="majorHAnsi" w:hAnsiTheme="majorHAnsi"/>
          <w:color w:themeColor="accent1" w:themeShade="BF" w:val="2E74B5"/>
          <w:sz w:val="22"/>
          <w:szCs w:val="22"/>
          <w:u w:val="none"/>
        </w:rPr>
        <w:t xml:space="preserve"> : </w:t>
      </w:r>
      <w:r>
        <w:rPr>
          <w:rFonts w:asciiTheme="majorHAnsi" w:hAnsiTheme="majorHAnsi"/>
          <w:color w:themeColor="accent1" w:themeShade="BF" w:val="2E74B5"/>
          <w:sz w:val="22"/>
          <w:szCs w:val="22"/>
          <w:u w:val="none"/>
        </w:rPr>
        <w:t>Recrutements</w:t>
      </w:r>
      <w:bookmarkEnd w:id="20"/>
      <w:r>
        <w:rPr>
          <w:rFonts w:asciiTheme="majorHAnsi" w:hAnsiTheme="majorHAnsi"/>
          <w:color w:themeColor="accent1" w:themeShade="BF" w:val="2E74B5"/>
          <w:sz w:val="22"/>
          <w:szCs w:val="22"/>
          <w:u w:val="none"/>
        </w:rPr>
        <w:t xml:space="preserve"> </w:t>
      </w:r>
    </w:p>
    <w:bookmarkEnd w:id="21"/>
    <w:p w14:paraId="17A82E66" w14:textId="4A27B446" w:rsidP="004B577A" w:rsidR="00E24146" w:rsidRDefault="009D2DB2">
      <w:pPr>
        <w:spacing w:after="0" w:line="240" w:lineRule="auto"/>
        <w:ind w:right="567"/>
        <w:jc w:val="both"/>
        <w:rPr>
          <w:rFonts w:asciiTheme="majorHAnsi" w:hAnsiTheme="majorHAnsi"/>
        </w:rPr>
      </w:pPr>
      <w:r>
        <w:rPr>
          <w:rFonts w:asciiTheme="majorHAnsi" w:hAnsiTheme="majorHAnsi"/>
        </w:rPr>
        <w:t>Au vu du contexte il est décidé qu’il n’y aura pas d’embauche sur 2023 sauf cas exceptionnels.</w:t>
      </w:r>
      <w:r w:rsidR="00E24146">
        <w:rPr>
          <w:rFonts w:asciiTheme="majorHAnsi" w:hAnsiTheme="majorHAnsi"/>
        </w:rPr>
        <w:t xml:space="preserve"> Il en est de même pour le recours au CDD et personnel intérimaire.</w:t>
      </w:r>
    </w:p>
    <w:p w14:paraId="33E58BEB" w14:textId="34F34E36" w:rsidP="004B577A" w:rsidR="00636FD8" w:rsidRDefault="009D2DB2">
      <w:pPr>
        <w:spacing w:after="0" w:line="240" w:lineRule="auto"/>
        <w:ind w:right="567"/>
        <w:jc w:val="both"/>
        <w:rPr>
          <w:rFonts w:asciiTheme="majorHAnsi" w:hAnsiTheme="majorHAnsi"/>
        </w:rPr>
      </w:pPr>
      <w:r>
        <w:rPr>
          <w:rFonts w:asciiTheme="majorHAnsi" w:hAnsiTheme="majorHAnsi"/>
        </w:rPr>
        <w:t xml:space="preserve">Cependant, la création d’un second poste de GARDIEN POLYVALENT est validée. Les gardiens en zone QPV bénéficieront d’une prime mensuelle. </w:t>
      </w:r>
    </w:p>
    <w:p w14:paraId="750C352C" w14:textId="7060C4BB" w:rsidP="004B577A" w:rsidR="00E24146" w:rsidRDefault="00E24146">
      <w:pPr>
        <w:spacing w:after="0" w:line="240" w:lineRule="auto"/>
        <w:ind w:right="567"/>
        <w:jc w:val="both"/>
        <w:rPr>
          <w:rFonts w:asciiTheme="majorHAnsi" w:hAnsiTheme="majorHAnsi"/>
        </w:rPr>
      </w:pPr>
    </w:p>
    <w:p w14:paraId="4B681B91" w14:textId="0B07AEE3" w:rsidP="004B577A" w:rsidR="00E24146" w:rsidRDefault="00E24146">
      <w:pPr>
        <w:spacing w:after="0" w:line="240" w:lineRule="auto"/>
        <w:ind w:right="567"/>
        <w:jc w:val="both"/>
        <w:rPr>
          <w:rFonts w:asciiTheme="majorHAnsi" w:hAnsiTheme="majorHAnsi"/>
        </w:rPr>
      </w:pPr>
      <w:r>
        <w:rPr>
          <w:rFonts w:asciiTheme="majorHAnsi" w:hAnsiTheme="majorHAnsi"/>
        </w:rPr>
        <w:t>Pour rappel, les heures supplémentaires doivent être validées par une demande en amont auprès du Directeur Général. Cette demande doit être exceptionnelle</w:t>
      </w:r>
      <w:r w:rsidR="00D42617">
        <w:rPr>
          <w:rFonts w:asciiTheme="majorHAnsi" w:hAnsiTheme="majorHAnsi"/>
        </w:rPr>
        <w:t>.</w:t>
      </w:r>
      <w:r w:rsidR="00182786">
        <w:rPr>
          <w:rFonts w:asciiTheme="majorHAnsi" w:hAnsiTheme="majorHAnsi"/>
        </w:rPr>
        <w:t xml:space="preserve"> </w:t>
      </w:r>
    </w:p>
    <w:p w14:paraId="4CEA66EC" w14:textId="77777777" w:rsidP="00DE1832" w:rsidR="00521B98" w:rsidRDefault="00521B98" w:rsidRPr="003D3F8A">
      <w:pPr>
        <w:spacing w:after="0" w:line="240" w:lineRule="auto"/>
        <w:ind w:right="567"/>
        <w:rPr>
          <w:rFonts w:asciiTheme="majorHAnsi" w:hAnsiTheme="majorHAnsi"/>
        </w:rPr>
      </w:pPr>
    </w:p>
    <w:p w14:paraId="3AD5EB1D" w14:textId="6327D81B" w:rsidP="00B64DB0" w:rsidR="00B84EB6" w:rsidRDefault="00354CCE" w:rsidRPr="0067235C">
      <w:pPr>
        <w:pStyle w:val="Titre1"/>
        <w:rPr>
          <w:rFonts w:asciiTheme="majorHAnsi" w:hAnsiTheme="majorHAnsi"/>
          <w:color w:themeColor="accent1" w:themeShade="BF" w:val="2E74B5"/>
          <w:sz w:val="22"/>
          <w:szCs w:val="22"/>
          <w:u w:val="none"/>
        </w:rPr>
      </w:pPr>
      <w:bookmarkStart w:id="22" w:name="_Toc121503557"/>
      <w:r w:rsidRPr="0067235C">
        <w:rPr>
          <w:rFonts w:asciiTheme="majorHAnsi" w:hAnsiTheme="majorHAnsi"/>
          <w:color w:themeColor="accent1" w:themeShade="BF" w:val="2E74B5"/>
          <w:sz w:val="22"/>
          <w:szCs w:val="22"/>
          <w:u w:val="none"/>
        </w:rPr>
        <w:t xml:space="preserve">ARTICLE </w:t>
      </w:r>
      <w:r w:rsidR="004B577A">
        <w:rPr>
          <w:rFonts w:asciiTheme="majorHAnsi" w:hAnsiTheme="majorHAnsi"/>
          <w:color w:themeColor="accent1" w:themeShade="BF" w:val="2E74B5"/>
          <w:sz w:val="22"/>
          <w:szCs w:val="22"/>
          <w:u w:val="none"/>
        </w:rPr>
        <w:t>9</w:t>
      </w:r>
      <w:r w:rsidR="00E24146">
        <w:rPr>
          <w:rFonts w:asciiTheme="majorHAnsi" w:hAnsiTheme="majorHAnsi"/>
          <w:color w:themeColor="accent1" w:themeShade="BF" w:val="2E74B5"/>
          <w:sz w:val="22"/>
          <w:szCs w:val="22"/>
          <w:u w:val="none"/>
        </w:rPr>
        <w:t xml:space="preserve"> </w:t>
      </w:r>
      <w:r w:rsidR="005856F7" w:rsidRPr="0067235C">
        <w:rPr>
          <w:rFonts w:asciiTheme="majorHAnsi" w:hAnsiTheme="majorHAnsi"/>
          <w:color w:themeColor="accent1" w:themeShade="BF" w:val="2E74B5"/>
          <w:sz w:val="22"/>
          <w:szCs w:val="22"/>
          <w:u w:val="none"/>
        </w:rPr>
        <w:t xml:space="preserve">: Objectifs et </w:t>
      </w:r>
      <w:r w:rsidR="00B84EB6" w:rsidRPr="0067235C">
        <w:rPr>
          <w:rFonts w:asciiTheme="majorHAnsi" w:hAnsiTheme="majorHAnsi"/>
          <w:color w:themeColor="accent1" w:themeShade="BF" w:val="2E74B5"/>
          <w:sz w:val="22"/>
          <w:szCs w:val="22"/>
          <w:u w:val="none"/>
        </w:rPr>
        <w:t>mesures permettant d’atteindre l’égalité professionnelle</w:t>
      </w:r>
      <w:r w:rsidR="00BA1300" w:rsidRPr="0067235C">
        <w:rPr>
          <w:rFonts w:asciiTheme="majorHAnsi" w:hAnsiTheme="majorHAnsi"/>
          <w:color w:themeColor="accent1" w:themeShade="BF" w:val="2E74B5"/>
          <w:sz w:val="22"/>
          <w:szCs w:val="22"/>
          <w:u w:val="none"/>
        </w:rPr>
        <w:t xml:space="preserve"> entre les femmes et les hommes</w:t>
      </w:r>
      <w:bookmarkEnd w:id="22"/>
      <w:r w:rsidR="00B84EB6" w:rsidRPr="0067235C">
        <w:rPr>
          <w:rFonts w:asciiTheme="majorHAnsi" w:hAnsiTheme="majorHAnsi"/>
          <w:color w:themeColor="accent1" w:themeShade="BF" w:val="2E74B5"/>
          <w:sz w:val="22"/>
          <w:szCs w:val="22"/>
          <w:u w:val="none"/>
        </w:rPr>
        <w:t xml:space="preserve"> </w:t>
      </w:r>
    </w:p>
    <w:p w14:paraId="3BA98B3B" w14:textId="77777777" w:rsidP="007435FC" w:rsidR="007435FC" w:rsidRDefault="007435FC" w:rsidRPr="003D3F8A">
      <w:pPr>
        <w:autoSpaceDE w:val="0"/>
        <w:autoSpaceDN w:val="0"/>
        <w:adjustRightInd w:val="0"/>
        <w:spacing w:after="0" w:line="240" w:lineRule="auto"/>
        <w:ind w:left="170"/>
        <w:jc w:val="both"/>
        <w:rPr>
          <w:rFonts w:asciiTheme="majorHAnsi" w:hAnsiTheme="majorHAnsi"/>
          <w:u w:val="single"/>
        </w:rPr>
      </w:pPr>
    </w:p>
    <w:p w14:paraId="724F2C26" w14:textId="22EC0916" w:rsidP="00971E8B" w:rsidR="00246FD1" w:rsidRDefault="00246FD1" w:rsidRPr="003D3F8A">
      <w:pPr>
        <w:shd w:color="auto" w:fill="FFFFFF" w:themeFill="background1" w:val="clear"/>
        <w:spacing w:after="0" w:line="240" w:lineRule="auto"/>
        <w:jc w:val="both"/>
        <w:rPr>
          <w:rFonts w:asciiTheme="majorHAnsi" w:hAnsiTheme="majorHAnsi"/>
        </w:rPr>
      </w:pPr>
      <w:r w:rsidRPr="00971E8B">
        <w:rPr>
          <w:rFonts w:asciiTheme="majorHAnsi" w:hAnsiTheme="majorHAnsi"/>
        </w:rPr>
        <w:t xml:space="preserve">Bien que les signataires n’aient jamais constaté de discrimination entre les hommes et les femmes employés à l’OPAC 36, ils restent vigilants sur l’application de l’accord collectif d’entreprise sur l’égalité professionnelle entre les hommes et les femmes, conclu le </w:t>
      </w:r>
      <w:r w:rsidR="00971E8B" w:rsidRPr="00971E8B">
        <w:rPr>
          <w:rFonts w:asciiTheme="majorHAnsi" w:hAnsiTheme="majorHAnsi"/>
        </w:rPr>
        <w:t>28</w:t>
      </w:r>
      <w:r w:rsidRPr="00971E8B">
        <w:rPr>
          <w:rFonts w:asciiTheme="majorHAnsi" w:hAnsiTheme="majorHAnsi"/>
        </w:rPr>
        <w:t xml:space="preserve"> </w:t>
      </w:r>
      <w:r w:rsidR="00971E8B" w:rsidRPr="00971E8B">
        <w:rPr>
          <w:rFonts w:asciiTheme="majorHAnsi" w:hAnsiTheme="majorHAnsi"/>
        </w:rPr>
        <w:t>janvier 2022</w:t>
      </w:r>
      <w:r w:rsidRPr="00971E8B">
        <w:rPr>
          <w:rFonts w:asciiTheme="majorHAnsi" w:hAnsiTheme="majorHAnsi"/>
        </w:rPr>
        <w:t>.</w:t>
      </w:r>
    </w:p>
    <w:p w14:paraId="1E512DF5" w14:textId="606BEAF0" w:rsidP="00B64DB0" w:rsidR="00B84EB6" w:rsidRDefault="00354CCE" w:rsidRPr="0067235C">
      <w:pPr>
        <w:pStyle w:val="Titre1"/>
        <w:rPr>
          <w:rFonts w:asciiTheme="majorHAnsi" w:hAnsiTheme="majorHAnsi"/>
          <w:color w:themeColor="accent1" w:themeShade="BF" w:val="2E74B5"/>
          <w:sz w:val="22"/>
          <w:szCs w:val="22"/>
          <w:u w:val="none"/>
        </w:rPr>
      </w:pPr>
      <w:bookmarkStart w:id="23" w:name="_Toc121503558"/>
      <w:r w:rsidRPr="0067235C">
        <w:rPr>
          <w:rFonts w:asciiTheme="majorHAnsi" w:hAnsiTheme="majorHAnsi"/>
          <w:color w:themeColor="accent1" w:themeShade="BF" w:val="2E74B5"/>
          <w:sz w:val="22"/>
          <w:szCs w:val="22"/>
          <w:u w:val="none"/>
        </w:rPr>
        <w:t xml:space="preserve">ARTICLE </w:t>
      </w:r>
      <w:r w:rsidR="00CB5D5E">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0</w:t>
      </w:r>
      <w:r w:rsidR="00910F5A" w:rsidRPr="0067235C">
        <w:rPr>
          <w:rFonts w:asciiTheme="majorHAnsi" w:hAnsiTheme="majorHAnsi"/>
          <w:color w:themeColor="accent1" w:themeShade="BF" w:val="2E74B5"/>
          <w:sz w:val="22"/>
          <w:szCs w:val="22"/>
          <w:u w:val="none"/>
        </w:rPr>
        <w:t xml:space="preserve"> </w:t>
      </w:r>
      <w:r w:rsidR="00A536FC" w:rsidRPr="0067235C">
        <w:rPr>
          <w:rFonts w:asciiTheme="majorHAnsi" w:hAnsiTheme="majorHAnsi"/>
          <w:color w:themeColor="accent1" w:themeShade="BF" w:val="2E74B5"/>
          <w:sz w:val="22"/>
          <w:szCs w:val="22"/>
          <w:u w:val="none"/>
        </w:rPr>
        <w:t>:</w:t>
      </w:r>
      <w:r w:rsidR="00910F5A" w:rsidRPr="0067235C">
        <w:rPr>
          <w:rFonts w:asciiTheme="majorHAnsi" w:hAnsiTheme="majorHAnsi"/>
          <w:color w:themeColor="accent1" w:themeShade="BF" w:val="2E74B5"/>
          <w:sz w:val="22"/>
          <w:szCs w:val="22"/>
          <w:u w:val="none"/>
        </w:rPr>
        <w:t xml:space="preserve"> </w:t>
      </w:r>
      <w:r w:rsidR="005856F7" w:rsidRPr="0067235C">
        <w:rPr>
          <w:rFonts w:asciiTheme="majorHAnsi" w:hAnsiTheme="majorHAnsi"/>
          <w:color w:themeColor="accent1" w:themeShade="BF" w:val="2E74B5"/>
          <w:sz w:val="22"/>
          <w:szCs w:val="22"/>
          <w:u w:val="none"/>
        </w:rPr>
        <w:t>M</w:t>
      </w:r>
      <w:r w:rsidR="00B84EB6" w:rsidRPr="0067235C">
        <w:rPr>
          <w:rFonts w:asciiTheme="majorHAnsi" w:hAnsiTheme="majorHAnsi"/>
          <w:color w:themeColor="accent1" w:themeShade="BF" w:val="2E74B5"/>
          <w:sz w:val="22"/>
          <w:szCs w:val="22"/>
          <w:u w:val="none"/>
        </w:rPr>
        <w:t>esures permettant de lutter contre les discriminations en matière de recrutement, d’emploi et d’accès à la formation professionnelle</w:t>
      </w:r>
      <w:bookmarkEnd w:id="23"/>
    </w:p>
    <w:p w14:paraId="2B5CD949" w14:textId="77777777" w:rsidP="00C479F4" w:rsidR="00246FD1" w:rsidRDefault="00784CE5" w:rsidRPr="003D3F8A">
      <w:pPr>
        <w:autoSpaceDE w:val="0"/>
        <w:autoSpaceDN w:val="0"/>
        <w:adjustRightInd w:val="0"/>
        <w:spacing w:after="0" w:line="240" w:lineRule="auto"/>
        <w:jc w:val="both"/>
        <w:rPr>
          <w:rFonts w:asciiTheme="majorHAnsi" w:cs="AGaramond-Regular" w:hAnsiTheme="majorHAnsi"/>
        </w:rPr>
      </w:pPr>
      <w:r w:rsidRPr="003D3F8A">
        <w:rPr>
          <w:rFonts w:asciiTheme="majorHAnsi" w:cs="AGaramond-Regular" w:hAnsiTheme="majorHAnsi"/>
        </w:rPr>
        <w:t>Il s’agit de constater que les pratiques existantes dans l’office permettent d’empêcher toute pratique discriminatoire</w:t>
      </w:r>
      <w:r w:rsidR="00960AD9" w:rsidRPr="003D3F8A">
        <w:rPr>
          <w:rFonts w:asciiTheme="majorHAnsi" w:cs="AGaramond-Regular" w:hAnsiTheme="majorHAnsi"/>
        </w:rPr>
        <w:t> :</w:t>
      </w:r>
    </w:p>
    <w:p w14:paraId="240891B9" w14:textId="77777777" w:rsidP="00C479F4" w:rsidR="00960AD9" w:rsidRDefault="00960AD9" w:rsidRPr="003D3F8A">
      <w:pPr>
        <w:autoSpaceDE w:val="0"/>
        <w:autoSpaceDN w:val="0"/>
        <w:adjustRightInd w:val="0"/>
        <w:spacing w:after="0" w:line="240" w:lineRule="auto"/>
        <w:jc w:val="both"/>
        <w:rPr>
          <w:rFonts w:asciiTheme="majorHAnsi" w:cs="AGaramond-Regular" w:hAnsiTheme="majorHAnsi"/>
        </w:rPr>
      </w:pPr>
    </w:p>
    <w:p w14:paraId="77CB35A1" w14:textId="77777777" w:rsidP="00A319DF" w:rsidR="00784CE5" w:rsidRDefault="00784CE5" w:rsidRPr="003D3F8A">
      <w:pPr>
        <w:pStyle w:val="Paragraphedeliste"/>
        <w:numPr>
          <w:ilvl w:val="0"/>
          <w:numId w:val="30"/>
        </w:numPr>
        <w:autoSpaceDE w:val="0"/>
        <w:autoSpaceDN w:val="0"/>
        <w:adjustRightInd w:val="0"/>
        <w:jc w:val="both"/>
        <w:rPr>
          <w:rFonts w:asciiTheme="majorHAnsi" w:hAnsiTheme="majorHAnsi"/>
          <w:sz w:val="22"/>
          <w:szCs w:val="22"/>
        </w:rPr>
      </w:pPr>
      <w:proofErr w:type="gramStart"/>
      <w:r w:rsidRPr="003D3F8A">
        <w:rPr>
          <w:rFonts w:asciiTheme="majorHAnsi" w:hAnsiTheme="majorHAnsi"/>
          <w:sz w:val="22"/>
          <w:szCs w:val="22"/>
        </w:rPr>
        <w:t>la</w:t>
      </w:r>
      <w:proofErr w:type="gramEnd"/>
      <w:r w:rsidRPr="003D3F8A">
        <w:rPr>
          <w:rFonts w:asciiTheme="majorHAnsi" w:hAnsiTheme="majorHAnsi"/>
          <w:sz w:val="22"/>
          <w:szCs w:val="22"/>
        </w:rPr>
        <w:t xml:space="preserve"> description des emplois à pourvoir comporte un portefeuille de compétences requises objectives et inhérentes au poste</w:t>
      </w:r>
      <w:r w:rsidR="00C73F86" w:rsidRPr="003D3F8A">
        <w:rPr>
          <w:rFonts w:asciiTheme="majorHAnsi" w:hAnsiTheme="majorHAnsi"/>
          <w:sz w:val="22"/>
          <w:szCs w:val="22"/>
        </w:rPr>
        <w:t> ;</w:t>
      </w:r>
    </w:p>
    <w:p w14:paraId="49D55002" w14:textId="77777777" w:rsidP="00A319DF" w:rsidR="00784CE5" w:rsidRDefault="00784CE5" w:rsidRPr="003D3F8A">
      <w:pPr>
        <w:pStyle w:val="Paragraphedeliste"/>
        <w:numPr>
          <w:ilvl w:val="0"/>
          <w:numId w:val="30"/>
        </w:numPr>
        <w:autoSpaceDE w:val="0"/>
        <w:autoSpaceDN w:val="0"/>
        <w:adjustRightInd w:val="0"/>
        <w:jc w:val="both"/>
        <w:rPr>
          <w:rFonts w:asciiTheme="majorHAnsi" w:hAnsiTheme="majorHAnsi"/>
          <w:sz w:val="22"/>
          <w:szCs w:val="22"/>
        </w:rPr>
      </w:pPr>
      <w:proofErr w:type="gramStart"/>
      <w:r w:rsidRPr="003D3F8A">
        <w:rPr>
          <w:rFonts w:asciiTheme="majorHAnsi" w:hAnsiTheme="majorHAnsi"/>
          <w:sz w:val="22"/>
          <w:szCs w:val="22"/>
        </w:rPr>
        <w:t>la</w:t>
      </w:r>
      <w:proofErr w:type="gramEnd"/>
      <w:r w:rsidRPr="003D3F8A">
        <w:rPr>
          <w:rFonts w:asciiTheme="majorHAnsi" w:hAnsiTheme="majorHAnsi"/>
          <w:sz w:val="22"/>
          <w:szCs w:val="22"/>
        </w:rPr>
        <w:t xml:space="preserve"> rédaction de la fiche de poste en amont permet d’objectiver les profils recherchés et de donner la priorité à la maîtrise des compétences attendues indépendamme</w:t>
      </w:r>
      <w:r w:rsidR="006703A5" w:rsidRPr="003D3F8A">
        <w:rPr>
          <w:rFonts w:asciiTheme="majorHAnsi" w:hAnsiTheme="majorHAnsi"/>
          <w:sz w:val="22"/>
          <w:szCs w:val="22"/>
        </w:rPr>
        <w:t>nt des critères de sexe</w:t>
      </w:r>
      <w:r w:rsidR="00242177" w:rsidRPr="003D3F8A">
        <w:rPr>
          <w:rFonts w:asciiTheme="majorHAnsi" w:hAnsiTheme="majorHAnsi"/>
          <w:sz w:val="22"/>
          <w:szCs w:val="22"/>
        </w:rPr>
        <w:t xml:space="preserve"> et d’âge</w:t>
      </w:r>
      <w:r w:rsidR="00C73F86" w:rsidRPr="003D3F8A">
        <w:rPr>
          <w:rFonts w:asciiTheme="majorHAnsi" w:hAnsiTheme="majorHAnsi"/>
          <w:sz w:val="22"/>
          <w:szCs w:val="22"/>
        </w:rPr>
        <w:t> ;</w:t>
      </w:r>
    </w:p>
    <w:p w14:paraId="176B3392" w14:textId="77777777" w:rsidP="00A319DF" w:rsidR="00784CE5" w:rsidRDefault="00242177" w:rsidRPr="003D3F8A">
      <w:pPr>
        <w:pStyle w:val="Paragraphedeliste"/>
        <w:numPr>
          <w:ilvl w:val="0"/>
          <w:numId w:val="30"/>
        </w:numPr>
        <w:autoSpaceDE w:val="0"/>
        <w:autoSpaceDN w:val="0"/>
        <w:adjustRightInd w:val="0"/>
        <w:jc w:val="both"/>
        <w:rPr>
          <w:rFonts w:asciiTheme="majorHAnsi" w:hAnsiTheme="majorHAnsi"/>
          <w:sz w:val="22"/>
          <w:szCs w:val="22"/>
        </w:rPr>
      </w:pPr>
      <w:proofErr w:type="gramStart"/>
      <w:r w:rsidRPr="003D3F8A">
        <w:rPr>
          <w:rFonts w:asciiTheme="majorHAnsi" w:hAnsiTheme="majorHAnsi"/>
          <w:sz w:val="22"/>
          <w:szCs w:val="22"/>
        </w:rPr>
        <w:t>la</w:t>
      </w:r>
      <w:proofErr w:type="gramEnd"/>
      <w:r w:rsidRPr="003D3F8A">
        <w:rPr>
          <w:rFonts w:asciiTheme="majorHAnsi" w:hAnsiTheme="majorHAnsi"/>
          <w:sz w:val="22"/>
          <w:szCs w:val="22"/>
        </w:rPr>
        <w:t xml:space="preserve"> </w:t>
      </w:r>
      <w:r w:rsidR="00784CE5" w:rsidRPr="003D3F8A">
        <w:rPr>
          <w:rFonts w:asciiTheme="majorHAnsi" w:hAnsiTheme="majorHAnsi"/>
          <w:sz w:val="22"/>
          <w:szCs w:val="22"/>
        </w:rPr>
        <w:t>rédaction des descriptions de poste sont orientées vers les compétences et les missions et tâches à réaliser</w:t>
      </w:r>
      <w:r w:rsidRPr="003D3F8A">
        <w:rPr>
          <w:rFonts w:asciiTheme="majorHAnsi" w:hAnsiTheme="majorHAnsi"/>
          <w:sz w:val="22"/>
          <w:szCs w:val="22"/>
        </w:rPr>
        <w:t> ;</w:t>
      </w:r>
    </w:p>
    <w:p w14:paraId="06A62F86" w14:textId="77777777" w:rsidP="00A319DF" w:rsidR="00BA1300" w:rsidRDefault="00784CE5" w:rsidRPr="003D3F8A">
      <w:pPr>
        <w:pStyle w:val="Paragraphedeliste"/>
        <w:numPr>
          <w:ilvl w:val="0"/>
          <w:numId w:val="30"/>
        </w:numPr>
        <w:autoSpaceDE w:val="0"/>
        <w:autoSpaceDN w:val="0"/>
        <w:adjustRightInd w:val="0"/>
        <w:jc w:val="both"/>
        <w:rPr>
          <w:rFonts w:asciiTheme="majorHAnsi" w:hAnsiTheme="majorHAnsi"/>
          <w:sz w:val="22"/>
          <w:szCs w:val="22"/>
        </w:rPr>
      </w:pPr>
      <w:proofErr w:type="gramStart"/>
      <w:r w:rsidRPr="003D3F8A">
        <w:rPr>
          <w:rFonts w:asciiTheme="majorHAnsi" w:hAnsiTheme="majorHAnsi"/>
          <w:sz w:val="22"/>
          <w:szCs w:val="22"/>
        </w:rPr>
        <w:t>les</w:t>
      </w:r>
      <w:proofErr w:type="gramEnd"/>
      <w:r w:rsidRPr="003D3F8A">
        <w:rPr>
          <w:rFonts w:asciiTheme="majorHAnsi" w:hAnsiTheme="majorHAnsi"/>
          <w:sz w:val="22"/>
          <w:szCs w:val="22"/>
        </w:rPr>
        <w:t xml:space="preserve"> appels à candidatures se réalis</w:t>
      </w:r>
      <w:r w:rsidR="00BA1300" w:rsidRPr="003D3F8A">
        <w:rPr>
          <w:rFonts w:asciiTheme="majorHAnsi" w:hAnsiTheme="majorHAnsi"/>
          <w:sz w:val="22"/>
          <w:szCs w:val="22"/>
        </w:rPr>
        <w:t>ent en interne et/ou en externe</w:t>
      </w:r>
      <w:r w:rsidR="00C73F86" w:rsidRPr="003D3F8A">
        <w:rPr>
          <w:rFonts w:asciiTheme="majorHAnsi" w:hAnsiTheme="majorHAnsi"/>
          <w:sz w:val="22"/>
          <w:szCs w:val="22"/>
        </w:rPr>
        <w:t>.</w:t>
      </w:r>
    </w:p>
    <w:p w14:paraId="3079E619" w14:textId="77777777" w:rsidP="00960AD9" w:rsidR="00960AD9" w:rsidRDefault="00960AD9" w:rsidRPr="003D3F8A">
      <w:pPr>
        <w:pStyle w:val="Paragraphedeliste"/>
        <w:autoSpaceDE w:val="0"/>
        <w:autoSpaceDN w:val="0"/>
        <w:adjustRightInd w:val="0"/>
        <w:jc w:val="both"/>
        <w:rPr>
          <w:rFonts w:asciiTheme="majorHAnsi" w:hAnsiTheme="majorHAnsi"/>
          <w:sz w:val="22"/>
          <w:szCs w:val="22"/>
        </w:rPr>
      </w:pPr>
    </w:p>
    <w:p w14:paraId="4F7D0C52" w14:textId="77777777" w:rsidP="00C479F4" w:rsidR="003F72F5" w:rsidRDefault="003F72F5" w:rsidRPr="003D3F8A">
      <w:pPr>
        <w:autoSpaceDE w:val="0"/>
        <w:autoSpaceDN w:val="0"/>
        <w:adjustRightInd w:val="0"/>
        <w:spacing w:after="0" w:line="240" w:lineRule="auto"/>
        <w:jc w:val="both"/>
        <w:rPr>
          <w:rFonts w:asciiTheme="majorHAnsi" w:cs="AGaramond-Regular" w:hAnsiTheme="majorHAnsi"/>
        </w:rPr>
      </w:pPr>
      <w:r w:rsidRPr="003D3F8A">
        <w:rPr>
          <w:rFonts w:asciiTheme="majorHAnsi" w:cs="AGaramond-Regular" w:hAnsiTheme="majorHAnsi"/>
        </w:rPr>
        <w:t>Par ailleurs, une procédure de recrutement et d’intégration est appliquée à l’occasion d’une arrivée dans l’office.</w:t>
      </w:r>
    </w:p>
    <w:p w14:paraId="3BB8263A" w14:textId="352398FD" w:rsidP="00B64DB0" w:rsidR="00B84EB6" w:rsidRDefault="00354CCE" w:rsidRPr="0067235C">
      <w:pPr>
        <w:pStyle w:val="Titre1"/>
        <w:rPr>
          <w:rFonts w:asciiTheme="majorHAnsi" w:hAnsiTheme="majorHAnsi"/>
          <w:color w:themeColor="accent1" w:themeShade="BF" w:val="2E74B5"/>
          <w:sz w:val="22"/>
          <w:szCs w:val="22"/>
          <w:u w:val="none"/>
        </w:rPr>
      </w:pPr>
      <w:bookmarkStart w:id="24" w:name="_Toc121503559"/>
      <w:r w:rsidRPr="0067235C">
        <w:rPr>
          <w:rFonts w:asciiTheme="majorHAnsi" w:hAnsiTheme="majorHAnsi"/>
          <w:color w:themeColor="accent1" w:themeShade="BF" w:val="2E74B5"/>
          <w:sz w:val="22"/>
          <w:szCs w:val="22"/>
          <w:u w:val="none"/>
        </w:rPr>
        <w:t xml:space="preserve">ARTICLE </w:t>
      </w:r>
      <w:r w:rsidR="004A4152" w:rsidRPr="0067235C">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1</w:t>
      </w:r>
      <w:r w:rsidRPr="0067235C">
        <w:rPr>
          <w:rFonts w:asciiTheme="majorHAnsi" w:hAnsiTheme="majorHAnsi"/>
          <w:color w:themeColor="accent1" w:themeShade="BF" w:val="2E74B5"/>
          <w:sz w:val="22"/>
          <w:szCs w:val="22"/>
          <w:u w:val="none"/>
        </w:rPr>
        <w:t xml:space="preserve"> </w:t>
      </w:r>
      <w:r w:rsidR="005856F7" w:rsidRPr="0067235C">
        <w:rPr>
          <w:rFonts w:asciiTheme="majorHAnsi" w:hAnsiTheme="majorHAnsi"/>
          <w:color w:themeColor="accent1" w:themeShade="BF" w:val="2E74B5"/>
          <w:sz w:val="22"/>
          <w:szCs w:val="22"/>
          <w:u w:val="none"/>
        </w:rPr>
        <w:t>: M</w:t>
      </w:r>
      <w:r w:rsidR="00B84EB6" w:rsidRPr="0067235C">
        <w:rPr>
          <w:rFonts w:asciiTheme="majorHAnsi" w:hAnsiTheme="majorHAnsi"/>
          <w:color w:themeColor="accent1" w:themeShade="BF" w:val="2E74B5"/>
          <w:sz w:val="22"/>
          <w:szCs w:val="22"/>
          <w:u w:val="none"/>
        </w:rPr>
        <w:t>esures relatives à l’insertion professionnelle et au maintien dans l’emploi des travailleurs handicapés</w:t>
      </w:r>
      <w:bookmarkEnd w:id="24"/>
      <w:r w:rsidR="00B84EB6" w:rsidRPr="0067235C">
        <w:rPr>
          <w:rFonts w:asciiTheme="majorHAnsi" w:hAnsiTheme="majorHAnsi"/>
          <w:color w:themeColor="accent1" w:themeShade="BF" w:val="2E74B5"/>
          <w:sz w:val="22"/>
          <w:szCs w:val="22"/>
          <w:u w:val="none"/>
        </w:rPr>
        <w:t xml:space="preserve"> </w:t>
      </w:r>
    </w:p>
    <w:p w14:paraId="229F6161" w14:textId="77777777" w:rsidP="003669F9" w:rsidR="003F72F5" w:rsidRDefault="003F72F5" w:rsidRPr="003D3F8A">
      <w:pPr>
        <w:spacing w:after="0" w:line="240" w:lineRule="auto"/>
        <w:jc w:val="both"/>
        <w:rPr>
          <w:rFonts w:asciiTheme="majorHAnsi" w:hAnsiTheme="majorHAnsi"/>
        </w:rPr>
      </w:pPr>
      <w:r w:rsidRPr="003D3F8A">
        <w:rPr>
          <w:rFonts w:asciiTheme="majorHAnsi" w:hAnsiTheme="majorHAnsi"/>
        </w:rPr>
        <w:t>Les signataires ne constatent pas de discrimination envers les personnes handicapées employées à l’OPAC 36, tant en matière d’embauche, qu’en matière de rémunération et de formation professionnelle.</w:t>
      </w:r>
    </w:p>
    <w:p w14:paraId="576785B4" w14:textId="77777777" w:rsidP="003669F9" w:rsidR="00AE1220" w:rsidRDefault="00AE1220" w:rsidRPr="003D3F8A">
      <w:pPr>
        <w:spacing w:after="0" w:line="240" w:lineRule="auto"/>
        <w:jc w:val="both"/>
        <w:rPr>
          <w:rFonts w:asciiTheme="majorHAnsi" w:hAnsiTheme="majorHAnsi"/>
        </w:rPr>
      </w:pPr>
    </w:p>
    <w:p w14:paraId="39811E76" w14:textId="6F6192AC" w:rsidP="003669F9" w:rsidR="003F72F5" w:rsidRDefault="003F72F5" w:rsidRPr="00A8370C">
      <w:pPr>
        <w:spacing w:after="0" w:line="240" w:lineRule="auto"/>
        <w:jc w:val="both"/>
        <w:rPr>
          <w:rFonts w:asciiTheme="majorHAnsi" w:hAnsiTheme="majorHAnsi"/>
        </w:rPr>
      </w:pPr>
      <w:r w:rsidRPr="00A8370C">
        <w:rPr>
          <w:rFonts w:asciiTheme="majorHAnsi" w:hAnsiTheme="majorHAnsi"/>
        </w:rPr>
        <w:t>Pour la contribution 20</w:t>
      </w:r>
      <w:r w:rsidR="009E746C" w:rsidRPr="00A8370C">
        <w:rPr>
          <w:rFonts w:asciiTheme="majorHAnsi" w:hAnsiTheme="majorHAnsi"/>
        </w:rPr>
        <w:t>2</w:t>
      </w:r>
      <w:r w:rsidR="00195968" w:rsidRPr="00A8370C">
        <w:rPr>
          <w:rFonts w:asciiTheme="majorHAnsi" w:hAnsiTheme="majorHAnsi"/>
        </w:rPr>
        <w:t>2</w:t>
      </w:r>
      <w:r w:rsidRPr="00A8370C">
        <w:rPr>
          <w:rFonts w:asciiTheme="majorHAnsi" w:hAnsiTheme="majorHAnsi"/>
        </w:rPr>
        <w:t>, basée sur l’année 20</w:t>
      </w:r>
      <w:r w:rsidR="00062720" w:rsidRPr="00A8370C">
        <w:rPr>
          <w:rFonts w:asciiTheme="majorHAnsi" w:hAnsiTheme="majorHAnsi"/>
        </w:rPr>
        <w:t>2</w:t>
      </w:r>
      <w:r w:rsidR="00195968" w:rsidRPr="00A8370C">
        <w:rPr>
          <w:rFonts w:asciiTheme="majorHAnsi" w:hAnsiTheme="majorHAnsi"/>
        </w:rPr>
        <w:t>1</w:t>
      </w:r>
      <w:r w:rsidRPr="00A8370C">
        <w:rPr>
          <w:rFonts w:asciiTheme="majorHAnsi" w:hAnsiTheme="majorHAnsi"/>
        </w:rPr>
        <w:t xml:space="preserve">, l’OPAC 36 n’a pas rempli son obligation d’emploi de travailleurs handicapés (Nombre d’unités </w:t>
      </w:r>
      <w:r w:rsidRPr="00962003">
        <w:rPr>
          <w:rFonts w:asciiTheme="majorHAnsi" w:hAnsiTheme="majorHAnsi"/>
        </w:rPr>
        <w:t xml:space="preserve">manquantes : </w:t>
      </w:r>
      <w:r w:rsidR="00B7135A" w:rsidRPr="00962003">
        <w:rPr>
          <w:rFonts w:asciiTheme="majorHAnsi" w:hAnsiTheme="majorHAnsi"/>
        </w:rPr>
        <w:t>5,</w:t>
      </w:r>
      <w:proofErr w:type="gramStart"/>
      <w:r w:rsidR="00B7135A" w:rsidRPr="00962003">
        <w:rPr>
          <w:rFonts w:asciiTheme="majorHAnsi" w:hAnsiTheme="majorHAnsi"/>
        </w:rPr>
        <w:t>00</w:t>
      </w:r>
      <w:r w:rsidR="00A82AFD" w:rsidRPr="00962003">
        <w:rPr>
          <w:rFonts w:asciiTheme="majorHAnsi" w:hAnsiTheme="majorHAnsi"/>
        </w:rPr>
        <w:t xml:space="preserve"> )</w:t>
      </w:r>
      <w:proofErr w:type="gramEnd"/>
      <w:r w:rsidRPr="00A8370C">
        <w:rPr>
          <w:rFonts w:asciiTheme="majorHAnsi" w:hAnsiTheme="majorHAnsi"/>
        </w:rPr>
        <w:t xml:space="preserve"> </w:t>
      </w:r>
    </w:p>
    <w:p w14:paraId="297A6711" w14:textId="4D9B7842" w:rsidP="003669F9" w:rsidR="003F72F5" w:rsidRDefault="0029233E" w:rsidRPr="00A8370C">
      <w:pPr>
        <w:spacing w:after="0" w:line="240" w:lineRule="auto"/>
        <w:jc w:val="both"/>
        <w:rPr>
          <w:rFonts w:asciiTheme="majorHAnsi" w:hAnsiTheme="majorHAnsi"/>
        </w:rPr>
      </w:pPr>
      <w:r w:rsidRPr="00A8370C">
        <w:rPr>
          <w:rFonts w:asciiTheme="majorHAnsi" w:hAnsiTheme="majorHAnsi"/>
        </w:rPr>
        <w:t>S</w:t>
      </w:r>
      <w:r w:rsidR="003F72F5" w:rsidRPr="00A8370C">
        <w:rPr>
          <w:rFonts w:asciiTheme="majorHAnsi" w:hAnsiTheme="majorHAnsi"/>
        </w:rPr>
        <w:t xml:space="preserve">a contribution AGEFIPH s’est donc élevée </w:t>
      </w:r>
      <w:r w:rsidR="00B7135A" w:rsidRPr="00A8370C">
        <w:rPr>
          <w:rFonts w:asciiTheme="majorHAnsi" w:hAnsiTheme="majorHAnsi"/>
        </w:rPr>
        <w:t>10454.5</w:t>
      </w:r>
      <w:r w:rsidR="00DE1642" w:rsidRPr="00A8370C">
        <w:rPr>
          <w:rFonts w:asciiTheme="majorHAnsi" w:hAnsiTheme="majorHAnsi"/>
        </w:rPr>
        <w:t xml:space="preserve"> €</w:t>
      </w:r>
    </w:p>
    <w:p w14:paraId="57D0B49E" w14:textId="77777777" w:rsidP="003669F9" w:rsidR="00AE1220" w:rsidRDefault="00AE1220" w:rsidRPr="00A8370C">
      <w:pPr>
        <w:spacing w:after="0" w:line="240" w:lineRule="auto"/>
        <w:jc w:val="both"/>
        <w:rPr>
          <w:rFonts w:asciiTheme="majorHAnsi" w:hAnsiTheme="majorHAnsi"/>
        </w:rPr>
      </w:pPr>
    </w:p>
    <w:p w14:paraId="7CADE923" w14:textId="491F0072" w:rsidP="003669F9" w:rsidR="003F72F5" w:rsidRDefault="003F72F5">
      <w:pPr>
        <w:spacing w:after="0" w:line="240" w:lineRule="auto"/>
        <w:jc w:val="both"/>
        <w:rPr>
          <w:rFonts w:asciiTheme="majorHAnsi" w:hAnsiTheme="majorHAnsi"/>
        </w:rPr>
      </w:pPr>
      <w:r w:rsidRPr="00A8370C">
        <w:rPr>
          <w:rFonts w:asciiTheme="majorHAnsi" w:hAnsiTheme="majorHAnsi"/>
        </w:rPr>
        <w:t>La Direction Générale encourage le personnel susceptible de bénéficier d’une reconnaissance de travailleur handicapé à initier une démarche de déclaration afin de limiter cette contribution.</w:t>
      </w:r>
      <w:r w:rsidR="00195968" w:rsidRPr="00A8370C">
        <w:rPr>
          <w:rFonts w:asciiTheme="majorHAnsi" w:hAnsiTheme="majorHAnsi"/>
        </w:rPr>
        <w:t xml:space="preserve"> Le Service Ressources Humaine est à votre écoute afin de vous a</w:t>
      </w:r>
      <w:r w:rsidR="00A8370C">
        <w:rPr>
          <w:rFonts w:asciiTheme="majorHAnsi" w:hAnsiTheme="majorHAnsi"/>
        </w:rPr>
        <w:t>ccompagne</w:t>
      </w:r>
      <w:r w:rsidR="00C43630" w:rsidRPr="00A8370C">
        <w:rPr>
          <w:rFonts w:asciiTheme="majorHAnsi" w:hAnsiTheme="majorHAnsi"/>
        </w:rPr>
        <w:t>r</w:t>
      </w:r>
      <w:r w:rsidR="00195968" w:rsidRPr="00A8370C">
        <w:rPr>
          <w:rFonts w:asciiTheme="majorHAnsi" w:hAnsiTheme="majorHAnsi"/>
        </w:rPr>
        <w:t xml:space="preserve"> dans les différentes démarches.</w:t>
      </w:r>
      <w:r w:rsidR="00195968">
        <w:rPr>
          <w:rFonts w:asciiTheme="majorHAnsi" w:hAnsiTheme="majorHAnsi"/>
        </w:rPr>
        <w:t xml:space="preserve"> </w:t>
      </w:r>
    </w:p>
    <w:p w14:paraId="44DDB3FB" w14:textId="6966F815" w:rsidP="00B64DB0" w:rsidR="00BB3C69" w:rsidRDefault="00354CCE" w:rsidRPr="0067235C">
      <w:pPr>
        <w:pStyle w:val="Titre1"/>
        <w:rPr>
          <w:rFonts w:asciiTheme="majorHAnsi" w:hAnsiTheme="majorHAnsi"/>
          <w:color w:themeColor="accent1" w:themeShade="BF" w:val="2E74B5"/>
          <w:sz w:val="22"/>
          <w:szCs w:val="22"/>
          <w:u w:val="none"/>
        </w:rPr>
      </w:pPr>
      <w:bookmarkStart w:id="25" w:name="_Toc121503560"/>
      <w:r w:rsidRPr="0067235C">
        <w:rPr>
          <w:rFonts w:asciiTheme="majorHAnsi" w:hAnsiTheme="majorHAnsi"/>
          <w:color w:themeColor="accent1" w:themeShade="BF" w:val="2E74B5"/>
          <w:sz w:val="22"/>
          <w:szCs w:val="22"/>
          <w:u w:val="none"/>
        </w:rPr>
        <w:t xml:space="preserve">ARTICLE </w:t>
      </w:r>
      <w:r w:rsidR="004A4152" w:rsidRPr="0067235C">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2</w:t>
      </w:r>
      <w:r w:rsidR="00962003">
        <w:rPr>
          <w:rFonts w:asciiTheme="majorHAnsi" w:hAnsiTheme="majorHAnsi"/>
          <w:color w:themeColor="accent1" w:themeShade="BF" w:val="2E74B5"/>
          <w:sz w:val="22"/>
          <w:szCs w:val="22"/>
          <w:u w:val="none"/>
        </w:rPr>
        <w:t xml:space="preserve"> </w:t>
      </w:r>
      <w:r w:rsidR="00A536FC" w:rsidRPr="0067235C">
        <w:rPr>
          <w:rFonts w:asciiTheme="majorHAnsi" w:hAnsiTheme="majorHAnsi"/>
          <w:color w:themeColor="accent1" w:themeShade="BF" w:val="2E74B5"/>
          <w:sz w:val="22"/>
          <w:szCs w:val="22"/>
          <w:u w:val="none"/>
        </w:rPr>
        <w:t xml:space="preserve">: </w:t>
      </w:r>
      <w:r w:rsidR="00F80CEE" w:rsidRPr="0067235C">
        <w:rPr>
          <w:rFonts w:asciiTheme="majorHAnsi" w:hAnsiTheme="majorHAnsi"/>
          <w:color w:themeColor="accent1" w:themeShade="BF" w:val="2E74B5"/>
          <w:sz w:val="22"/>
          <w:szCs w:val="22"/>
          <w:u w:val="none"/>
        </w:rPr>
        <w:t>Emploi des se</w:t>
      </w:r>
      <w:r w:rsidR="00BB3C69" w:rsidRPr="0067235C">
        <w:rPr>
          <w:rFonts w:asciiTheme="majorHAnsi" w:hAnsiTheme="majorHAnsi"/>
          <w:color w:themeColor="accent1" w:themeShade="BF" w:val="2E74B5"/>
          <w:sz w:val="22"/>
          <w:szCs w:val="22"/>
          <w:u w:val="none"/>
        </w:rPr>
        <w:t>niors</w:t>
      </w:r>
      <w:bookmarkEnd w:id="25"/>
    </w:p>
    <w:p w14:paraId="084E75DC" w14:textId="4560FCF7" w:rsidP="003669F9" w:rsidR="00BB3C69" w:rsidRDefault="00BB3C69" w:rsidRPr="003D3F8A">
      <w:pPr>
        <w:spacing w:after="0" w:line="240" w:lineRule="auto"/>
        <w:jc w:val="both"/>
        <w:rPr>
          <w:rFonts w:asciiTheme="majorHAnsi" w:hAnsiTheme="majorHAnsi"/>
        </w:rPr>
      </w:pPr>
      <w:r w:rsidRPr="003D3F8A">
        <w:rPr>
          <w:rFonts w:asciiTheme="majorHAnsi" w:hAnsiTheme="majorHAnsi"/>
        </w:rPr>
        <w:t>Dans sa politique RSE, la Direction Générale se propose d’engager une démarche se basant sur l’accord national pour l’emploi des Seniors dans les Offices Publics de l’Habitat signé le 21 Octobre 2009 et étendu par arrêté ministériel du 29 Janvier 2010 (J.O. du 9 Février 2010), ainsi que sur l’accord nat</w:t>
      </w:r>
      <w:r w:rsidR="00C73F86" w:rsidRPr="003D3F8A">
        <w:rPr>
          <w:rFonts w:asciiTheme="majorHAnsi" w:hAnsiTheme="majorHAnsi"/>
        </w:rPr>
        <w:t>ional interprofessionnel de la q</w:t>
      </w:r>
      <w:r w:rsidRPr="003D3F8A">
        <w:rPr>
          <w:rFonts w:asciiTheme="majorHAnsi" w:hAnsiTheme="majorHAnsi"/>
        </w:rPr>
        <w:t>ualité de vie au travail du 19 Juin 2013.</w:t>
      </w:r>
    </w:p>
    <w:p w14:paraId="7EFED780" w14:textId="2017D87D" w:rsidP="00BF2FE7" w:rsidR="00BB3C69" w:rsidRDefault="00354CCE" w:rsidRPr="00A8370C">
      <w:pPr>
        <w:pStyle w:val="Titre1"/>
        <w:rPr>
          <w:rFonts w:asciiTheme="majorHAnsi" w:hAnsiTheme="majorHAnsi"/>
          <w:color w:themeColor="accent1" w:themeShade="BF" w:val="2E74B5"/>
          <w:sz w:val="22"/>
          <w:szCs w:val="22"/>
          <w:u w:val="none"/>
        </w:rPr>
      </w:pPr>
      <w:bookmarkStart w:id="26" w:name="_Toc121503561"/>
      <w:r w:rsidRPr="00A8370C">
        <w:rPr>
          <w:rFonts w:asciiTheme="majorHAnsi" w:hAnsiTheme="majorHAnsi"/>
          <w:color w:themeColor="accent1" w:themeShade="BF" w:val="2E74B5"/>
          <w:sz w:val="22"/>
          <w:szCs w:val="22"/>
          <w:u w:val="none"/>
        </w:rPr>
        <w:t xml:space="preserve">ARTICLE </w:t>
      </w:r>
      <w:r w:rsidR="004A4152" w:rsidRPr="00A8370C">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3</w:t>
      </w:r>
      <w:r w:rsidRPr="00A8370C">
        <w:rPr>
          <w:rFonts w:asciiTheme="majorHAnsi" w:hAnsiTheme="majorHAnsi"/>
          <w:color w:themeColor="accent1" w:themeShade="BF" w:val="2E74B5"/>
          <w:sz w:val="22"/>
          <w:szCs w:val="22"/>
          <w:u w:val="none"/>
        </w:rPr>
        <w:t> </w:t>
      </w:r>
      <w:r w:rsidR="00A536FC" w:rsidRPr="00A8370C">
        <w:rPr>
          <w:rFonts w:asciiTheme="majorHAnsi" w:hAnsiTheme="majorHAnsi"/>
          <w:color w:themeColor="accent1" w:themeShade="BF" w:val="2E74B5"/>
          <w:sz w:val="22"/>
          <w:szCs w:val="22"/>
          <w:u w:val="none"/>
        </w:rPr>
        <w:t>:</w:t>
      </w:r>
      <w:r w:rsidR="00BB3C69" w:rsidRPr="00A8370C">
        <w:rPr>
          <w:rFonts w:asciiTheme="majorHAnsi" w:hAnsiTheme="majorHAnsi"/>
          <w:color w:themeColor="accent1" w:themeShade="BF" w:val="2E74B5"/>
          <w:sz w:val="22"/>
          <w:szCs w:val="22"/>
          <w:u w:val="none"/>
        </w:rPr>
        <w:t xml:space="preserve"> Emplois de personnel intérimaire</w:t>
      </w:r>
      <w:bookmarkEnd w:id="26"/>
    </w:p>
    <w:p w14:paraId="119E3B9E" w14:textId="155B3D43" w:rsidP="009E746C" w:rsidR="00BB3C69" w:rsidRDefault="00564C92" w:rsidRPr="003D3F8A">
      <w:pPr>
        <w:jc w:val="both"/>
        <w:rPr>
          <w:rFonts w:asciiTheme="majorHAnsi" w:hAnsiTheme="majorHAnsi"/>
        </w:rPr>
      </w:pPr>
      <w:r w:rsidRPr="00A8370C">
        <w:rPr>
          <w:rFonts w:asciiTheme="majorHAnsi" w:hAnsiTheme="majorHAnsi"/>
        </w:rPr>
        <w:t xml:space="preserve">Au </w:t>
      </w:r>
      <w:r w:rsidR="00CF6082" w:rsidRPr="00A8370C">
        <w:rPr>
          <w:rFonts w:asciiTheme="majorHAnsi" w:hAnsiTheme="majorHAnsi"/>
        </w:rPr>
        <w:t>1</w:t>
      </w:r>
      <w:r w:rsidR="00C43630" w:rsidRPr="00A8370C">
        <w:rPr>
          <w:rFonts w:asciiTheme="majorHAnsi" w:hAnsiTheme="majorHAnsi"/>
          <w:vertAlign w:val="superscript"/>
        </w:rPr>
        <w:t>er</w:t>
      </w:r>
      <w:r w:rsidR="00C43630" w:rsidRPr="00A8370C">
        <w:rPr>
          <w:rFonts w:asciiTheme="majorHAnsi" w:hAnsiTheme="majorHAnsi"/>
        </w:rPr>
        <w:t xml:space="preserve"> </w:t>
      </w:r>
      <w:r w:rsidR="00F15912" w:rsidRPr="00A8370C">
        <w:rPr>
          <w:rFonts w:asciiTheme="majorHAnsi" w:hAnsiTheme="majorHAnsi"/>
        </w:rPr>
        <w:t>Octo</w:t>
      </w:r>
      <w:r w:rsidR="0011505F" w:rsidRPr="00A8370C">
        <w:rPr>
          <w:rFonts w:asciiTheme="majorHAnsi" w:hAnsiTheme="majorHAnsi"/>
        </w:rPr>
        <w:t>bre</w:t>
      </w:r>
      <w:r w:rsidRPr="00A8370C">
        <w:rPr>
          <w:rFonts w:asciiTheme="majorHAnsi" w:hAnsiTheme="majorHAnsi"/>
        </w:rPr>
        <w:t xml:space="preserve"> 20</w:t>
      </w:r>
      <w:r w:rsidR="00F15912" w:rsidRPr="00A8370C">
        <w:rPr>
          <w:rFonts w:asciiTheme="majorHAnsi" w:hAnsiTheme="majorHAnsi"/>
        </w:rPr>
        <w:t>2</w:t>
      </w:r>
      <w:r w:rsidR="00C43630" w:rsidRPr="00A8370C">
        <w:rPr>
          <w:rFonts w:asciiTheme="majorHAnsi" w:hAnsiTheme="majorHAnsi"/>
        </w:rPr>
        <w:t>2</w:t>
      </w:r>
      <w:r w:rsidRPr="00A8370C">
        <w:rPr>
          <w:rFonts w:asciiTheme="majorHAnsi" w:hAnsiTheme="majorHAnsi"/>
        </w:rPr>
        <w:t>, l</w:t>
      </w:r>
      <w:r w:rsidR="00BB3C69" w:rsidRPr="00A8370C">
        <w:rPr>
          <w:rFonts w:asciiTheme="majorHAnsi" w:hAnsiTheme="majorHAnsi"/>
        </w:rPr>
        <w:t>e budget pour des prestations d’intérim s’élève en 20</w:t>
      </w:r>
      <w:r w:rsidR="009E746C" w:rsidRPr="00A8370C">
        <w:rPr>
          <w:rFonts w:asciiTheme="majorHAnsi" w:hAnsiTheme="majorHAnsi"/>
        </w:rPr>
        <w:t>2</w:t>
      </w:r>
      <w:r w:rsidR="00464256" w:rsidRPr="00A8370C">
        <w:rPr>
          <w:rFonts w:asciiTheme="majorHAnsi" w:hAnsiTheme="majorHAnsi"/>
        </w:rPr>
        <w:t>2</w:t>
      </w:r>
      <w:r w:rsidR="00BB3C69" w:rsidRPr="00A8370C">
        <w:rPr>
          <w:rFonts w:asciiTheme="majorHAnsi" w:hAnsiTheme="majorHAnsi"/>
        </w:rPr>
        <w:t xml:space="preserve"> </w:t>
      </w:r>
      <w:r w:rsidR="00FC04BA" w:rsidRPr="00A8370C">
        <w:rPr>
          <w:rFonts w:asciiTheme="majorHAnsi" w:hAnsiTheme="majorHAnsi"/>
        </w:rPr>
        <w:t xml:space="preserve">à </w:t>
      </w:r>
      <w:r w:rsidR="00F53CA9" w:rsidRPr="00A8370C">
        <w:rPr>
          <w:rFonts w:ascii="MS Sans Serif" w:cs="Calibri" w:eastAsia="Times New Roman" w:hAnsi="MS Sans Serif"/>
          <w:color w:val="000000"/>
          <w:sz w:val="16"/>
          <w:szCs w:val="16"/>
          <w:lang w:eastAsia="fr-FR"/>
        </w:rPr>
        <w:t xml:space="preserve">1 130,64 </w:t>
      </w:r>
      <w:r w:rsidR="00BB3C69" w:rsidRPr="00A8370C">
        <w:rPr>
          <w:rFonts w:asciiTheme="majorHAnsi" w:hAnsiTheme="majorHAnsi"/>
        </w:rPr>
        <w:t xml:space="preserve">€ TTC. Ainsi, </w:t>
      </w:r>
      <w:r w:rsidR="00464256" w:rsidRPr="00A8370C">
        <w:rPr>
          <w:rFonts w:asciiTheme="majorHAnsi" w:hAnsiTheme="majorHAnsi"/>
        </w:rPr>
        <w:t xml:space="preserve">le </w:t>
      </w:r>
      <w:r w:rsidR="00BB3C69" w:rsidRPr="00A8370C">
        <w:rPr>
          <w:rFonts w:asciiTheme="majorHAnsi" w:hAnsiTheme="majorHAnsi"/>
        </w:rPr>
        <w:t xml:space="preserve">personnel intérimaire </w:t>
      </w:r>
      <w:r w:rsidR="00464256" w:rsidRPr="00A8370C">
        <w:rPr>
          <w:rFonts w:asciiTheme="majorHAnsi" w:hAnsiTheme="majorHAnsi"/>
        </w:rPr>
        <w:t>a</w:t>
      </w:r>
      <w:r w:rsidR="00BB3C69" w:rsidRPr="00A8370C">
        <w:rPr>
          <w:rFonts w:asciiTheme="majorHAnsi" w:hAnsiTheme="majorHAnsi"/>
        </w:rPr>
        <w:t xml:space="preserve"> pallié </w:t>
      </w:r>
      <w:r w:rsidR="00464256" w:rsidRPr="00A8370C">
        <w:rPr>
          <w:rFonts w:asciiTheme="majorHAnsi" w:hAnsiTheme="majorHAnsi"/>
        </w:rPr>
        <w:t>aux</w:t>
      </w:r>
      <w:r w:rsidR="00BB3C69" w:rsidRPr="00A8370C">
        <w:rPr>
          <w:rFonts w:asciiTheme="majorHAnsi" w:hAnsiTheme="majorHAnsi"/>
        </w:rPr>
        <w:t xml:space="preserve"> absences de salariés (maladie), et ce afin d’assurer une continuité de service.</w:t>
      </w:r>
      <w:r w:rsidR="00BB3C69" w:rsidRPr="003D3F8A">
        <w:rPr>
          <w:rFonts w:asciiTheme="majorHAnsi" w:hAnsiTheme="majorHAnsi"/>
        </w:rPr>
        <w:t xml:space="preserve"> </w:t>
      </w:r>
    </w:p>
    <w:p w14:paraId="4EF3CE17" w14:textId="1A31A9AF" w:rsidP="00B64DB0" w:rsidR="00B64DB0" w:rsidRDefault="00B64DB0" w:rsidRPr="0067235C">
      <w:pPr>
        <w:pStyle w:val="Titre1"/>
        <w:rPr>
          <w:rFonts w:asciiTheme="majorHAnsi" w:hAnsiTheme="majorHAnsi"/>
          <w:color w:themeColor="accent1" w:themeShade="BF" w:val="2E74B5"/>
          <w:sz w:val="22"/>
          <w:szCs w:val="22"/>
          <w:u w:val="none"/>
        </w:rPr>
      </w:pPr>
      <w:bookmarkStart w:id="27" w:name="_Toc121503562"/>
      <w:r w:rsidRPr="0067235C">
        <w:rPr>
          <w:rFonts w:asciiTheme="majorHAnsi" w:hAnsiTheme="majorHAnsi"/>
          <w:color w:themeColor="accent1" w:themeShade="BF" w:val="2E74B5"/>
          <w:sz w:val="22"/>
          <w:szCs w:val="22"/>
          <w:u w:val="none"/>
        </w:rPr>
        <w:t>A</w:t>
      </w:r>
      <w:r w:rsidR="00354CCE" w:rsidRPr="0067235C">
        <w:rPr>
          <w:rFonts w:asciiTheme="majorHAnsi" w:hAnsiTheme="majorHAnsi"/>
          <w:color w:themeColor="accent1" w:themeShade="BF" w:val="2E74B5"/>
          <w:sz w:val="22"/>
          <w:szCs w:val="22"/>
          <w:u w:val="none"/>
        </w:rPr>
        <w:t xml:space="preserve">RTICLE </w:t>
      </w:r>
      <w:r w:rsidR="004A4152" w:rsidRPr="0067235C">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4</w:t>
      </w:r>
      <w:r w:rsidR="00962003">
        <w:rPr>
          <w:rFonts w:asciiTheme="majorHAnsi" w:hAnsiTheme="majorHAnsi"/>
          <w:color w:themeColor="accent1" w:themeShade="BF" w:val="2E74B5"/>
          <w:sz w:val="22"/>
          <w:szCs w:val="22"/>
          <w:u w:val="none"/>
        </w:rPr>
        <w:t> :</w:t>
      </w:r>
      <w:r w:rsidR="00A536FC" w:rsidRPr="0067235C">
        <w:rPr>
          <w:rFonts w:asciiTheme="majorHAnsi" w:hAnsiTheme="majorHAnsi"/>
          <w:color w:themeColor="accent1" w:themeShade="BF" w:val="2E74B5"/>
          <w:sz w:val="22"/>
          <w:szCs w:val="22"/>
          <w:u w:val="none"/>
        </w:rPr>
        <w:t xml:space="preserve"> </w:t>
      </w:r>
      <w:r w:rsidR="005856F7" w:rsidRPr="0067235C">
        <w:rPr>
          <w:rFonts w:asciiTheme="majorHAnsi" w:hAnsiTheme="majorHAnsi"/>
          <w:color w:themeColor="accent1" w:themeShade="BF" w:val="2E74B5"/>
          <w:sz w:val="22"/>
          <w:szCs w:val="22"/>
          <w:u w:val="none"/>
        </w:rPr>
        <w:t>M</w:t>
      </w:r>
      <w:r w:rsidR="00B84EB6" w:rsidRPr="0067235C">
        <w:rPr>
          <w:rFonts w:asciiTheme="majorHAnsi" w:hAnsiTheme="majorHAnsi"/>
          <w:color w:themeColor="accent1" w:themeShade="BF" w:val="2E74B5"/>
          <w:sz w:val="22"/>
          <w:szCs w:val="22"/>
          <w:u w:val="none"/>
        </w:rPr>
        <w:t>odalités de définition d’un régime de prévoyance et, dans les conditions au moins aussi favorables que celles prévues à l’</w:t>
      </w:r>
      <w:r w:rsidR="00763C29" w:rsidRPr="0067235C">
        <w:rPr>
          <w:rFonts w:asciiTheme="majorHAnsi" w:hAnsiTheme="majorHAnsi"/>
          <w:color w:themeColor="accent1" w:themeShade="BF" w:val="2E74B5"/>
          <w:sz w:val="22"/>
          <w:szCs w:val="22"/>
          <w:u w:val="none"/>
        </w:rPr>
        <w:t>article L. 911-7 du code de la Sécurité S</w:t>
      </w:r>
      <w:r w:rsidR="00B84EB6" w:rsidRPr="0067235C">
        <w:rPr>
          <w:rFonts w:asciiTheme="majorHAnsi" w:hAnsiTheme="majorHAnsi"/>
          <w:color w:themeColor="accent1" w:themeShade="BF" w:val="2E74B5"/>
          <w:sz w:val="22"/>
          <w:szCs w:val="22"/>
          <w:u w:val="none"/>
        </w:rPr>
        <w:t>ociale, d’un régime de remboursements complémentaires de frais occasionnés par une maladie, une maternité ou un accident, à défaut de couverture par un accord de bra</w:t>
      </w:r>
      <w:r w:rsidR="00A536FC" w:rsidRPr="0067235C">
        <w:rPr>
          <w:rFonts w:asciiTheme="majorHAnsi" w:hAnsiTheme="majorHAnsi"/>
          <w:color w:themeColor="accent1" w:themeShade="BF" w:val="2E74B5"/>
          <w:sz w:val="22"/>
          <w:szCs w:val="22"/>
          <w:u w:val="none"/>
        </w:rPr>
        <w:t>nche ou un accord d’entreprise</w:t>
      </w:r>
      <w:bookmarkEnd w:id="27"/>
    </w:p>
    <w:p w14:paraId="47E9CD39" w14:textId="3D2A65CF" w:rsidP="00C479F4" w:rsidR="003F72F5" w:rsidRDefault="003F72F5">
      <w:pPr>
        <w:autoSpaceDE w:val="0"/>
        <w:autoSpaceDN w:val="0"/>
        <w:adjustRightInd w:val="0"/>
        <w:spacing w:after="0" w:line="240" w:lineRule="auto"/>
        <w:jc w:val="both"/>
        <w:rPr>
          <w:rFonts w:asciiTheme="majorHAnsi" w:hAnsiTheme="majorHAnsi"/>
        </w:rPr>
      </w:pPr>
      <w:r w:rsidRPr="003D3F8A">
        <w:rPr>
          <w:rFonts w:asciiTheme="majorHAnsi" w:hAnsiTheme="majorHAnsi"/>
        </w:rPr>
        <w:t>Il est rappelé qu’un</w:t>
      </w:r>
      <w:r w:rsidR="00AF22EE" w:rsidRPr="003D3F8A">
        <w:rPr>
          <w:rFonts w:asciiTheme="majorHAnsi" w:hAnsiTheme="majorHAnsi"/>
        </w:rPr>
        <w:t xml:space="preserve"> accord collectif portant sur le</w:t>
      </w:r>
      <w:r w:rsidRPr="003D3F8A">
        <w:rPr>
          <w:rFonts w:asciiTheme="majorHAnsi" w:hAnsiTheme="majorHAnsi"/>
        </w:rPr>
        <w:t xml:space="preserve"> régime de remboursement des frais de santé et qu’un second accord collectif portant</w:t>
      </w:r>
      <w:r w:rsidR="009E3E8C" w:rsidRPr="003D3F8A">
        <w:rPr>
          <w:rFonts w:asciiTheme="majorHAnsi" w:hAnsiTheme="majorHAnsi"/>
        </w:rPr>
        <w:t xml:space="preserve"> sur le régime de prévoyance es</w:t>
      </w:r>
      <w:r w:rsidRPr="003D3F8A">
        <w:rPr>
          <w:rFonts w:asciiTheme="majorHAnsi" w:hAnsiTheme="majorHAnsi"/>
        </w:rPr>
        <w:t>t en vigueur au sein de l’office depuis le 1</w:t>
      </w:r>
      <w:r w:rsidRPr="003D3F8A">
        <w:rPr>
          <w:rFonts w:asciiTheme="majorHAnsi" w:hAnsiTheme="majorHAnsi"/>
          <w:vertAlign w:val="superscript"/>
        </w:rPr>
        <w:t>er</w:t>
      </w:r>
      <w:r w:rsidRPr="003D3F8A">
        <w:rPr>
          <w:rFonts w:asciiTheme="majorHAnsi" w:hAnsiTheme="majorHAnsi"/>
        </w:rPr>
        <w:t xml:space="preserve"> janvier 2015.</w:t>
      </w:r>
    </w:p>
    <w:p w14:paraId="1E908ADF" w14:textId="2A2C4A3B" w:rsidP="00C479F4" w:rsidR="004B577A" w:rsidRDefault="004B577A">
      <w:pPr>
        <w:autoSpaceDE w:val="0"/>
        <w:autoSpaceDN w:val="0"/>
        <w:adjustRightInd w:val="0"/>
        <w:spacing w:after="0" w:line="240" w:lineRule="auto"/>
        <w:jc w:val="both"/>
        <w:rPr>
          <w:rFonts w:asciiTheme="majorHAnsi" w:hAnsiTheme="majorHAnsi"/>
        </w:rPr>
      </w:pPr>
    </w:p>
    <w:p w14:paraId="00287C46" w14:textId="4034AC1B" w:rsidP="00C479F4" w:rsidR="004B577A" w:rsidRDefault="004B577A">
      <w:pPr>
        <w:autoSpaceDE w:val="0"/>
        <w:autoSpaceDN w:val="0"/>
        <w:adjustRightInd w:val="0"/>
        <w:spacing w:after="0" w:line="240" w:lineRule="auto"/>
        <w:jc w:val="both"/>
        <w:rPr>
          <w:rFonts w:asciiTheme="majorHAnsi" w:hAnsiTheme="majorHAnsi"/>
        </w:rPr>
      </w:pPr>
    </w:p>
    <w:p w14:paraId="3FBB55CF" w14:textId="33D853CE" w:rsidP="00C479F4" w:rsidR="004B577A" w:rsidRDefault="004B577A">
      <w:pPr>
        <w:autoSpaceDE w:val="0"/>
        <w:autoSpaceDN w:val="0"/>
        <w:adjustRightInd w:val="0"/>
        <w:spacing w:after="0" w:line="240" w:lineRule="auto"/>
        <w:jc w:val="both"/>
        <w:rPr>
          <w:rFonts w:asciiTheme="majorHAnsi" w:hAnsiTheme="majorHAnsi"/>
        </w:rPr>
      </w:pPr>
    </w:p>
    <w:p w14:paraId="0D13E4EC" w14:textId="7CC4B02B" w:rsidP="00C479F4" w:rsidR="004B577A" w:rsidRDefault="004B577A">
      <w:pPr>
        <w:autoSpaceDE w:val="0"/>
        <w:autoSpaceDN w:val="0"/>
        <w:adjustRightInd w:val="0"/>
        <w:spacing w:after="0" w:line="240" w:lineRule="auto"/>
        <w:jc w:val="both"/>
        <w:rPr>
          <w:rFonts w:asciiTheme="majorHAnsi" w:hAnsiTheme="majorHAnsi"/>
        </w:rPr>
      </w:pPr>
    </w:p>
    <w:p w14:paraId="20A769C5" w14:textId="0EA79C1C" w:rsidP="00C479F4" w:rsidR="004B577A" w:rsidRDefault="004B577A">
      <w:pPr>
        <w:autoSpaceDE w:val="0"/>
        <w:autoSpaceDN w:val="0"/>
        <w:adjustRightInd w:val="0"/>
        <w:spacing w:after="0" w:line="240" w:lineRule="auto"/>
        <w:jc w:val="both"/>
        <w:rPr>
          <w:rFonts w:asciiTheme="majorHAnsi" w:hAnsiTheme="majorHAnsi"/>
        </w:rPr>
      </w:pPr>
    </w:p>
    <w:p w14:paraId="4F1C8E46" w14:textId="77777777" w:rsidP="00C479F4" w:rsidR="004B577A" w:rsidRDefault="004B577A" w:rsidRPr="003D3F8A">
      <w:pPr>
        <w:autoSpaceDE w:val="0"/>
        <w:autoSpaceDN w:val="0"/>
        <w:adjustRightInd w:val="0"/>
        <w:spacing w:after="0" w:line="240" w:lineRule="auto"/>
        <w:jc w:val="both"/>
        <w:rPr>
          <w:rFonts w:asciiTheme="majorHAnsi" w:hAnsiTheme="majorHAnsi"/>
        </w:rPr>
      </w:pPr>
    </w:p>
    <w:p w14:paraId="3B7E3685" w14:textId="13A1B1B0" w:rsidP="00B64DB0" w:rsidR="00B84EB6" w:rsidRDefault="00354CCE" w:rsidRPr="0067235C">
      <w:pPr>
        <w:pStyle w:val="Titre1"/>
        <w:rPr>
          <w:rFonts w:asciiTheme="majorHAnsi" w:hAnsiTheme="majorHAnsi"/>
          <w:color w:themeColor="accent1" w:themeShade="BF" w:val="2E74B5"/>
          <w:sz w:val="22"/>
          <w:szCs w:val="22"/>
          <w:u w:val="none"/>
        </w:rPr>
      </w:pPr>
      <w:bookmarkStart w:id="28" w:name="_Toc121503563"/>
      <w:r w:rsidRPr="0067235C">
        <w:rPr>
          <w:rFonts w:asciiTheme="majorHAnsi" w:hAnsiTheme="majorHAnsi"/>
          <w:color w:themeColor="accent1" w:themeShade="BF" w:val="2E74B5"/>
          <w:sz w:val="22"/>
          <w:szCs w:val="22"/>
          <w:u w:val="none"/>
        </w:rPr>
        <w:lastRenderedPageBreak/>
        <w:t>ARTICLE 1</w:t>
      </w:r>
      <w:r w:rsidR="004B577A">
        <w:rPr>
          <w:rFonts w:asciiTheme="majorHAnsi" w:hAnsiTheme="majorHAnsi"/>
          <w:color w:themeColor="accent1" w:themeShade="BF" w:val="2E74B5"/>
          <w:sz w:val="22"/>
          <w:szCs w:val="22"/>
          <w:u w:val="none"/>
        </w:rPr>
        <w:t>5</w:t>
      </w:r>
      <w:r w:rsidRPr="0067235C">
        <w:rPr>
          <w:rFonts w:asciiTheme="majorHAnsi" w:hAnsiTheme="majorHAnsi"/>
          <w:color w:themeColor="accent1" w:themeShade="BF" w:val="2E74B5"/>
          <w:sz w:val="22"/>
          <w:szCs w:val="22"/>
          <w:u w:val="none"/>
        </w:rPr>
        <w:t> </w:t>
      </w:r>
      <w:r w:rsidR="005856F7" w:rsidRPr="0067235C">
        <w:rPr>
          <w:rFonts w:asciiTheme="majorHAnsi" w:hAnsiTheme="majorHAnsi"/>
          <w:color w:themeColor="accent1" w:themeShade="BF" w:val="2E74B5"/>
          <w:sz w:val="22"/>
          <w:szCs w:val="22"/>
          <w:u w:val="none"/>
        </w:rPr>
        <w:t>: E</w:t>
      </w:r>
      <w:r w:rsidR="00B84EB6" w:rsidRPr="0067235C">
        <w:rPr>
          <w:rFonts w:asciiTheme="majorHAnsi" w:hAnsiTheme="majorHAnsi"/>
          <w:color w:themeColor="accent1" w:themeShade="BF" w:val="2E74B5"/>
          <w:sz w:val="22"/>
          <w:szCs w:val="22"/>
          <w:u w:val="none"/>
        </w:rPr>
        <w:t xml:space="preserve">xercice du droit d’expression directe </w:t>
      </w:r>
      <w:r w:rsidR="00A536FC" w:rsidRPr="0067235C">
        <w:rPr>
          <w:rFonts w:asciiTheme="majorHAnsi" w:hAnsiTheme="majorHAnsi"/>
          <w:color w:themeColor="accent1" w:themeShade="BF" w:val="2E74B5"/>
          <w:sz w:val="22"/>
          <w:szCs w:val="22"/>
          <w:u w:val="none"/>
        </w:rPr>
        <w:t>et collective des salariés</w:t>
      </w:r>
      <w:bookmarkEnd w:id="28"/>
    </w:p>
    <w:p w14:paraId="73FE6F5E" w14:textId="77777777" w:rsidP="00C479F4" w:rsidR="003F72F5" w:rsidRDefault="003F72F5" w:rsidRPr="003D3F8A">
      <w:pPr>
        <w:jc w:val="both"/>
        <w:rPr>
          <w:rFonts w:asciiTheme="majorHAnsi" w:hAnsiTheme="majorHAnsi"/>
        </w:rPr>
      </w:pPr>
      <w:r w:rsidRPr="003D3F8A">
        <w:rPr>
          <w:rFonts w:asciiTheme="majorHAnsi" w:hAnsiTheme="majorHAnsi"/>
        </w:rPr>
        <w:t>Les modalités d’expression individuelle et collective existant au sein de l’entreprise sont les suivante</w:t>
      </w:r>
      <w:r w:rsidR="002A3855" w:rsidRPr="003D3F8A">
        <w:rPr>
          <w:rFonts w:asciiTheme="majorHAnsi" w:hAnsiTheme="majorHAnsi"/>
        </w:rPr>
        <w:t>s :</w:t>
      </w:r>
    </w:p>
    <w:p w14:paraId="03036E4D" w14:textId="77777777" w:rsidP="00C479F4" w:rsidR="003F72F5" w:rsidRDefault="003F72F5" w:rsidRPr="003D3F8A">
      <w:pPr>
        <w:jc w:val="both"/>
        <w:rPr>
          <w:rFonts w:asciiTheme="majorHAnsi" w:hAnsiTheme="majorHAnsi"/>
        </w:rPr>
      </w:pPr>
      <w:r w:rsidRPr="003D3F8A">
        <w:rPr>
          <w:rFonts w:asciiTheme="majorHAnsi" w:hAnsiTheme="majorHAnsi"/>
          <w:i/>
          <w:u w:val="single"/>
        </w:rPr>
        <w:t>Sur le plan individuel</w:t>
      </w:r>
      <w:r w:rsidR="002A3855" w:rsidRPr="003D3F8A">
        <w:rPr>
          <w:rFonts w:asciiTheme="majorHAnsi" w:hAnsiTheme="majorHAnsi"/>
        </w:rPr>
        <w:t> :</w:t>
      </w:r>
    </w:p>
    <w:p w14:paraId="35AB2AE8" w14:textId="77777777" w:rsidP="00A319DF" w:rsidR="003F72F5" w:rsidRDefault="003F72F5" w:rsidRPr="003D3F8A">
      <w:pPr>
        <w:pStyle w:val="Paragraphedeliste"/>
        <w:numPr>
          <w:ilvl w:val="0"/>
          <w:numId w:val="31"/>
        </w:numPr>
        <w:jc w:val="both"/>
        <w:rPr>
          <w:rFonts w:asciiTheme="majorHAnsi" w:hAnsiTheme="majorHAnsi"/>
          <w:sz w:val="22"/>
          <w:szCs w:val="22"/>
        </w:rPr>
      </w:pPr>
      <w:r w:rsidRPr="003D3F8A">
        <w:rPr>
          <w:rFonts w:asciiTheme="majorHAnsi" w:hAnsiTheme="majorHAnsi"/>
          <w:sz w:val="22"/>
          <w:szCs w:val="22"/>
        </w:rPr>
        <w:t>Entretien annuel en collaboration avec le manager</w:t>
      </w:r>
      <w:r w:rsidR="00632288" w:rsidRPr="003D3F8A">
        <w:rPr>
          <w:rFonts w:asciiTheme="majorHAnsi" w:hAnsiTheme="majorHAnsi"/>
          <w:sz w:val="22"/>
          <w:szCs w:val="22"/>
        </w:rPr>
        <w:t> ;</w:t>
      </w:r>
    </w:p>
    <w:p w14:paraId="0299E333" w14:textId="7031C327" w:rsidP="00C479F4" w:rsidR="003F72F5" w:rsidRDefault="003F72F5" w:rsidRPr="003D3F8A">
      <w:pPr>
        <w:pStyle w:val="Paragraphedeliste"/>
        <w:numPr>
          <w:ilvl w:val="0"/>
          <w:numId w:val="31"/>
        </w:numPr>
        <w:jc w:val="both"/>
        <w:rPr>
          <w:rFonts w:asciiTheme="majorHAnsi" w:hAnsiTheme="majorHAnsi"/>
          <w:sz w:val="22"/>
          <w:szCs w:val="22"/>
        </w:rPr>
      </w:pPr>
      <w:r w:rsidRPr="003D3F8A">
        <w:rPr>
          <w:rFonts w:asciiTheme="majorHAnsi" w:hAnsiTheme="majorHAnsi"/>
          <w:sz w:val="22"/>
          <w:szCs w:val="22"/>
        </w:rPr>
        <w:t>Possibilité pour chaque collaborateur de demander à tout moment un entretien avec l</w:t>
      </w:r>
      <w:r w:rsidR="000E15E8">
        <w:rPr>
          <w:rFonts w:asciiTheme="majorHAnsi" w:hAnsiTheme="majorHAnsi"/>
          <w:sz w:val="22"/>
          <w:szCs w:val="22"/>
        </w:rPr>
        <w:t xml:space="preserve">e service </w:t>
      </w:r>
      <w:r w:rsidR="00062720">
        <w:rPr>
          <w:rFonts w:asciiTheme="majorHAnsi" w:hAnsiTheme="majorHAnsi"/>
          <w:sz w:val="22"/>
          <w:szCs w:val="22"/>
        </w:rPr>
        <w:t xml:space="preserve">des </w:t>
      </w:r>
      <w:r w:rsidRPr="003D3F8A">
        <w:rPr>
          <w:rFonts w:asciiTheme="majorHAnsi" w:hAnsiTheme="majorHAnsi"/>
          <w:sz w:val="22"/>
          <w:szCs w:val="22"/>
        </w:rPr>
        <w:t>Ressources Humaines ou la Direction Générale.</w:t>
      </w:r>
    </w:p>
    <w:p w14:paraId="64ADC8A2" w14:textId="1148D9F1" w:rsidP="00C479F4" w:rsidR="003F72F5" w:rsidRDefault="003F72F5" w:rsidRPr="003D3F8A">
      <w:pPr>
        <w:jc w:val="both"/>
        <w:rPr>
          <w:rFonts w:asciiTheme="majorHAnsi" w:hAnsiTheme="majorHAnsi"/>
        </w:rPr>
      </w:pPr>
      <w:r w:rsidRPr="003D3F8A">
        <w:rPr>
          <w:rFonts w:asciiTheme="majorHAnsi" w:hAnsiTheme="majorHAnsi"/>
          <w:i/>
          <w:u w:val="single"/>
        </w:rPr>
        <w:t>Sur le plan collectif</w:t>
      </w:r>
      <w:r w:rsidRPr="003D3F8A">
        <w:rPr>
          <w:rFonts w:asciiTheme="majorHAnsi" w:hAnsiTheme="majorHAnsi"/>
          <w:i/>
        </w:rPr>
        <w:t xml:space="preserve"> </w:t>
      </w:r>
      <w:r w:rsidR="002A3855" w:rsidRPr="003D3F8A">
        <w:rPr>
          <w:rFonts w:asciiTheme="majorHAnsi" w:hAnsiTheme="majorHAnsi"/>
        </w:rPr>
        <w:t>:</w:t>
      </w:r>
    </w:p>
    <w:p w14:paraId="0D7DBFF6" w14:textId="57DF2CF8" w:rsidP="0072545E" w:rsidR="006703A5" w:rsidRDefault="0072545E" w:rsidRPr="003D3F8A">
      <w:pPr>
        <w:ind w:firstLine="426"/>
        <w:jc w:val="both"/>
        <w:rPr>
          <w:rFonts w:asciiTheme="majorHAnsi" w:hAnsiTheme="majorHAnsi"/>
        </w:rPr>
      </w:pPr>
      <w:r w:rsidRPr="003D3F8A">
        <w:rPr>
          <w:rFonts w:asciiTheme="majorHAnsi" w:hAnsiTheme="majorHAnsi"/>
        </w:rPr>
        <w:t xml:space="preserve">-    </w:t>
      </w:r>
      <w:r w:rsidR="003F72F5" w:rsidRPr="003D3F8A">
        <w:rPr>
          <w:rFonts w:asciiTheme="majorHAnsi" w:hAnsiTheme="majorHAnsi"/>
        </w:rPr>
        <w:t xml:space="preserve">Des réunions </w:t>
      </w:r>
      <w:r w:rsidR="009E746C" w:rsidRPr="003D3F8A">
        <w:rPr>
          <w:rFonts w:asciiTheme="majorHAnsi" w:hAnsiTheme="majorHAnsi"/>
        </w:rPr>
        <w:t>semestrielles</w:t>
      </w:r>
      <w:r w:rsidR="003F72F5" w:rsidRPr="003D3F8A">
        <w:rPr>
          <w:rFonts w:asciiTheme="majorHAnsi" w:hAnsiTheme="majorHAnsi"/>
        </w:rPr>
        <w:t xml:space="preserve"> de droit d’expression des salariés (accord du </w:t>
      </w:r>
      <w:r w:rsidR="000C5041" w:rsidRPr="003D3F8A">
        <w:rPr>
          <w:rFonts w:asciiTheme="majorHAnsi" w:hAnsiTheme="majorHAnsi"/>
        </w:rPr>
        <w:t>23 octobre 2020 se substituant à celui de</w:t>
      </w:r>
      <w:r w:rsidR="003F72F5" w:rsidRPr="003D3F8A">
        <w:rPr>
          <w:rFonts w:asciiTheme="majorHAnsi" w:hAnsiTheme="majorHAnsi"/>
        </w:rPr>
        <w:t xml:space="preserve"> Décembre 1998).</w:t>
      </w:r>
    </w:p>
    <w:p w14:paraId="2C39E5C2" w14:textId="22BB259E" w:rsidP="00B64DB0" w:rsidR="00246FD1" w:rsidRDefault="00354CCE" w:rsidRPr="0067235C">
      <w:pPr>
        <w:pStyle w:val="Titre1"/>
        <w:rPr>
          <w:rFonts w:asciiTheme="majorHAnsi" w:hAnsiTheme="majorHAnsi"/>
          <w:color w:themeColor="accent1" w:themeShade="BF" w:val="2E74B5"/>
          <w:sz w:val="22"/>
          <w:szCs w:val="22"/>
          <w:u w:val="none"/>
        </w:rPr>
      </w:pPr>
      <w:bookmarkStart w:id="29" w:name="_Toc121503564"/>
      <w:r w:rsidRPr="0067235C">
        <w:rPr>
          <w:rFonts w:asciiTheme="majorHAnsi" w:hAnsiTheme="majorHAnsi"/>
          <w:color w:themeColor="accent1" w:themeShade="BF" w:val="2E74B5"/>
          <w:sz w:val="22"/>
          <w:szCs w:val="22"/>
          <w:u w:val="none"/>
        </w:rPr>
        <w:t>ARTICLE 1</w:t>
      </w:r>
      <w:r w:rsidR="004B577A">
        <w:rPr>
          <w:rFonts w:asciiTheme="majorHAnsi" w:hAnsiTheme="majorHAnsi"/>
          <w:color w:themeColor="accent1" w:themeShade="BF" w:val="2E74B5"/>
          <w:sz w:val="22"/>
          <w:szCs w:val="22"/>
          <w:u w:val="none"/>
        </w:rPr>
        <w:t>6</w:t>
      </w:r>
      <w:r w:rsidRPr="0067235C">
        <w:rPr>
          <w:rFonts w:asciiTheme="majorHAnsi" w:hAnsiTheme="majorHAnsi"/>
          <w:color w:themeColor="accent1" w:themeShade="BF" w:val="2E74B5"/>
          <w:sz w:val="22"/>
          <w:szCs w:val="22"/>
          <w:u w:val="none"/>
        </w:rPr>
        <w:t xml:space="preserve"> : </w:t>
      </w:r>
      <w:r w:rsidR="005856F7" w:rsidRPr="0067235C">
        <w:rPr>
          <w:rFonts w:asciiTheme="majorHAnsi" w:hAnsiTheme="majorHAnsi"/>
          <w:color w:themeColor="accent1" w:themeShade="BF" w:val="2E74B5"/>
          <w:sz w:val="22"/>
          <w:szCs w:val="22"/>
          <w:u w:val="none"/>
        </w:rPr>
        <w:t>M</w:t>
      </w:r>
      <w:r w:rsidR="00B84EB6" w:rsidRPr="0067235C">
        <w:rPr>
          <w:rFonts w:asciiTheme="majorHAnsi" w:hAnsiTheme="majorHAnsi"/>
          <w:color w:themeColor="accent1" w:themeShade="BF" w:val="2E74B5"/>
          <w:sz w:val="22"/>
          <w:szCs w:val="22"/>
          <w:u w:val="none"/>
        </w:rPr>
        <w:t>odalités du plein exercice par le salarié de son droit à la déconnexion</w:t>
      </w:r>
      <w:bookmarkEnd w:id="29"/>
      <w:r w:rsidR="00B84EB6" w:rsidRPr="0067235C">
        <w:rPr>
          <w:rFonts w:asciiTheme="majorHAnsi" w:hAnsiTheme="majorHAnsi"/>
          <w:color w:themeColor="accent1" w:themeShade="BF" w:val="2E74B5"/>
          <w:sz w:val="22"/>
          <w:szCs w:val="22"/>
          <w:u w:val="none"/>
        </w:rPr>
        <w:t xml:space="preserve"> </w:t>
      </w:r>
    </w:p>
    <w:p w14:paraId="55A220AC" w14:textId="312270A9" w:rsidP="001A60FB" w:rsidR="00246FD1" w:rsidRDefault="000C5041" w:rsidRPr="003D3F8A">
      <w:pPr>
        <w:spacing w:after="0" w:line="240" w:lineRule="auto"/>
        <w:jc w:val="both"/>
        <w:rPr>
          <w:rFonts w:asciiTheme="majorHAnsi" w:cs="Tahoma" w:hAnsiTheme="majorHAnsi"/>
        </w:rPr>
      </w:pPr>
      <w:r w:rsidRPr="003D3F8A">
        <w:rPr>
          <w:rFonts w:asciiTheme="majorHAnsi" w:cs="Tahoma" w:hAnsiTheme="majorHAnsi"/>
        </w:rPr>
        <w:t>L’accord du 29 mai 2020 est venu définir et préciser les modalités d’exercice du droit à la déconnexion.</w:t>
      </w:r>
    </w:p>
    <w:p w14:paraId="47CC4891" w14:textId="10A51827" w:rsidP="004A4152" w:rsidR="00AF22EE" w:rsidRDefault="004A4152" w:rsidRPr="0067235C">
      <w:pPr>
        <w:pStyle w:val="Titre1"/>
        <w:rPr>
          <w:rFonts w:asciiTheme="majorHAnsi" w:hAnsiTheme="majorHAnsi"/>
          <w:color w:themeColor="accent1" w:themeShade="BF" w:val="2E74B5"/>
          <w:sz w:val="22"/>
          <w:szCs w:val="22"/>
          <w:u w:val="none"/>
        </w:rPr>
      </w:pPr>
      <w:bookmarkStart w:id="30" w:name="_Toc121503565"/>
      <w:r w:rsidRPr="0067235C">
        <w:rPr>
          <w:rFonts w:asciiTheme="majorHAnsi" w:hAnsiTheme="majorHAnsi"/>
          <w:color w:themeColor="accent1" w:themeShade="BF" w:val="2E74B5"/>
          <w:sz w:val="22"/>
          <w:szCs w:val="22"/>
          <w:u w:val="none"/>
        </w:rPr>
        <w:t>CHAPITRE III : DISPOSITIONS FINALES</w:t>
      </w:r>
      <w:bookmarkEnd w:id="30"/>
    </w:p>
    <w:p w14:paraId="0308B39A" w14:textId="6C921A3F" w:rsidP="00B64DB0" w:rsidR="0057615F" w:rsidRDefault="009F5361" w:rsidRPr="00331423">
      <w:pPr>
        <w:pStyle w:val="Titre1"/>
        <w:rPr>
          <w:rFonts w:asciiTheme="majorHAnsi" w:hAnsiTheme="majorHAnsi"/>
          <w:color w:themeColor="accent1" w:themeShade="BF" w:val="2E74B5"/>
          <w:sz w:val="22"/>
          <w:szCs w:val="22"/>
          <w:u w:val="none"/>
        </w:rPr>
      </w:pPr>
      <w:r w:rsidRPr="00331423">
        <w:rPr>
          <w:rFonts w:asciiTheme="majorHAnsi" w:hAnsiTheme="majorHAnsi"/>
          <w:color w:themeColor="accent1" w:themeShade="BF" w:val="2E74B5"/>
          <w:sz w:val="22"/>
          <w:szCs w:val="22"/>
          <w:u w:val="none"/>
        </w:rPr>
        <w:t xml:space="preserve">  </w:t>
      </w:r>
      <w:bookmarkStart w:id="31" w:name="_Toc121503566"/>
      <w:r w:rsidR="00354CCE" w:rsidRPr="00331423">
        <w:rPr>
          <w:rFonts w:asciiTheme="majorHAnsi" w:hAnsiTheme="majorHAnsi"/>
          <w:color w:themeColor="accent1" w:themeShade="BF" w:val="2E74B5"/>
          <w:sz w:val="22"/>
          <w:szCs w:val="22"/>
          <w:u w:val="none"/>
        </w:rPr>
        <w:t>ARTICLE 1</w:t>
      </w:r>
      <w:r w:rsidR="004B577A">
        <w:rPr>
          <w:rFonts w:asciiTheme="majorHAnsi" w:hAnsiTheme="majorHAnsi"/>
          <w:color w:themeColor="accent1" w:themeShade="BF" w:val="2E74B5"/>
          <w:sz w:val="22"/>
          <w:szCs w:val="22"/>
          <w:u w:val="none"/>
        </w:rPr>
        <w:t>7</w:t>
      </w:r>
      <w:r w:rsidR="00354CCE" w:rsidRPr="00331423">
        <w:rPr>
          <w:rFonts w:asciiTheme="majorHAnsi" w:hAnsiTheme="majorHAnsi"/>
          <w:color w:themeColor="accent1" w:themeShade="BF" w:val="2E74B5"/>
          <w:sz w:val="22"/>
          <w:szCs w:val="22"/>
          <w:u w:val="none"/>
        </w:rPr>
        <w:t> </w:t>
      </w:r>
      <w:r w:rsidR="00991831" w:rsidRPr="00331423">
        <w:rPr>
          <w:rFonts w:asciiTheme="majorHAnsi" w:hAnsiTheme="majorHAnsi"/>
          <w:color w:themeColor="accent1" w:themeShade="BF" w:val="2E74B5"/>
          <w:sz w:val="22"/>
          <w:szCs w:val="22"/>
          <w:u w:val="none"/>
        </w:rPr>
        <w:t>: R</w:t>
      </w:r>
      <w:r w:rsidR="0057615F" w:rsidRPr="00331423">
        <w:rPr>
          <w:rFonts w:asciiTheme="majorHAnsi" w:hAnsiTheme="majorHAnsi"/>
          <w:color w:themeColor="accent1" w:themeShade="BF" w:val="2E74B5"/>
          <w:sz w:val="22"/>
          <w:szCs w:val="22"/>
          <w:u w:val="none"/>
        </w:rPr>
        <w:t>évision</w:t>
      </w:r>
      <w:bookmarkEnd w:id="31"/>
    </w:p>
    <w:p w14:paraId="229ECB88" w14:textId="77777777" w:rsidP="0072545E" w:rsidR="0057615F" w:rsidRDefault="0057615F" w:rsidRPr="003D3F8A">
      <w:pPr>
        <w:jc w:val="both"/>
        <w:rPr>
          <w:rFonts w:asciiTheme="majorHAnsi" w:cs="Tahoma" w:hAnsiTheme="majorHAnsi"/>
        </w:rPr>
      </w:pPr>
      <w:r w:rsidRPr="003D3F8A">
        <w:rPr>
          <w:rFonts w:asciiTheme="majorHAnsi" w:cs="Tahoma" w:hAnsiTheme="majorHAnsi"/>
        </w:rPr>
        <w:t>Conformément aux articles L. 2261-3 et L. 2261-4 du code du travail, les organisations syndicales représentatives dans l’entreprise pourront adhérer au présent accord.</w:t>
      </w:r>
    </w:p>
    <w:p w14:paraId="40F2D921" w14:textId="77777777" w:rsidP="0072545E" w:rsidR="0057615F" w:rsidRDefault="0057615F" w:rsidRPr="003D3F8A">
      <w:pPr>
        <w:jc w:val="both"/>
        <w:rPr>
          <w:rFonts w:asciiTheme="majorHAnsi" w:cs="Tahoma" w:hAnsiTheme="majorHAnsi"/>
        </w:rPr>
      </w:pPr>
      <w:r w:rsidRPr="003D3F8A">
        <w:rPr>
          <w:rFonts w:asciiTheme="majorHAnsi" w:cs="Tahoma" w:hAnsiTheme="majorHAnsi"/>
        </w:rPr>
        <w:t>Le présent accord pourra être révisé à tout moment selon</w:t>
      </w:r>
      <w:r w:rsidR="00632288" w:rsidRPr="003D3F8A">
        <w:rPr>
          <w:rFonts w:asciiTheme="majorHAnsi" w:cs="Tahoma" w:hAnsiTheme="majorHAnsi"/>
        </w:rPr>
        <w:t xml:space="preserve"> les modalités définies par le Code du T</w:t>
      </w:r>
      <w:r w:rsidRPr="003D3F8A">
        <w:rPr>
          <w:rFonts w:asciiTheme="majorHAnsi" w:cs="Tahoma" w:hAnsiTheme="majorHAnsi"/>
        </w:rPr>
        <w:t>ravail. Toute demande de révision à l’initiative de l’une des parties susvisées devra être adressée aux autres parties et comporter l’indication des dispositions dont il est demandé la révision.</w:t>
      </w:r>
    </w:p>
    <w:p w14:paraId="3F808DB9" w14:textId="77777777" w:rsidP="0072545E" w:rsidR="0057615F" w:rsidRDefault="0057615F" w:rsidRPr="003D3F8A">
      <w:pPr>
        <w:jc w:val="both"/>
        <w:rPr>
          <w:rFonts w:asciiTheme="majorHAnsi" w:cs="Tahoma" w:hAnsiTheme="majorHAnsi"/>
        </w:rPr>
      </w:pPr>
      <w:r w:rsidRPr="003D3F8A">
        <w:rPr>
          <w:rFonts w:asciiTheme="majorHAnsi" w:cs="Tahoma" w:hAnsiTheme="majorHAnsi"/>
        </w:rPr>
        <w:t>Les parties devront s’efforcer d’entamer les négociations dans un délai de trois mois à compter de la demande de révision.</w:t>
      </w:r>
    </w:p>
    <w:p w14:paraId="41C9B7AA" w14:textId="77777777" w:rsidP="0072545E" w:rsidR="0057615F" w:rsidRDefault="0057615F" w:rsidRPr="003D3F8A">
      <w:pPr>
        <w:autoSpaceDE w:val="0"/>
        <w:autoSpaceDN w:val="0"/>
        <w:adjustRightInd w:val="0"/>
        <w:spacing w:after="0" w:line="240" w:lineRule="auto"/>
        <w:jc w:val="both"/>
        <w:rPr>
          <w:rFonts w:asciiTheme="majorHAnsi" w:cs="Tahoma" w:hAnsiTheme="majorHAnsi"/>
        </w:rPr>
      </w:pPr>
      <w:r w:rsidRPr="003D3F8A">
        <w:rPr>
          <w:rFonts w:asciiTheme="majorHAnsi" w:cs="Tahoma" w:hAnsiTheme="majorHAnsi"/>
        </w:rPr>
        <w:t>L’avenant éventuel de révision devra être déposé dans les conditions prévues par les textes en vigueur</w:t>
      </w:r>
      <w:r w:rsidR="00240D93" w:rsidRPr="003D3F8A">
        <w:rPr>
          <w:rFonts w:asciiTheme="majorHAnsi" w:cs="Tahoma" w:hAnsiTheme="majorHAnsi"/>
        </w:rPr>
        <w:t>.</w:t>
      </w:r>
    </w:p>
    <w:p w14:paraId="0A0075BF" w14:textId="77777777" w:rsidP="00BF2FE7" w:rsidR="0067235C" w:rsidRDefault="00264D06">
      <w:pPr>
        <w:pStyle w:val="Titre1"/>
        <w:rPr>
          <w:rFonts w:asciiTheme="majorHAnsi" w:hAnsiTheme="majorHAnsi"/>
          <w:sz w:val="22"/>
          <w:szCs w:val="22"/>
        </w:rPr>
      </w:pPr>
      <w:r w:rsidRPr="003D3F8A">
        <w:rPr>
          <w:rFonts w:asciiTheme="majorHAnsi" w:hAnsiTheme="majorHAnsi"/>
          <w:sz w:val="22"/>
          <w:szCs w:val="22"/>
        </w:rPr>
        <w:br w:type="page"/>
      </w:r>
    </w:p>
    <w:p w14:paraId="470E1C09" w14:textId="44E0B4F1" w:rsidP="00BF2FE7" w:rsidR="00A465A5" w:rsidRDefault="00354CCE" w:rsidRPr="0067235C">
      <w:pPr>
        <w:pStyle w:val="Titre1"/>
        <w:rPr>
          <w:rFonts w:asciiTheme="majorHAnsi" w:hAnsiTheme="majorHAnsi"/>
          <w:sz w:val="22"/>
          <w:szCs w:val="22"/>
          <w:u w:val="none"/>
        </w:rPr>
      </w:pPr>
      <w:bookmarkStart w:id="32" w:name="_Toc121503567"/>
      <w:r w:rsidRPr="0067235C">
        <w:rPr>
          <w:rFonts w:asciiTheme="majorHAnsi" w:hAnsiTheme="majorHAnsi"/>
          <w:color w:themeColor="accent1" w:themeShade="BF" w:val="2E74B5"/>
          <w:sz w:val="22"/>
          <w:szCs w:val="22"/>
          <w:u w:val="none"/>
        </w:rPr>
        <w:lastRenderedPageBreak/>
        <w:t xml:space="preserve">ARTICLE </w:t>
      </w:r>
      <w:r w:rsidR="00962003">
        <w:rPr>
          <w:rFonts w:asciiTheme="majorHAnsi" w:hAnsiTheme="majorHAnsi"/>
          <w:color w:themeColor="accent1" w:themeShade="BF" w:val="2E74B5"/>
          <w:sz w:val="22"/>
          <w:szCs w:val="22"/>
          <w:u w:val="none"/>
        </w:rPr>
        <w:t>1</w:t>
      </w:r>
      <w:r w:rsidR="004B577A">
        <w:rPr>
          <w:rFonts w:asciiTheme="majorHAnsi" w:hAnsiTheme="majorHAnsi"/>
          <w:color w:themeColor="accent1" w:themeShade="BF" w:val="2E74B5"/>
          <w:sz w:val="22"/>
          <w:szCs w:val="22"/>
          <w:u w:val="none"/>
        </w:rPr>
        <w:t>8</w:t>
      </w:r>
      <w:r w:rsidR="00CB5D5E">
        <w:rPr>
          <w:rFonts w:asciiTheme="majorHAnsi" w:hAnsiTheme="majorHAnsi"/>
          <w:color w:themeColor="accent1" w:themeShade="BF" w:val="2E74B5"/>
          <w:sz w:val="22"/>
          <w:szCs w:val="22"/>
          <w:u w:val="none"/>
        </w:rPr>
        <w:t xml:space="preserve"> </w:t>
      </w:r>
      <w:r w:rsidR="00A465A5" w:rsidRPr="0067235C">
        <w:rPr>
          <w:rFonts w:asciiTheme="majorHAnsi" w:hAnsiTheme="majorHAnsi"/>
          <w:color w:themeColor="accent1" w:themeShade="BF" w:val="2E74B5"/>
          <w:sz w:val="22"/>
          <w:szCs w:val="22"/>
          <w:u w:val="none"/>
        </w:rPr>
        <w:t>: Durée de l’accord</w:t>
      </w:r>
      <w:bookmarkEnd w:id="32"/>
    </w:p>
    <w:p w14:paraId="23CAC400" w14:textId="586D7413" w:rsidP="001A60FB" w:rsidR="00A465A5" w:rsidRDefault="00A465A5" w:rsidRPr="003D3F8A">
      <w:pPr>
        <w:spacing w:after="0" w:line="240" w:lineRule="auto"/>
        <w:jc w:val="both"/>
        <w:rPr>
          <w:rFonts w:asciiTheme="majorHAnsi" w:cs="Tahoma" w:hAnsiTheme="majorHAnsi"/>
        </w:rPr>
      </w:pPr>
      <w:r w:rsidRPr="003D3F8A">
        <w:rPr>
          <w:rFonts w:asciiTheme="majorHAnsi" w:cs="Tahoma" w:hAnsiTheme="majorHAnsi"/>
        </w:rPr>
        <w:t xml:space="preserve">Le Présent accord est conclu pour l’année </w:t>
      </w:r>
      <w:r w:rsidR="00A653D0" w:rsidRPr="003D3F8A">
        <w:rPr>
          <w:rFonts w:asciiTheme="majorHAnsi" w:cs="Tahoma" w:hAnsiTheme="majorHAnsi"/>
        </w:rPr>
        <w:t>202</w:t>
      </w:r>
      <w:r w:rsidR="000E15E8">
        <w:rPr>
          <w:rFonts w:asciiTheme="majorHAnsi" w:cs="Tahoma" w:hAnsiTheme="majorHAnsi"/>
        </w:rPr>
        <w:t>3</w:t>
      </w:r>
      <w:r w:rsidRPr="003D3F8A">
        <w:rPr>
          <w:rFonts w:asciiTheme="majorHAnsi" w:cs="Tahoma" w:hAnsiTheme="majorHAnsi"/>
        </w:rPr>
        <w:t>.</w:t>
      </w:r>
      <w:r w:rsidR="00366198">
        <w:rPr>
          <w:rFonts w:asciiTheme="majorHAnsi" w:cs="Tahoma" w:hAnsiTheme="majorHAnsi"/>
        </w:rPr>
        <w:t xml:space="preserve"> </w:t>
      </w:r>
      <w:r w:rsidRPr="003D3F8A">
        <w:rPr>
          <w:rFonts w:asciiTheme="majorHAnsi" w:cs="Tahoma" w:hAnsiTheme="majorHAnsi"/>
        </w:rPr>
        <w:t xml:space="preserve">Il cessera de produire effet le 31 Décembre </w:t>
      </w:r>
      <w:r w:rsidR="00F53CA9">
        <w:rPr>
          <w:rFonts w:asciiTheme="majorHAnsi" w:cs="Tahoma" w:hAnsiTheme="majorHAnsi"/>
        </w:rPr>
        <w:t>202</w:t>
      </w:r>
      <w:r w:rsidR="000E15E8">
        <w:rPr>
          <w:rFonts w:asciiTheme="majorHAnsi" w:cs="Tahoma" w:hAnsiTheme="majorHAnsi"/>
        </w:rPr>
        <w:t>3.</w:t>
      </w:r>
    </w:p>
    <w:p w14:paraId="5DCDDB9B" w14:textId="3699CADC" w:rsidP="00B64DB0" w:rsidR="00A465A5" w:rsidRDefault="00354CCE" w:rsidRPr="0067235C">
      <w:pPr>
        <w:pStyle w:val="Titre1"/>
        <w:rPr>
          <w:rFonts w:asciiTheme="majorHAnsi" w:hAnsiTheme="majorHAnsi"/>
          <w:color w:themeColor="accent1" w:themeShade="BF" w:val="2E74B5"/>
          <w:sz w:val="22"/>
          <w:szCs w:val="22"/>
          <w:highlight w:val="cyan"/>
          <w:u w:val="none"/>
        </w:rPr>
      </w:pPr>
      <w:bookmarkStart w:id="33" w:name="_Toc121503568"/>
      <w:r w:rsidRPr="0067235C">
        <w:rPr>
          <w:rFonts w:asciiTheme="majorHAnsi" w:hAnsiTheme="majorHAnsi"/>
          <w:color w:themeColor="accent1" w:themeShade="BF" w:val="2E74B5"/>
          <w:sz w:val="22"/>
          <w:szCs w:val="22"/>
          <w:u w:val="none"/>
        </w:rPr>
        <w:t xml:space="preserve">ARTICLE </w:t>
      </w:r>
      <w:r w:rsidR="004B577A">
        <w:rPr>
          <w:rFonts w:asciiTheme="majorHAnsi" w:hAnsiTheme="majorHAnsi"/>
          <w:color w:themeColor="accent1" w:themeShade="BF" w:val="2E74B5"/>
          <w:sz w:val="22"/>
          <w:szCs w:val="22"/>
          <w:u w:val="none"/>
        </w:rPr>
        <w:t>19</w:t>
      </w:r>
      <w:r w:rsidRPr="0067235C">
        <w:rPr>
          <w:rFonts w:asciiTheme="majorHAnsi" w:hAnsiTheme="majorHAnsi"/>
          <w:color w:themeColor="accent1" w:themeShade="BF" w:val="2E74B5"/>
          <w:sz w:val="22"/>
          <w:szCs w:val="22"/>
          <w:u w:val="none"/>
        </w:rPr>
        <w:t xml:space="preserve"> </w:t>
      </w:r>
      <w:r w:rsidR="00A465A5" w:rsidRPr="0067235C">
        <w:rPr>
          <w:rFonts w:asciiTheme="majorHAnsi" w:hAnsiTheme="majorHAnsi"/>
          <w:color w:themeColor="accent1" w:themeShade="BF" w:val="2E74B5"/>
          <w:sz w:val="22"/>
          <w:szCs w:val="22"/>
          <w:u w:val="none"/>
        </w:rPr>
        <w:t>: Formalités de dépôt</w:t>
      </w:r>
      <w:bookmarkEnd w:id="33"/>
    </w:p>
    <w:p w14:paraId="3D6EBAAD" w14:textId="77777777" w:rsidP="0072545E" w:rsidR="0057615F" w:rsidRDefault="0057615F" w:rsidRPr="003D3F8A">
      <w:pPr>
        <w:jc w:val="both"/>
        <w:rPr>
          <w:rFonts w:asciiTheme="majorHAnsi" w:cs="Tahoma" w:hAnsiTheme="majorHAnsi"/>
        </w:rPr>
      </w:pPr>
      <w:r w:rsidRPr="003D3F8A">
        <w:rPr>
          <w:rFonts w:asciiTheme="majorHAnsi" w:cs="Tahoma" w:hAnsiTheme="majorHAnsi"/>
        </w:rPr>
        <w:t>En application du décret n° 2018-362 du 15 mai 2018 relatif à la procédure de dépôt des accords collectifs, les formalités de dépôt seront effectuées par le représentant légal de l'OPAC 36. Ce dernier déposera l’accord collectif sur la plateforme nationale "Télé</w:t>
      </w:r>
      <w:r w:rsidR="009E3E8C" w:rsidRPr="003D3F8A">
        <w:rPr>
          <w:rFonts w:asciiTheme="majorHAnsi" w:cs="Tahoma" w:hAnsiTheme="majorHAnsi"/>
        </w:rPr>
        <w:t xml:space="preserve"> </w:t>
      </w:r>
      <w:r w:rsidRPr="003D3F8A">
        <w:rPr>
          <w:rFonts w:asciiTheme="majorHAnsi" w:cs="Tahoma" w:hAnsiTheme="majorHAnsi"/>
        </w:rPr>
        <w:t xml:space="preserve">Accords" à l’adresse suivante : </w:t>
      </w:r>
      <w:hyperlink r:id="rId11" w:history="1">
        <w:r w:rsidRPr="003D3F8A">
          <w:rPr>
            <w:rFonts w:asciiTheme="majorHAnsi" w:cs="Tahoma" w:hAnsiTheme="majorHAnsi"/>
          </w:rPr>
          <w:t>www.teleaccords.travail-emploi.gouv.fr</w:t>
        </w:r>
      </w:hyperlink>
      <w:r w:rsidRPr="003D3F8A">
        <w:rPr>
          <w:rFonts w:asciiTheme="majorHAnsi" w:cs="Tahoma" w:hAnsiTheme="majorHAnsi"/>
        </w:rPr>
        <w:t>.</w:t>
      </w:r>
    </w:p>
    <w:p w14:paraId="5BFC51DE" w14:textId="77777777" w:rsidP="0072545E" w:rsidR="0057615F" w:rsidRDefault="0057615F" w:rsidRPr="003D3F8A">
      <w:pPr>
        <w:jc w:val="both"/>
        <w:rPr>
          <w:rFonts w:asciiTheme="majorHAnsi" w:cs="Tahoma" w:hAnsiTheme="majorHAnsi"/>
        </w:rPr>
      </w:pPr>
      <w:r w:rsidRPr="003D3F8A">
        <w:rPr>
          <w:rFonts w:asciiTheme="majorHAnsi" w:cs="Tahoma" w:hAnsiTheme="majorHAnsi"/>
        </w:rPr>
        <w:t>Le déposant adressera un exemplaire de l’accor</w:t>
      </w:r>
      <w:r w:rsidR="00632288" w:rsidRPr="003D3F8A">
        <w:rPr>
          <w:rFonts w:asciiTheme="majorHAnsi" w:cs="Tahoma" w:hAnsiTheme="majorHAnsi"/>
        </w:rPr>
        <w:t>d au secrétariat greffe du Conseil de Prud'h</w:t>
      </w:r>
      <w:r w:rsidRPr="003D3F8A">
        <w:rPr>
          <w:rFonts w:asciiTheme="majorHAnsi" w:cs="Tahoma" w:hAnsiTheme="majorHAnsi"/>
        </w:rPr>
        <w:t>ommes de Châteauroux.</w:t>
      </w:r>
    </w:p>
    <w:p w14:paraId="79DD9560" w14:textId="77777777" w:rsidP="0072545E" w:rsidR="0057615F" w:rsidRDefault="0057615F" w:rsidRPr="003D3F8A">
      <w:pPr>
        <w:jc w:val="both"/>
        <w:rPr>
          <w:rFonts w:asciiTheme="majorHAnsi" w:cs="Tahoma" w:hAnsiTheme="majorHAnsi"/>
        </w:rPr>
      </w:pPr>
      <w:r w:rsidRPr="003D3F8A">
        <w:rPr>
          <w:rFonts w:asciiTheme="majorHAnsi" w:cs="Tahoma" w:hAnsiTheme="majorHAnsi"/>
        </w:rPr>
        <w:t xml:space="preserve">Les Parties rappellent que, dans un acte distinct du présent accord, elles pourront convenir qu’une partie du présent accord ne fera pas l’objet de la publication prévue à l’article L. </w:t>
      </w:r>
      <w:r w:rsidR="00632288" w:rsidRPr="003D3F8A">
        <w:rPr>
          <w:rFonts w:asciiTheme="majorHAnsi" w:cs="Tahoma" w:hAnsiTheme="majorHAnsi"/>
        </w:rPr>
        <w:t>2231-5-1 du Code du T</w:t>
      </w:r>
      <w:r w:rsidRPr="003D3F8A">
        <w:rPr>
          <w:rFonts w:asciiTheme="majorHAnsi" w:cs="Tahoma" w:hAnsiTheme="majorHAnsi"/>
        </w:rPr>
        <w:t>ravail. A défaut d’un tel acte, le présent accord sera publié dans une version intégr</w:t>
      </w:r>
      <w:r w:rsidR="00632288" w:rsidRPr="003D3F8A">
        <w:rPr>
          <w:rFonts w:asciiTheme="majorHAnsi" w:cs="Tahoma" w:hAnsiTheme="majorHAnsi"/>
        </w:rPr>
        <w:t>ale, sauf demande de l’une des p</w:t>
      </w:r>
      <w:r w:rsidRPr="003D3F8A">
        <w:rPr>
          <w:rFonts w:asciiTheme="majorHAnsi" w:cs="Tahoma" w:hAnsiTheme="majorHAnsi"/>
        </w:rPr>
        <w:t>arties de la suppression des noms, prénoms des négociateurs et des signataires.</w:t>
      </w:r>
    </w:p>
    <w:p w14:paraId="44B87B03" w14:textId="77777777" w:rsidP="0072545E" w:rsidR="0057615F" w:rsidRDefault="0057615F" w:rsidRPr="003D3F8A">
      <w:pPr>
        <w:jc w:val="both"/>
        <w:rPr>
          <w:rFonts w:asciiTheme="majorHAnsi" w:cs="Tahoma" w:hAnsiTheme="majorHAnsi"/>
        </w:rPr>
      </w:pPr>
      <w:r w:rsidRPr="003D3F8A">
        <w:rPr>
          <w:rFonts w:asciiTheme="majorHAnsi" w:cs="Tahoma" w:hAnsiTheme="majorHAnsi"/>
        </w:rPr>
        <w:t>Le dépôt de l’accord sera accompagné des pièces éno</w:t>
      </w:r>
      <w:r w:rsidR="00632288" w:rsidRPr="003D3F8A">
        <w:rPr>
          <w:rFonts w:asciiTheme="majorHAnsi" w:cs="Tahoma" w:hAnsiTheme="majorHAnsi"/>
        </w:rPr>
        <w:t>ncées à l’article D. 2231-7 du Code du T</w:t>
      </w:r>
      <w:r w:rsidRPr="003D3F8A">
        <w:rPr>
          <w:rFonts w:asciiTheme="majorHAnsi" w:cs="Tahoma" w:hAnsiTheme="majorHAnsi"/>
        </w:rPr>
        <w:t>ravail.</w:t>
      </w:r>
    </w:p>
    <w:p w14:paraId="7453F4BC" w14:textId="77777777" w:rsidP="006A733A" w:rsidR="00A85D20" w:rsidRDefault="0057615F">
      <w:pPr>
        <w:autoSpaceDE w:val="0"/>
        <w:autoSpaceDN w:val="0"/>
        <w:adjustRightInd w:val="0"/>
        <w:spacing w:line="240" w:lineRule="auto"/>
        <w:jc w:val="both"/>
        <w:rPr>
          <w:rFonts w:asciiTheme="majorHAnsi" w:cs="Tahoma" w:hAnsiTheme="majorHAnsi"/>
        </w:rPr>
      </w:pPr>
      <w:r w:rsidRPr="003D3F8A">
        <w:rPr>
          <w:rFonts w:asciiTheme="majorHAnsi" w:cs="Tahoma" w:hAnsiTheme="majorHAnsi"/>
        </w:rPr>
        <w:t>Un exemplaire du présent accord sera remis par la Direction aux membres de</w:t>
      </w:r>
      <w:r w:rsidR="00632288" w:rsidRPr="003D3F8A">
        <w:rPr>
          <w:rFonts w:asciiTheme="majorHAnsi" w:cs="Tahoma" w:hAnsiTheme="majorHAnsi"/>
        </w:rPr>
        <w:t xml:space="preserve"> la délégation du personnel du Comité Social et Economique et aux Délégués S</w:t>
      </w:r>
      <w:r w:rsidRPr="003D3F8A">
        <w:rPr>
          <w:rFonts w:asciiTheme="majorHAnsi" w:cs="Tahoma" w:hAnsiTheme="majorHAnsi"/>
        </w:rPr>
        <w:t xml:space="preserve">yndicaux dans le respect des dispositions de </w:t>
      </w:r>
      <w:r w:rsidR="00632288" w:rsidRPr="003D3F8A">
        <w:rPr>
          <w:rFonts w:asciiTheme="majorHAnsi" w:cs="Tahoma" w:hAnsiTheme="majorHAnsi"/>
        </w:rPr>
        <w:t>l’article R. 2262-2 du Code du T</w:t>
      </w:r>
      <w:r w:rsidRPr="003D3F8A">
        <w:rPr>
          <w:rFonts w:asciiTheme="majorHAnsi" w:cs="Tahoma" w:hAnsiTheme="majorHAnsi"/>
        </w:rPr>
        <w:t>ravail. </w:t>
      </w:r>
    </w:p>
    <w:p w14:paraId="16647F1B" w14:textId="77777777" w:rsidP="006A733A" w:rsidR="0067235C" w:rsidRDefault="0067235C" w:rsidRPr="003D3F8A">
      <w:pPr>
        <w:autoSpaceDE w:val="0"/>
        <w:autoSpaceDN w:val="0"/>
        <w:adjustRightInd w:val="0"/>
        <w:spacing w:line="240" w:lineRule="auto"/>
        <w:jc w:val="both"/>
        <w:rPr>
          <w:rFonts w:asciiTheme="majorHAnsi" w:cs="Tahoma" w:hAnsiTheme="majorHAnsi"/>
        </w:rPr>
      </w:pPr>
    </w:p>
    <w:p w14:paraId="53E0B78C" w14:textId="20E8B1C0" w:rsidP="00C479F4" w:rsidR="00A465A5" w:rsidRDefault="006A733A">
      <w:pPr>
        <w:ind w:left="284" w:right="284"/>
        <w:jc w:val="both"/>
        <w:rPr>
          <w:rFonts w:asciiTheme="majorHAnsi" w:cs="Tahoma" w:hAnsiTheme="majorHAnsi"/>
        </w:rPr>
      </w:pPr>
      <w:r w:rsidRPr="003D3F8A">
        <w:rPr>
          <w:rFonts w:asciiTheme="majorHAnsi" w:cs="Tahoma" w:hAnsiTheme="majorHAnsi"/>
        </w:rPr>
        <w:t>Fait</w:t>
      </w:r>
      <w:r w:rsidR="0055502B" w:rsidRPr="003D3F8A">
        <w:rPr>
          <w:rFonts w:asciiTheme="majorHAnsi" w:cs="Tahoma" w:hAnsiTheme="majorHAnsi"/>
        </w:rPr>
        <w:t xml:space="preserve"> en </w:t>
      </w:r>
      <w:r w:rsidR="000C5041" w:rsidRPr="003D3F8A">
        <w:rPr>
          <w:rFonts w:asciiTheme="majorHAnsi" w:cs="Tahoma" w:hAnsiTheme="majorHAnsi"/>
        </w:rPr>
        <w:t>sept</w:t>
      </w:r>
      <w:r w:rsidR="00A465A5" w:rsidRPr="003D3F8A">
        <w:rPr>
          <w:rFonts w:asciiTheme="majorHAnsi" w:cs="Tahoma" w:hAnsiTheme="majorHAnsi"/>
        </w:rPr>
        <w:t xml:space="preserve"> exemplaires originaux.</w:t>
      </w:r>
    </w:p>
    <w:p w14:paraId="6C4B30E0" w14:textId="77777777" w:rsidP="00C479F4" w:rsidR="0067235C" w:rsidRDefault="0067235C" w:rsidRPr="003D3F8A">
      <w:pPr>
        <w:ind w:left="284" w:right="284"/>
        <w:jc w:val="both"/>
        <w:rPr>
          <w:rFonts w:asciiTheme="majorHAnsi" w:cs="Tahoma" w:hAnsiTheme="majorHAnsi"/>
        </w:rPr>
      </w:pPr>
    </w:p>
    <w:p w14:paraId="4934C386" w14:textId="3582E601" w:rsidP="00A465A5" w:rsidR="00A465A5" w:rsidRDefault="00545AA1" w:rsidRPr="003D3F8A">
      <w:pPr>
        <w:ind w:left="284" w:right="284"/>
        <w:jc w:val="both"/>
        <w:rPr>
          <w:rFonts w:asciiTheme="majorHAnsi" w:cs="Tahoma" w:hAnsiTheme="majorHAnsi"/>
        </w:rPr>
      </w:pPr>
      <w:r w:rsidRPr="003D3F8A">
        <w:rPr>
          <w:rFonts w:asciiTheme="majorHAnsi" w:cs="Tahoma" w:hAnsiTheme="majorHAnsi"/>
        </w:rPr>
        <w:t>À</w:t>
      </w:r>
      <w:r w:rsidR="00632288" w:rsidRPr="003D3F8A">
        <w:rPr>
          <w:rFonts w:asciiTheme="majorHAnsi" w:cs="Tahoma" w:hAnsiTheme="majorHAnsi"/>
        </w:rPr>
        <w:t xml:space="preserve"> CH</w:t>
      </w:r>
      <w:r w:rsidR="006A733A" w:rsidRPr="003D3F8A">
        <w:rPr>
          <w:rFonts w:asciiTheme="majorHAnsi" w:cs="Tahoma" w:hAnsiTheme="majorHAnsi"/>
        </w:rPr>
        <w:t>A</w:t>
      </w:r>
      <w:r w:rsidR="00A465A5" w:rsidRPr="003D3F8A">
        <w:rPr>
          <w:rFonts w:asciiTheme="majorHAnsi" w:cs="Tahoma" w:hAnsiTheme="majorHAnsi"/>
        </w:rPr>
        <w:t>TEAUROUX, le</w:t>
      </w:r>
      <w:r w:rsidR="008E143D">
        <w:rPr>
          <w:rFonts w:asciiTheme="majorHAnsi" w:cs="Tahoma" w:hAnsiTheme="majorHAnsi"/>
        </w:rPr>
        <w:t xml:space="preserve"> </w:t>
      </w:r>
      <w:r w:rsidR="00F25A7C">
        <w:rPr>
          <w:rFonts w:asciiTheme="majorHAnsi" w:cs="Tahoma" w:hAnsiTheme="majorHAnsi"/>
        </w:rPr>
        <w:t>19 Décembre 2022</w:t>
      </w:r>
    </w:p>
    <w:p w14:paraId="083DCE84" w14:textId="77777777" w:rsidP="00A465A5" w:rsidR="00A465A5" w:rsidRDefault="00A465A5" w:rsidRPr="003D3F8A">
      <w:pPr>
        <w:ind w:left="284" w:right="284"/>
        <w:jc w:val="both"/>
        <w:rPr>
          <w:rFonts w:asciiTheme="majorHAnsi" w:cs="Tahoma" w:hAnsiTheme="majorHAnsi"/>
        </w:rPr>
      </w:pPr>
    </w:p>
    <w:tbl>
      <w:tblPr>
        <w:tblW w:type="dxa" w:w="9640"/>
        <w:tblInd w:type="dxa" w:w="-142"/>
        <w:tblLook w:firstColumn="1" w:firstRow="1" w:lastColumn="1" w:lastRow="1" w:noHBand="0" w:noVBand="0" w:val="01E0"/>
      </w:tblPr>
      <w:tblGrid>
        <w:gridCol w:w="5245"/>
        <w:gridCol w:w="4395"/>
      </w:tblGrid>
      <w:tr w14:paraId="7218E273" w14:textId="77777777" w:rsidR="007021C3" w:rsidRPr="003D3F8A" w:rsidTr="00032E95">
        <w:tc>
          <w:tcPr>
            <w:tcW w:type="dxa" w:w="5245"/>
            <w:shd w:color="auto" w:fill="auto" w:val="clear"/>
          </w:tcPr>
          <w:p w14:paraId="46284178" w14:textId="77777777" w:rsidP="007021C3" w:rsidR="005924C4" w:rsidRDefault="005924C4" w:rsidRPr="003D3F8A">
            <w:pPr>
              <w:overflowPunct w:val="0"/>
              <w:autoSpaceDE w:val="0"/>
              <w:autoSpaceDN w:val="0"/>
              <w:adjustRightInd w:val="0"/>
              <w:spacing w:after="0" w:line="240" w:lineRule="auto"/>
              <w:ind w:right="284"/>
              <w:jc w:val="center"/>
              <w:textAlignment w:val="baseline"/>
              <w:rPr>
                <w:rFonts w:asciiTheme="majorHAnsi" w:cs="Tahoma" w:hAnsiTheme="majorHAnsi"/>
                <w:b/>
              </w:rPr>
            </w:pPr>
            <w:r w:rsidRPr="003D3F8A">
              <w:rPr>
                <w:rFonts w:asciiTheme="majorHAnsi" w:cs="Tahoma" w:hAnsiTheme="majorHAnsi"/>
                <w:b/>
              </w:rPr>
              <w:t>Le Délégué S</w:t>
            </w:r>
            <w:r w:rsidR="008B7ACF" w:rsidRPr="003D3F8A">
              <w:rPr>
                <w:rFonts w:asciiTheme="majorHAnsi" w:cs="Tahoma" w:hAnsiTheme="majorHAnsi"/>
                <w:b/>
              </w:rPr>
              <w:t>yndical</w:t>
            </w:r>
            <w:r w:rsidR="007021C3" w:rsidRPr="003D3F8A">
              <w:rPr>
                <w:rFonts w:asciiTheme="majorHAnsi" w:cs="Tahoma" w:hAnsiTheme="majorHAnsi"/>
                <w:b/>
              </w:rPr>
              <w:t xml:space="preserve"> </w:t>
            </w:r>
          </w:p>
          <w:p w14:paraId="1164762F"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rPr>
            </w:pPr>
            <w:r w:rsidRPr="003D3F8A">
              <w:rPr>
                <w:rFonts w:asciiTheme="majorHAnsi" w:cs="Tahoma" w:hAnsiTheme="majorHAnsi"/>
                <w:b/>
              </w:rPr>
              <w:t>CFDT-INTERCO</w:t>
            </w:r>
            <w:r w:rsidR="00032E95" w:rsidRPr="003D3F8A">
              <w:rPr>
                <w:rFonts w:asciiTheme="majorHAnsi" w:cs="Tahoma" w:hAnsiTheme="majorHAnsi"/>
                <w:b/>
              </w:rPr>
              <w:t>,</w:t>
            </w:r>
          </w:p>
          <w:p w14:paraId="56169787"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3BC0078F"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50EED9E8"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762A74C4"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55CE7B16" w14:textId="6A32D599"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tc>
        <w:tc>
          <w:tcPr>
            <w:tcW w:type="dxa" w:w="4395"/>
            <w:shd w:color="auto" w:fill="auto" w:val="clear"/>
          </w:tcPr>
          <w:p w14:paraId="6D54ECCE" w14:textId="77777777" w:rsidP="007021C3" w:rsidR="005924C4" w:rsidRDefault="008B7ACF" w:rsidRPr="003D3F8A">
            <w:pPr>
              <w:overflowPunct w:val="0"/>
              <w:autoSpaceDE w:val="0"/>
              <w:autoSpaceDN w:val="0"/>
              <w:adjustRightInd w:val="0"/>
              <w:spacing w:after="0" w:line="240" w:lineRule="auto"/>
              <w:ind w:right="284"/>
              <w:jc w:val="center"/>
              <w:textAlignment w:val="baseline"/>
              <w:rPr>
                <w:rFonts w:asciiTheme="majorHAnsi" w:cs="Tahoma" w:hAnsiTheme="majorHAnsi"/>
                <w:b/>
              </w:rPr>
            </w:pPr>
            <w:r w:rsidRPr="003D3F8A">
              <w:rPr>
                <w:rFonts w:asciiTheme="majorHAnsi" w:cs="Tahoma" w:hAnsiTheme="majorHAnsi"/>
                <w:b/>
              </w:rPr>
              <w:t xml:space="preserve">Le Directeur Général </w:t>
            </w:r>
          </w:p>
          <w:p w14:paraId="6E0D97AA" w14:textId="77777777" w:rsidP="007021C3" w:rsidR="007021C3" w:rsidRDefault="008B7ACF" w:rsidRPr="003D3F8A">
            <w:pPr>
              <w:overflowPunct w:val="0"/>
              <w:autoSpaceDE w:val="0"/>
              <w:autoSpaceDN w:val="0"/>
              <w:adjustRightInd w:val="0"/>
              <w:spacing w:after="0" w:line="240" w:lineRule="auto"/>
              <w:ind w:right="284"/>
              <w:jc w:val="center"/>
              <w:textAlignment w:val="baseline"/>
              <w:rPr>
                <w:rFonts w:asciiTheme="majorHAnsi" w:cs="Tahoma" w:hAnsiTheme="majorHAnsi"/>
                <w:b/>
              </w:rPr>
            </w:pPr>
            <w:proofErr w:type="gramStart"/>
            <w:r w:rsidRPr="003D3F8A">
              <w:rPr>
                <w:rFonts w:asciiTheme="majorHAnsi" w:cs="Tahoma" w:hAnsiTheme="majorHAnsi"/>
                <w:b/>
              </w:rPr>
              <w:t>de</w:t>
            </w:r>
            <w:proofErr w:type="gramEnd"/>
            <w:r w:rsidRPr="003D3F8A">
              <w:rPr>
                <w:rFonts w:asciiTheme="majorHAnsi" w:cs="Tahoma" w:hAnsiTheme="majorHAnsi"/>
                <w:b/>
              </w:rPr>
              <w:t xml:space="preserve"> </w:t>
            </w:r>
            <w:r w:rsidR="007021C3" w:rsidRPr="003D3F8A">
              <w:rPr>
                <w:rFonts w:asciiTheme="majorHAnsi" w:cs="Tahoma" w:hAnsiTheme="majorHAnsi"/>
                <w:b/>
              </w:rPr>
              <w:t>l’OPAC 36</w:t>
            </w:r>
            <w:r w:rsidR="00032E95" w:rsidRPr="003D3F8A">
              <w:rPr>
                <w:rFonts w:asciiTheme="majorHAnsi" w:cs="Tahoma" w:hAnsiTheme="majorHAnsi"/>
                <w:b/>
              </w:rPr>
              <w:t>,</w:t>
            </w:r>
          </w:p>
          <w:p w14:paraId="1A804647"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4614CC76"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26F4AD53"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13AA168E" w14:textId="77777777" w:rsidP="007021C3" w:rsidR="007021C3" w:rsidRDefault="007021C3" w:rsidRPr="003D3F8A">
            <w:pPr>
              <w:overflowPunct w:val="0"/>
              <w:autoSpaceDE w:val="0"/>
              <w:autoSpaceDN w:val="0"/>
              <w:adjustRightInd w:val="0"/>
              <w:spacing w:after="0" w:line="240" w:lineRule="auto"/>
              <w:ind w:right="284"/>
              <w:jc w:val="center"/>
              <w:textAlignment w:val="baseline"/>
              <w:rPr>
                <w:rFonts w:asciiTheme="majorHAnsi" w:cs="Tahoma" w:hAnsiTheme="majorHAnsi"/>
                <w:b/>
                <w:u w:val="single"/>
              </w:rPr>
            </w:pPr>
          </w:p>
          <w:p w14:paraId="7F301169" w14:textId="061ECCB2" w:rsidP="004447CA" w:rsidR="007021C3" w:rsidRDefault="007021C3" w:rsidRPr="003D3F8A">
            <w:pPr>
              <w:overflowPunct w:val="0"/>
              <w:autoSpaceDE w:val="0"/>
              <w:autoSpaceDN w:val="0"/>
              <w:adjustRightInd w:val="0"/>
              <w:spacing w:after="0" w:line="240" w:lineRule="auto"/>
              <w:ind w:right="284"/>
              <w:textAlignment w:val="baseline"/>
              <w:rPr>
                <w:rFonts w:asciiTheme="majorHAnsi" w:cs="Tahoma" w:hAnsiTheme="majorHAnsi"/>
                <w:b/>
                <w:u w:val="single"/>
              </w:rPr>
            </w:pPr>
            <w:bookmarkStart w:id="34" w:name="_GoBack"/>
            <w:bookmarkEnd w:id="34"/>
          </w:p>
        </w:tc>
      </w:tr>
    </w:tbl>
    <w:p w14:paraId="3FB458FA" w14:textId="77777777" w:rsidP="00B84EB6" w:rsidR="00A465A5" w:rsidRDefault="00A465A5" w:rsidRPr="003D3F8A">
      <w:pPr>
        <w:autoSpaceDE w:val="0"/>
        <w:autoSpaceDN w:val="0"/>
        <w:adjustRightInd w:val="0"/>
        <w:spacing w:after="0" w:line="240" w:lineRule="auto"/>
        <w:rPr>
          <w:rFonts w:asciiTheme="majorHAnsi" w:cs="AGaramond-Regular" w:hAnsiTheme="majorHAnsi"/>
        </w:rPr>
      </w:pPr>
    </w:p>
    <w:sectPr w:rsidR="00A465A5" w:rsidRPr="003D3F8A" w:rsidSect="002A0BE6">
      <w:headerReference r:id="rId12" w:type="default"/>
      <w:footerReference r:id="rId13" w:type="default"/>
      <w:pgSz w:h="16838" w:w="11906"/>
      <w:pgMar w:bottom="284" w:footer="0" w:gutter="0" w:header="284" w:left="1417" w:right="1417" w:top="70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13F6" w14:textId="77777777" w:rsidR="00E12206" w:rsidRDefault="00E12206" w:rsidP="00D621C1">
      <w:pPr>
        <w:spacing w:after="0" w:line="240" w:lineRule="auto"/>
      </w:pPr>
      <w:r>
        <w:separator/>
      </w:r>
    </w:p>
  </w:endnote>
  <w:endnote w:type="continuationSeparator" w:id="0">
    <w:p w14:paraId="6978524F" w14:textId="77777777" w:rsidR="00E12206" w:rsidRDefault="00E12206" w:rsidP="00D6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MS Sans Serif">
    <w:altName w:val="Microsoft Sans Serif"/>
    <w:panose1 w:val="00000000000000000000"/>
    <w:charset w:val="00"/>
    <w:family w:val="roman"/>
    <w:notTrueType/>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A32AB30" w14:textId="1A252290" w:rsidR="0046407A" w:rsidRDefault="0046407A">
    <w:pPr>
      <w:pStyle w:val="Pieddepage"/>
    </w:pPr>
    <w:r>
      <w:t xml:space="preserve">Accord NAO du </w:t>
    </w:r>
    <w:r w:rsidR="00F25A7C">
      <w:t xml:space="preserve">19 Décembre </w:t>
    </w:r>
    <w:r>
      <w:t xml:space="preserve">2022 </w:t>
    </w:r>
    <w:r>
      <w:tab/>
    </w:r>
    <w:r>
      <w:tab/>
      <w:t xml:space="preserve">Page </w:t>
    </w:r>
    <w:r>
      <w:rPr>
        <w:b/>
        <w:bCs/>
      </w:rPr>
      <w:fldChar w:fldCharType="begin"/>
    </w:r>
    <w:r>
      <w:rPr>
        <w:b/>
        <w:bCs/>
      </w:rPr>
      <w:instrText>PAGE  \* Arabic  \* MERGEFORMAT</w:instrText>
    </w:r>
    <w:r>
      <w:rPr>
        <w:b/>
        <w:bCs/>
      </w:rPr>
      <w:fldChar w:fldCharType="separate"/>
    </w:r>
    <w:r>
      <w:rPr>
        <w:b/>
        <w:bCs/>
        <w:noProof/>
      </w:rPr>
      <w:t>9</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noProof/>
      </w:rPr>
      <w:t>9</w:t>
    </w:r>
    <w:r>
      <w:rPr>
        <w:b/>
        <w:bCs/>
      </w:rPr>
      <w:fldChar w:fldCharType="end"/>
    </w:r>
  </w:p>
  <w:p w14:paraId="595D6FF0" w14:textId="77777777" w:rsidR="0046407A" w:rsidRDefault="0046407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003078ED" w14:textId="77777777" w:rsidP="00D621C1" w:rsidR="00E12206" w:rsidRDefault="00E12206">
      <w:pPr>
        <w:spacing w:after="0" w:line="240" w:lineRule="auto"/>
      </w:pPr>
      <w:r>
        <w:separator/>
      </w:r>
    </w:p>
  </w:footnote>
  <w:footnote w:id="0" w:type="continuationSeparator">
    <w:p w14:paraId="1951D945" w14:textId="77777777" w:rsidP="00D621C1" w:rsidR="00E12206" w:rsidRDefault="00E1220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BD4E552" w14:textId="6120F0BC" w:rsidR="0074210E" w:rsidRDefault="0074210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2B1FFD"/>
    <w:multiLevelType w:val="hybridMultilevel"/>
    <w:tmpl w:val="D324A5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882D61"/>
    <w:multiLevelType w:val="hybridMultilevel"/>
    <w:tmpl w:val="2632CC1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86F3552"/>
    <w:multiLevelType w:val="hybridMultilevel"/>
    <w:tmpl w:val="93DA8004"/>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
    <w:nsid w:val="0C3A3ECB"/>
    <w:multiLevelType w:val="hybridMultilevel"/>
    <w:tmpl w:val="4C14FB9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ED4D4E"/>
    <w:multiLevelType w:val="hybridMultilevel"/>
    <w:tmpl w:val="B9FED778"/>
    <w:lvl w:ilvl="0" w:tplc="80248698">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0D0344A"/>
    <w:multiLevelType w:val="hybridMultilevel"/>
    <w:tmpl w:val="8AE4E9A0"/>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6">
    <w:nsid w:val="123E005F"/>
    <w:multiLevelType w:val="hybridMultilevel"/>
    <w:tmpl w:val="EA008DE2"/>
    <w:lvl w:ilvl="0" w:tplc="80248698">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48152E2"/>
    <w:multiLevelType w:val="hybridMultilevel"/>
    <w:tmpl w:val="BAAABE1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2C6993"/>
    <w:multiLevelType w:val="hybridMultilevel"/>
    <w:tmpl w:val="132E3B48"/>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9">
    <w:nsid w:val="1ABF4A13"/>
    <w:multiLevelType w:val="hybridMultilevel"/>
    <w:tmpl w:val="6A56D8C8"/>
    <w:lvl w:ilvl="0" w:tplc="4516F1C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C9B18B3"/>
    <w:multiLevelType w:val="hybridMultilevel"/>
    <w:tmpl w:val="61FEB72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9366E1"/>
    <w:multiLevelType w:val="hybridMultilevel"/>
    <w:tmpl w:val="1626230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ECF65C1"/>
    <w:multiLevelType w:val="hybridMultilevel"/>
    <w:tmpl w:val="C59C721A"/>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3">
    <w:nsid w:val="2FBB43BD"/>
    <w:multiLevelType w:val="hybridMultilevel"/>
    <w:tmpl w:val="C84ED242"/>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4">
    <w:nsid w:val="30EC07BF"/>
    <w:multiLevelType w:val="hybridMultilevel"/>
    <w:tmpl w:val="AC28F3C6"/>
    <w:lvl w:ilvl="0" w:tplc="80248698">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1E260C7"/>
    <w:multiLevelType w:val="hybridMultilevel"/>
    <w:tmpl w:val="1AE2B3D6"/>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6">
    <w:nsid w:val="32D54C67"/>
    <w:multiLevelType w:val="hybridMultilevel"/>
    <w:tmpl w:val="C0D2CD5A"/>
    <w:lvl w:ilvl="0" w:tplc="775ECF56">
      <w:start w:val="1"/>
      <w:numFmt w:val="upperLetter"/>
      <w:lvlText w:val="%1.)"/>
      <w:lvlJc w:val="left"/>
      <w:pPr>
        <w:ind w:hanging="375" w:left="735"/>
      </w:pPr>
      <w:rPr>
        <w:rFonts w:hint="default"/>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35C16DF"/>
    <w:multiLevelType w:val="hybridMultilevel"/>
    <w:tmpl w:val="5A9A1E88"/>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8">
    <w:nsid w:val="47891B0C"/>
    <w:multiLevelType w:val="hybridMultilevel"/>
    <w:tmpl w:val="815635D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9A46786"/>
    <w:multiLevelType w:val="hybridMultilevel"/>
    <w:tmpl w:val="9B8AAD7E"/>
    <w:lvl w:ilvl="0" w:tplc="80248698">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56E67FE7"/>
    <w:multiLevelType w:val="hybridMultilevel"/>
    <w:tmpl w:val="500C52E2"/>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1">
    <w:nsid w:val="5C7B2F8C"/>
    <w:multiLevelType w:val="hybridMultilevel"/>
    <w:tmpl w:val="B0DC87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0EA3BC2"/>
    <w:multiLevelType w:val="hybridMultilevel"/>
    <w:tmpl w:val="82927DA6"/>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3">
    <w:nsid w:val="64F30B6C"/>
    <w:multiLevelType w:val="hybridMultilevel"/>
    <w:tmpl w:val="D2606A44"/>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4">
    <w:nsid w:val="65037958"/>
    <w:multiLevelType w:val="hybridMultilevel"/>
    <w:tmpl w:val="123E26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D2B668E"/>
    <w:multiLevelType w:val="hybridMultilevel"/>
    <w:tmpl w:val="CF9A021E"/>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6">
    <w:nsid w:val="6DA63D52"/>
    <w:multiLevelType w:val="hybridMultilevel"/>
    <w:tmpl w:val="729AE5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74467FB1"/>
    <w:multiLevelType w:val="hybridMultilevel"/>
    <w:tmpl w:val="EA0C605C"/>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8">
    <w:nsid w:val="75C54B4A"/>
    <w:multiLevelType w:val="hybridMultilevel"/>
    <w:tmpl w:val="32DEDE1A"/>
    <w:lvl w:ilvl="0" w:tplc="80248698">
      <w:numFmt w:val="bullet"/>
      <w:lvlText w:val="-"/>
      <w:lvlJc w:val="left"/>
      <w:pPr>
        <w:ind w:hanging="360" w:left="720"/>
      </w:pPr>
      <w:rPr>
        <w:rFonts w:ascii="Calibri Light" w:cs="Times New Roman" w:eastAsia="Times New Roman"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78C0E5B"/>
    <w:multiLevelType w:val="hybridMultilevel"/>
    <w:tmpl w:val="C448A01C"/>
    <w:lvl w:ilvl="0" w:tplc="019ACECA">
      <w:start w:val="1"/>
      <w:numFmt w:val="upperLetter"/>
      <w:lvlText w:val="%1.)"/>
      <w:lvlJc w:val="left"/>
      <w:pPr>
        <w:ind w:hanging="375" w:left="1085"/>
      </w:pPr>
      <w:rPr>
        <w:rFonts w:hint="default"/>
        <w:b w:val="0"/>
        <w:u w:val="single"/>
      </w:rPr>
    </w:lvl>
    <w:lvl w:ilvl="1" w:tentative="1" w:tplc="040C0019">
      <w:start w:val="1"/>
      <w:numFmt w:val="lowerLetter"/>
      <w:lvlText w:val="%2."/>
      <w:lvlJc w:val="left"/>
      <w:pPr>
        <w:ind w:hanging="360" w:left="1648"/>
      </w:pPr>
    </w:lvl>
    <w:lvl w:ilvl="2" w:tentative="1" w:tplc="040C001B">
      <w:start w:val="1"/>
      <w:numFmt w:val="lowerRoman"/>
      <w:lvlText w:val="%3."/>
      <w:lvlJc w:val="right"/>
      <w:pPr>
        <w:ind w:hanging="180" w:left="2368"/>
      </w:pPr>
    </w:lvl>
    <w:lvl w:ilvl="3" w:tentative="1" w:tplc="040C000F">
      <w:start w:val="1"/>
      <w:numFmt w:val="decimal"/>
      <w:lvlText w:val="%4."/>
      <w:lvlJc w:val="left"/>
      <w:pPr>
        <w:ind w:hanging="360" w:left="3088"/>
      </w:pPr>
    </w:lvl>
    <w:lvl w:ilvl="4" w:tentative="1" w:tplc="040C0019">
      <w:start w:val="1"/>
      <w:numFmt w:val="lowerLetter"/>
      <w:lvlText w:val="%5."/>
      <w:lvlJc w:val="left"/>
      <w:pPr>
        <w:ind w:hanging="360" w:left="3808"/>
      </w:pPr>
    </w:lvl>
    <w:lvl w:ilvl="5" w:tentative="1" w:tplc="040C001B">
      <w:start w:val="1"/>
      <w:numFmt w:val="lowerRoman"/>
      <w:lvlText w:val="%6."/>
      <w:lvlJc w:val="right"/>
      <w:pPr>
        <w:ind w:hanging="180" w:left="4528"/>
      </w:pPr>
    </w:lvl>
    <w:lvl w:ilvl="6" w:tentative="1" w:tplc="040C000F">
      <w:start w:val="1"/>
      <w:numFmt w:val="decimal"/>
      <w:lvlText w:val="%7."/>
      <w:lvlJc w:val="left"/>
      <w:pPr>
        <w:ind w:hanging="360" w:left="5248"/>
      </w:pPr>
    </w:lvl>
    <w:lvl w:ilvl="7" w:tentative="1" w:tplc="040C0019">
      <w:start w:val="1"/>
      <w:numFmt w:val="lowerLetter"/>
      <w:lvlText w:val="%8."/>
      <w:lvlJc w:val="left"/>
      <w:pPr>
        <w:ind w:hanging="360" w:left="5968"/>
      </w:pPr>
    </w:lvl>
    <w:lvl w:ilvl="8" w:tentative="1" w:tplc="040C001B">
      <w:start w:val="1"/>
      <w:numFmt w:val="lowerRoman"/>
      <w:lvlText w:val="%9."/>
      <w:lvlJc w:val="right"/>
      <w:pPr>
        <w:ind w:hanging="180" w:left="6688"/>
      </w:pPr>
    </w:lvl>
  </w:abstractNum>
  <w:abstractNum w15:restartNumberingAfterBreak="0" w:abstractNumId="30">
    <w:nsid w:val="7C1C04DD"/>
    <w:multiLevelType w:val="hybridMultilevel"/>
    <w:tmpl w:val="984C340C"/>
    <w:lvl w:ilvl="0" w:tplc="040C0001">
      <w:start w:val="1"/>
      <w:numFmt w:val="bullet"/>
      <w:lvlText w:val=""/>
      <w:lvlJc w:val="left"/>
      <w:pPr>
        <w:tabs>
          <w:tab w:pos="1004" w:val="num"/>
        </w:tabs>
        <w:ind w:hanging="360" w:left="1004"/>
      </w:pPr>
      <w:rPr>
        <w:rFonts w:ascii="Symbol" w:hAnsi="Symbol" w:hint="default"/>
      </w:rPr>
    </w:lvl>
    <w:lvl w:ilvl="1" w:tentative="1" w:tplc="040C0003">
      <w:start w:val="1"/>
      <w:numFmt w:val="bullet"/>
      <w:lvlText w:val="o"/>
      <w:lvlJc w:val="left"/>
      <w:pPr>
        <w:tabs>
          <w:tab w:pos="1724" w:val="num"/>
        </w:tabs>
        <w:ind w:hanging="360" w:left="1724"/>
      </w:pPr>
      <w:rPr>
        <w:rFonts w:ascii="Courier New" w:cs="Courier New" w:hAnsi="Courier New" w:hint="default"/>
      </w:rPr>
    </w:lvl>
    <w:lvl w:ilvl="2" w:tentative="1" w:tplc="040C0005">
      <w:start w:val="1"/>
      <w:numFmt w:val="bullet"/>
      <w:lvlText w:val=""/>
      <w:lvlJc w:val="left"/>
      <w:pPr>
        <w:tabs>
          <w:tab w:pos="2444" w:val="num"/>
        </w:tabs>
        <w:ind w:hanging="360" w:left="2444"/>
      </w:pPr>
      <w:rPr>
        <w:rFonts w:ascii="Wingdings" w:hAnsi="Wingdings" w:hint="default"/>
      </w:rPr>
    </w:lvl>
    <w:lvl w:ilvl="3" w:tentative="1" w:tplc="040C0001">
      <w:start w:val="1"/>
      <w:numFmt w:val="bullet"/>
      <w:lvlText w:val=""/>
      <w:lvlJc w:val="left"/>
      <w:pPr>
        <w:tabs>
          <w:tab w:pos="3164" w:val="num"/>
        </w:tabs>
        <w:ind w:hanging="360" w:left="3164"/>
      </w:pPr>
      <w:rPr>
        <w:rFonts w:ascii="Symbol" w:hAnsi="Symbol" w:hint="default"/>
      </w:rPr>
    </w:lvl>
    <w:lvl w:ilvl="4" w:tentative="1" w:tplc="040C0003">
      <w:start w:val="1"/>
      <w:numFmt w:val="bullet"/>
      <w:lvlText w:val="o"/>
      <w:lvlJc w:val="left"/>
      <w:pPr>
        <w:tabs>
          <w:tab w:pos="3884" w:val="num"/>
        </w:tabs>
        <w:ind w:hanging="360" w:left="3884"/>
      </w:pPr>
      <w:rPr>
        <w:rFonts w:ascii="Courier New" w:cs="Courier New" w:hAnsi="Courier New" w:hint="default"/>
      </w:rPr>
    </w:lvl>
    <w:lvl w:ilvl="5" w:tentative="1" w:tplc="040C0005">
      <w:start w:val="1"/>
      <w:numFmt w:val="bullet"/>
      <w:lvlText w:val=""/>
      <w:lvlJc w:val="left"/>
      <w:pPr>
        <w:tabs>
          <w:tab w:pos="4604" w:val="num"/>
        </w:tabs>
        <w:ind w:hanging="360" w:left="4604"/>
      </w:pPr>
      <w:rPr>
        <w:rFonts w:ascii="Wingdings" w:hAnsi="Wingdings" w:hint="default"/>
      </w:rPr>
    </w:lvl>
    <w:lvl w:ilvl="6" w:tentative="1" w:tplc="040C0001">
      <w:start w:val="1"/>
      <w:numFmt w:val="bullet"/>
      <w:lvlText w:val=""/>
      <w:lvlJc w:val="left"/>
      <w:pPr>
        <w:tabs>
          <w:tab w:pos="5324" w:val="num"/>
        </w:tabs>
        <w:ind w:hanging="360" w:left="5324"/>
      </w:pPr>
      <w:rPr>
        <w:rFonts w:ascii="Symbol" w:hAnsi="Symbol" w:hint="default"/>
      </w:rPr>
    </w:lvl>
    <w:lvl w:ilvl="7" w:tentative="1" w:tplc="040C0003">
      <w:start w:val="1"/>
      <w:numFmt w:val="bullet"/>
      <w:lvlText w:val="o"/>
      <w:lvlJc w:val="left"/>
      <w:pPr>
        <w:tabs>
          <w:tab w:pos="6044" w:val="num"/>
        </w:tabs>
        <w:ind w:hanging="360" w:left="6044"/>
      </w:pPr>
      <w:rPr>
        <w:rFonts w:ascii="Courier New" w:cs="Courier New" w:hAnsi="Courier New" w:hint="default"/>
      </w:rPr>
    </w:lvl>
    <w:lvl w:ilvl="8" w:tentative="1" w:tplc="040C0005">
      <w:start w:val="1"/>
      <w:numFmt w:val="bullet"/>
      <w:lvlText w:val=""/>
      <w:lvlJc w:val="left"/>
      <w:pPr>
        <w:tabs>
          <w:tab w:pos="6764" w:val="num"/>
        </w:tabs>
        <w:ind w:hanging="360" w:left="6764"/>
      </w:pPr>
      <w:rPr>
        <w:rFonts w:ascii="Wingdings" w:hAnsi="Wingdings" w:hint="default"/>
      </w:rPr>
    </w:lvl>
  </w:abstractNum>
  <w:abstractNum w15:restartNumberingAfterBreak="0" w:abstractNumId="31">
    <w:nsid w:val="7D5F0845"/>
    <w:multiLevelType w:val="hybridMultilevel"/>
    <w:tmpl w:val="85208768"/>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2">
    <w:nsid w:val="7EE14AA7"/>
    <w:multiLevelType w:val="hybridMultilevel"/>
    <w:tmpl w:val="7BDADFFC"/>
    <w:lvl w:ilvl="0" w:tplc="040C000D">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num w:numId="1">
    <w:abstractNumId w:val="9"/>
  </w:num>
  <w:num w:numId="2">
    <w:abstractNumId w:val="16"/>
  </w:num>
  <w:num w:numId="3">
    <w:abstractNumId w:val="29"/>
  </w:num>
  <w:num w:numId="4">
    <w:abstractNumId w:val="10"/>
  </w:num>
  <w:num w:numId="5">
    <w:abstractNumId w:val="18"/>
  </w:num>
  <w:num w:numId="6">
    <w:abstractNumId w:val="30"/>
  </w:num>
  <w:num w:numId="7">
    <w:abstractNumId w:val="0"/>
  </w:num>
  <w:num w:numId="8">
    <w:abstractNumId w:val="3"/>
  </w:num>
  <w:num w:numId="9">
    <w:abstractNumId w:val="24"/>
  </w:num>
  <w:num w:numId="10">
    <w:abstractNumId w:val="6"/>
  </w:num>
  <w:num w:numId="11">
    <w:abstractNumId w:val="11"/>
  </w:num>
  <w:num w:numId="12">
    <w:abstractNumId w:val="7"/>
  </w:num>
  <w:num w:numId="13">
    <w:abstractNumId w:val="1"/>
  </w:num>
  <w:num w:numId="14">
    <w:abstractNumId w:val="25"/>
  </w:num>
  <w:num w:numId="15">
    <w:abstractNumId w:val="8"/>
  </w:num>
  <w:num w:numId="16">
    <w:abstractNumId w:val="13"/>
  </w:num>
  <w:num w:numId="17">
    <w:abstractNumId w:val="31"/>
  </w:num>
  <w:num w:numId="18">
    <w:abstractNumId w:val="14"/>
  </w:num>
  <w:num w:numId="19">
    <w:abstractNumId w:val="15"/>
  </w:num>
  <w:num w:numId="20">
    <w:abstractNumId w:val="23"/>
  </w:num>
  <w:num w:numId="21">
    <w:abstractNumId w:val="5"/>
  </w:num>
  <w:num w:numId="22">
    <w:abstractNumId w:val="17"/>
  </w:num>
  <w:num w:numId="23">
    <w:abstractNumId w:val="20"/>
  </w:num>
  <w:num w:numId="24">
    <w:abstractNumId w:val="2"/>
  </w:num>
  <w:num w:numId="25">
    <w:abstractNumId w:val="22"/>
  </w:num>
  <w:num w:numId="26">
    <w:abstractNumId w:val="27"/>
  </w:num>
  <w:num w:numId="27">
    <w:abstractNumId w:val="32"/>
  </w:num>
  <w:num w:numId="28">
    <w:abstractNumId w:val="12"/>
  </w:num>
  <w:num w:numId="29">
    <w:abstractNumId w:val="19"/>
  </w:num>
  <w:num w:numId="30">
    <w:abstractNumId w:val="28"/>
  </w:num>
  <w:num w:numId="31">
    <w:abstractNumId w:val="4"/>
  </w:num>
  <w:num w:numId="32">
    <w:abstractNumId w:val="21"/>
  </w:num>
  <w:num w:numId="33">
    <w:abstractNumId w:val="26"/>
  </w:num>
  <w:num w:numId="34">
    <w:abstractNumId w:val="1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EF"/>
    <w:rsid w:val="000135BF"/>
    <w:rsid w:val="0001445B"/>
    <w:rsid w:val="00017E23"/>
    <w:rsid w:val="00032E95"/>
    <w:rsid w:val="0004324B"/>
    <w:rsid w:val="00062720"/>
    <w:rsid w:val="00081B78"/>
    <w:rsid w:val="000855B3"/>
    <w:rsid w:val="00095F89"/>
    <w:rsid w:val="000A1B7C"/>
    <w:rsid w:val="000A3CAD"/>
    <w:rsid w:val="000B75F1"/>
    <w:rsid w:val="000C5041"/>
    <w:rsid w:val="000E15E8"/>
    <w:rsid w:val="0011505F"/>
    <w:rsid w:val="001265D2"/>
    <w:rsid w:val="00145745"/>
    <w:rsid w:val="00173EE1"/>
    <w:rsid w:val="00180BF6"/>
    <w:rsid w:val="00182786"/>
    <w:rsid w:val="0018734D"/>
    <w:rsid w:val="00195968"/>
    <w:rsid w:val="001A242A"/>
    <w:rsid w:val="001A60FB"/>
    <w:rsid w:val="001D0C8B"/>
    <w:rsid w:val="001E02E7"/>
    <w:rsid w:val="001E1B33"/>
    <w:rsid w:val="00212708"/>
    <w:rsid w:val="00220CCB"/>
    <w:rsid w:val="00223E01"/>
    <w:rsid w:val="00225DC2"/>
    <w:rsid w:val="00231328"/>
    <w:rsid w:val="00240D93"/>
    <w:rsid w:val="00242177"/>
    <w:rsid w:val="00246FD1"/>
    <w:rsid w:val="00254894"/>
    <w:rsid w:val="00261AD3"/>
    <w:rsid w:val="00264D06"/>
    <w:rsid w:val="00277070"/>
    <w:rsid w:val="00281299"/>
    <w:rsid w:val="002829B6"/>
    <w:rsid w:val="0028739B"/>
    <w:rsid w:val="00291B07"/>
    <w:rsid w:val="0029233E"/>
    <w:rsid w:val="00292AC5"/>
    <w:rsid w:val="002956D3"/>
    <w:rsid w:val="002965E6"/>
    <w:rsid w:val="002A0BE6"/>
    <w:rsid w:val="002A3855"/>
    <w:rsid w:val="002A7315"/>
    <w:rsid w:val="002A7872"/>
    <w:rsid w:val="002D0DE3"/>
    <w:rsid w:val="002E1B40"/>
    <w:rsid w:val="002F0CF6"/>
    <w:rsid w:val="002F35E2"/>
    <w:rsid w:val="002F64CD"/>
    <w:rsid w:val="0031018B"/>
    <w:rsid w:val="00317F3A"/>
    <w:rsid w:val="00323FE4"/>
    <w:rsid w:val="00324D69"/>
    <w:rsid w:val="003268E6"/>
    <w:rsid w:val="00326CF9"/>
    <w:rsid w:val="0032703F"/>
    <w:rsid w:val="00331423"/>
    <w:rsid w:val="003403B2"/>
    <w:rsid w:val="00341F74"/>
    <w:rsid w:val="00354CCE"/>
    <w:rsid w:val="00354EE0"/>
    <w:rsid w:val="00356636"/>
    <w:rsid w:val="0036494F"/>
    <w:rsid w:val="00364A8D"/>
    <w:rsid w:val="00366198"/>
    <w:rsid w:val="003669F9"/>
    <w:rsid w:val="00384C8B"/>
    <w:rsid w:val="003A3345"/>
    <w:rsid w:val="003A3F58"/>
    <w:rsid w:val="003B480A"/>
    <w:rsid w:val="003D3F8A"/>
    <w:rsid w:val="003D4ECC"/>
    <w:rsid w:val="003D6FE9"/>
    <w:rsid w:val="003E2596"/>
    <w:rsid w:val="003E6DC3"/>
    <w:rsid w:val="003F72F5"/>
    <w:rsid w:val="004054AE"/>
    <w:rsid w:val="004122F1"/>
    <w:rsid w:val="00415C42"/>
    <w:rsid w:val="00426470"/>
    <w:rsid w:val="00434337"/>
    <w:rsid w:val="004447CA"/>
    <w:rsid w:val="0046274E"/>
    <w:rsid w:val="0046407A"/>
    <w:rsid w:val="00464256"/>
    <w:rsid w:val="00471AD9"/>
    <w:rsid w:val="00476245"/>
    <w:rsid w:val="004877A2"/>
    <w:rsid w:val="00496E5F"/>
    <w:rsid w:val="004A032A"/>
    <w:rsid w:val="004A07B8"/>
    <w:rsid w:val="004A231A"/>
    <w:rsid w:val="004A4152"/>
    <w:rsid w:val="004B577A"/>
    <w:rsid w:val="004D7E10"/>
    <w:rsid w:val="004E70F2"/>
    <w:rsid w:val="00501A31"/>
    <w:rsid w:val="00512EF0"/>
    <w:rsid w:val="005210AF"/>
    <w:rsid w:val="00521B98"/>
    <w:rsid w:val="005228C3"/>
    <w:rsid w:val="0052566F"/>
    <w:rsid w:val="005442F0"/>
    <w:rsid w:val="00545AA1"/>
    <w:rsid w:val="0055502B"/>
    <w:rsid w:val="00560637"/>
    <w:rsid w:val="00560AD2"/>
    <w:rsid w:val="005647AC"/>
    <w:rsid w:val="00564C92"/>
    <w:rsid w:val="0057615F"/>
    <w:rsid w:val="0058087D"/>
    <w:rsid w:val="00583F5A"/>
    <w:rsid w:val="005846FD"/>
    <w:rsid w:val="005848BA"/>
    <w:rsid w:val="005856F7"/>
    <w:rsid w:val="005924C4"/>
    <w:rsid w:val="005A72EF"/>
    <w:rsid w:val="005C4E5F"/>
    <w:rsid w:val="005C557B"/>
    <w:rsid w:val="005D01F6"/>
    <w:rsid w:val="005D2909"/>
    <w:rsid w:val="005D5969"/>
    <w:rsid w:val="005D698F"/>
    <w:rsid w:val="005E23AB"/>
    <w:rsid w:val="005F4759"/>
    <w:rsid w:val="006224DE"/>
    <w:rsid w:val="006252EB"/>
    <w:rsid w:val="00632288"/>
    <w:rsid w:val="00632382"/>
    <w:rsid w:val="00636FD8"/>
    <w:rsid w:val="006548F7"/>
    <w:rsid w:val="00657E59"/>
    <w:rsid w:val="006703A5"/>
    <w:rsid w:val="0067235C"/>
    <w:rsid w:val="00672DBF"/>
    <w:rsid w:val="00674DEA"/>
    <w:rsid w:val="00677ED2"/>
    <w:rsid w:val="00681E08"/>
    <w:rsid w:val="00686B33"/>
    <w:rsid w:val="00687BBA"/>
    <w:rsid w:val="006A733A"/>
    <w:rsid w:val="006C24FB"/>
    <w:rsid w:val="006C4A1F"/>
    <w:rsid w:val="006F4DD7"/>
    <w:rsid w:val="006F5693"/>
    <w:rsid w:val="006F5CC9"/>
    <w:rsid w:val="007021C3"/>
    <w:rsid w:val="0072545E"/>
    <w:rsid w:val="00737309"/>
    <w:rsid w:val="00740A3A"/>
    <w:rsid w:val="0074210E"/>
    <w:rsid w:val="007435FC"/>
    <w:rsid w:val="00763C29"/>
    <w:rsid w:val="0077508B"/>
    <w:rsid w:val="00784CE5"/>
    <w:rsid w:val="007902CC"/>
    <w:rsid w:val="0079250A"/>
    <w:rsid w:val="007A0BDE"/>
    <w:rsid w:val="007B07F6"/>
    <w:rsid w:val="007B5F22"/>
    <w:rsid w:val="007E51F7"/>
    <w:rsid w:val="00805285"/>
    <w:rsid w:val="008054C2"/>
    <w:rsid w:val="00825260"/>
    <w:rsid w:val="00833284"/>
    <w:rsid w:val="008379FE"/>
    <w:rsid w:val="0085492F"/>
    <w:rsid w:val="00856266"/>
    <w:rsid w:val="0086025E"/>
    <w:rsid w:val="00873F80"/>
    <w:rsid w:val="0088071D"/>
    <w:rsid w:val="008A1CDB"/>
    <w:rsid w:val="008A6C00"/>
    <w:rsid w:val="008B4AA3"/>
    <w:rsid w:val="008B4D9D"/>
    <w:rsid w:val="008B7ACF"/>
    <w:rsid w:val="008C06AB"/>
    <w:rsid w:val="008C07D9"/>
    <w:rsid w:val="008D353E"/>
    <w:rsid w:val="008E143D"/>
    <w:rsid w:val="008F2562"/>
    <w:rsid w:val="008F30E3"/>
    <w:rsid w:val="008F33E3"/>
    <w:rsid w:val="00910F5A"/>
    <w:rsid w:val="00913B4B"/>
    <w:rsid w:val="0091793D"/>
    <w:rsid w:val="0092273D"/>
    <w:rsid w:val="0094307F"/>
    <w:rsid w:val="00945C90"/>
    <w:rsid w:val="0095107B"/>
    <w:rsid w:val="0095204A"/>
    <w:rsid w:val="0096088C"/>
    <w:rsid w:val="00960AD9"/>
    <w:rsid w:val="00962003"/>
    <w:rsid w:val="00971E8B"/>
    <w:rsid w:val="00984F27"/>
    <w:rsid w:val="00986C05"/>
    <w:rsid w:val="00991831"/>
    <w:rsid w:val="00991A78"/>
    <w:rsid w:val="009B4137"/>
    <w:rsid w:val="009B6946"/>
    <w:rsid w:val="009C0409"/>
    <w:rsid w:val="009C4621"/>
    <w:rsid w:val="009C7E18"/>
    <w:rsid w:val="009D2DB2"/>
    <w:rsid w:val="009E3A29"/>
    <w:rsid w:val="009E3E8C"/>
    <w:rsid w:val="009E6263"/>
    <w:rsid w:val="009E746C"/>
    <w:rsid w:val="009F0BF2"/>
    <w:rsid w:val="009F3A88"/>
    <w:rsid w:val="009F5361"/>
    <w:rsid w:val="00A011FF"/>
    <w:rsid w:val="00A019F2"/>
    <w:rsid w:val="00A133C9"/>
    <w:rsid w:val="00A15C85"/>
    <w:rsid w:val="00A319DF"/>
    <w:rsid w:val="00A465A5"/>
    <w:rsid w:val="00A47DEC"/>
    <w:rsid w:val="00A536FC"/>
    <w:rsid w:val="00A653D0"/>
    <w:rsid w:val="00A701AE"/>
    <w:rsid w:val="00A72398"/>
    <w:rsid w:val="00A7709F"/>
    <w:rsid w:val="00A82AFD"/>
    <w:rsid w:val="00A8370C"/>
    <w:rsid w:val="00A85D20"/>
    <w:rsid w:val="00A9612D"/>
    <w:rsid w:val="00AA30D6"/>
    <w:rsid w:val="00AA4B6B"/>
    <w:rsid w:val="00AB6655"/>
    <w:rsid w:val="00AE1220"/>
    <w:rsid w:val="00AE54D1"/>
    <w:rsid w:val="00AF1D3C"/>
    <w:rsid w:val="00AF22EE"/>
    <w:rsid w:val="00AF6E71"/>
    <w:rsid w:val="00B02B6F"/>
    <w:rsid w:val="00B05E93"/>
    <w:rsid w:val="00B10800"/>
    <w:rsid w:val="00B12D26"/>
    <w:rsid w:val="00B24EC2"/>
    <w:rsid w:val="00B26234"/>
    <w:rsid w:val="00B332AC"/>
    <w:rsid w:val="00B43793"/>
    <w:rsid w:val="00B46547"/>
    <w:rsid w:val="00B531AA"/>
    <w:rsid w:val="00B56729"/>
    <w:rsid w:val="00B60095"/>
    <w:rsid w:val="00B620AE"/>
    <w:rsid w:val="00B63C8F"/>
    <w:rsid w:val="00B64DB0"/>
    <w:rsid w:val="00B66259"/>
    <w:rsid w:val="00B70B8D"/>
    <w:rsid w:val="00B7135A"/>
    <w:rsid w:val="00B76F88"/>
    <w:rsid w:val="00B77A73"/>
    <w:rsid w:val="00B84EB6"/>
    <w:rsid w:val="00B915CB"/>
    <w:rsid w:val="00BA1300"/>
    <w:rsid w:val="00BA6FC4"/>
    <w:rsid w:val="00BB3C69"/>
    <w:rsid w:val="00BC3283"/>
    <w:rsid w:val="00BC658B"/>
    <w:rsid w:val="00BD27DC"/>
    <w:rsid w:val="00BD2EAB"/>
    <w:rsid w:val="00BE3495"/>
    <w:rsid w:val="00BE38B0"/>
    <w:rsid w:val="00BF2FE7"/>
    <w:rsid w:val="00BF3AAF"/>
    <w:rsid w:val="00C113A4"/>
    <w:rsid w:val="00C25F30"/>
    <w:rsid w:val="00C336D8"/>
    <w:rsid w:val="00C36ECB"/>
    <w:rsid w:val="00C43630"/>
    <w:rsid w:val="00C4391E"/>
    <w:rsid w:val="00C479F4"/>
    <w:rsid w:val="00C527F5"/>
    <w:rsid w:val="00C664BE"/>
    <w:rsid w:val="00C72E0D"/>
    <w:rsid w:val="00C73F86"/>
    <w:rsid w:val="00C75F28"/>
    <w:rsid w:val="00C92479"/>
    <w:rsid w:val="00C949D7"/>
    <w:rsid w:val="00C977E2"/>
    <w:rsid w:val="00CB5D5E"/>
    <w:rsid w:val="00CB5FB5"/>
    <w:rsid w:val="00CD7123"/>
    <w:rsid w:val="00CE6F70"/>
    <w:rsid w:val="00CF6082"/>
    <w:rsid w:val="00D10F3A"/>
    <w:rsid w:val="00D14FD5"/>
    <w:rsid w:val="00D157A7"/>
    <w:rsid w:val="00D171E6"/>
    <w:rsid w:val="00D27955"/>
    <w:rsid w:val="00D3107B"/>
    <w:rsid w:val="00D42617"/>
    <w:rsid w:val="00D42877"/>
    <w:rsid w:val="00D621C1"/>
    <w:rsid w:val="00D74430"/>
    <w:rsid w:val="00D83143"/>
    <w:rsid w:val="00DB194B"/>
    <w:rsid w:val="00DC316C"/>
    <w:rsid w:val="00DD5A18"/>
    <w:rsid w:val="00DE1642"/>
    <w:rsid w:val="00DE1832"/>
    <w:rsid w:val="00E00FDC"/>
    <w:rsid w:val="00E12206"/>
    <w:rsid w:val="00E24146"/>
    <w:rsid w:val="00E45024"/>
    <w:rsid w:val="00E56395"/>
    <w:rsid w:val="00E80FDD"/>
    <w:rsid w:val="00E910C5"/>
    <w:rsid w:val="00E91137"/>
    <w:rsid w:val="00EA2073"/>
    <w:rsid w:val="00ED0F32"/>
    <w:rsid w:val="00ED47A4"/>
    <w:rsid w:val="00EE447E"/>
    <w:rsid w:val="00F07729"/>
    <w:rsid w:val="00F11725"/>
    <w:rsid w:val="00F15912"/>
    <w:rsid w:val="00F169DC"/>
    <w:rsid w:val="00F25A7C"/>
    <w:rsid w:val="00F354DA"/>
    <w:rsid w:val="00F37522"/>
    <w:rsid w:val="00F53CA9"/>
    <w:rsid w:val="00F54B77"/>
    <w:rsid w:val="00F74EBD"/>
    <w:rsid w:val="00F80CEE"/>
    <w:rsid w:val="00F9220E"/>
    <w:rsid w:val="00FB2726"/>
    <w:rsid w:val="00FB49BD"/>
    <w:rsid w:val="00FC04BA"/>
    <w:rsid w:val="00FC2502"/>
    <w:rsid w:val="00FD6C69"/>
    <w:rsid w:val="00FE054B"/>
    <w:rsid w:val="00FE678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2B8231BB"/>
  <w15:chartTrackingRefBased/>
  <w15:docId w15:val="{B3F41B80-89EC-4F6B-A95C-46C553E4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Titre1" w:type="paragraph">
    <w:name w:val="heading 1"/>
    <w:basedOn w:val="Normal"/>
    <w:next w:val="Normal"/>
    <w:link w:val="Titre1Car"/>
    <w:uiPriority w:val="9"/>
    <w:qFormat/>
    <w:rsid w:val="00264D06"/>
    <w:pPr>
      <w:autoSpaceDE w:val="0"/>
      <w:autoSpaceDN w:val="0"/>
      <w:adjustRightInd w:val="0"/>
      <w:spacing w:after="220" w:before="440" w:line="240" w:lineRule="auto"/>
      <w:jc w:val="both"/>
      <w:outlineLvl w:val="0"/>
    </w:pPr>
    <w:rPr>
      <w:b/>
      <w:sz w:val="24"/>
      <w:szCs w:val="24"/>
      <w:u w:val="single"/>
    </w:rPr>
  </w:style>
  <w:style w:styleId="Titre2" w:type="paragraph">
    <w:name w:val="heading 2"/>
    <w:basedOn w:val="Normal"/>
    <w:next w:val="Normal"/>
    <w:link w:val="Titre2Car"/>
    <w:uiPriority w:val="9"/>
    <w:unhideWhenUsed/>
    <w:qFormat/>
    <w:rsid w:val="00264D06"/>
    <w:pPr>
      <w:spacing w:after="220" w:before="440"/>
      <w:outlineLvl w:val="1"/>
    </w:pPr>
    <w:rPr>
      <w:b/>
      <w:i/>
    </w:rPr>
  </w:style>
  <w:style w:styleId="Titre3" w:type="paragraph">
    <w:name w:val="heading 3"/>
    <w:basedOn w:val="Normal"/>
    <w:next w:val="Normal"/>
    <w:link w:val="Titre3Car"/>
    <w:uiPriority w:val="9"/>
    <w:unhideWhenUsed/>
    <w:qFormat/>
    <w:rsid w:val="00DD5A18"/>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B84EB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B84EB6"/>
    <w:rPr>
      <w:rFonts w:ascii="Segoe UI" w:cs="Segoe UI" w:hAnsi="Segoe UI"/>
      <w:sz w:val="18"/>
      <w:szCs w:val="18"/>
    </w:rPr>
  </w:style>
  <w:style w:styleId="Paragraphedeliste" w:type="paragraph">
    <w:name w:val="List Paragraph"/>
    <w:basedOn w:val="Normal"/>
    <w:uiPriority w:val="34"/>
    <w:qFormat/>
    <w:rsid w:val="00B84EB6"/>
    <w:pPr>
      <w:spacing w:after="0" w:line="240" w:lineRule="auto"/>
      <w:ind w:left="720"/>
      <w:contextualSpacing/>
    </w:pPr>
    <w:rPr>
      <w:rFonts w:ascii="Times New Roman" w:cs="Times New Roman" w:eastAsia="Times New Roman" w:hAnsi="Times New Roman"/>
      <w:sz w:val="24"/>
      <w:szCs w:val="24"/>
      <w:lang w:eastAsia="fr-FR"/>
    </w:rPr>
  </w:style>
  <w:style w:styleId="En-tte" w:type="paragraph">
    <w:name w:val="header"/>
    <w:basedOn w:val="Normal"/>
    <w:link w:val="En-tteCar"/>
    <w:uiPriority w:val="99"/>
    <w:unhideWhenUsed/>
    <w:rsid w:val="00D621C1"/>
    <w:pPr>
      <w:tabs>
        <w:tab w:pos="4536" w:val="center"/>
        <w:tab w:pos="9072" w:val="right"/>
      </w:tabs>
      <w:spacing w:after="0" w:line="240" w:lineRule="auto"/>
    </w:pPr>
  </w:style>
  <w:style w:customStyle="1" w:styleId="En-tteCar" w:type="character">
    <w:name w:val="En-tête Car"/>
    <w:basedOn w:val="Policepardfaut"/>
    <w:link w:val="En-tte"/>
    <w:uiPriority w:val="99"/>
    <w:rsid w:val="00D621C1"/>
  </w:style>
  <w:style w:styleId="Pieddepage" w:type="paragraph">
    <w:name w:val="footer"/>
    <w:basedOn w:val="Normal"/>
    <w:link w:val="PieddepageCar"/>
    <w:uiPriority w:val="99"/>
    <w:unhideWhenUsed/>
    <w:rsid w:val="00D621C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621C1"/>
  </w:style>
  <w:style w:styleId="lev" w:type="character">
    <w:name w:val="Strong"/>
    <w:basedOn w:val="Policepardfaut"/>
    <w:uiPriority w:val="22"/>
    <w:qFormat/>
    <w:rsid w:val="0085492F"/>
    <w:rPr>
      <w:b/>
      <w:bCs/>
    </w:rPr>
  </w:style>
  <w:style w:styleId="Accentuation" w:type="character">
    <w:name w:val="Emphasis"/>
    <w:basedOn w:val="Policepardfaut"/>
    <w:uiPriority w:val="20"/>
    <w:qFormat/>
    <w:rsid w:val="008379FE"/>
    <w:rPr>
      <w:i/>
      <w:iCs/>
    </w:rPr>
  </w:style>
  <w:style w:styleId="Lienhypertexte" w:type="character">
    <w:name w:val="Hyperlink"/>
    <w:basedOn w:val="Policepardfaut"/>
    <w:uiPriority w:val="99"/>
    <w:unhideWhenUsed/>
    <w:rsid w:val="008379FE"/>
    <w:rPr>
      <w:color w:val="0000FF"/>
      <w:u w:val="single"/>
    </w:rPr>
  </w:style>
  <w:style w:customStyle="1" w:styleId="Titre1Car" w:type="character">
    <w:name w:val="Titre 1 Car"/>
    <w:basedOn w:val="Policepardfaut"/>
    <w:link w:val="Titre1"/>
    <w:uiPriority w:val="9"/>
    <w:rsid w:val="00264D06"/>
    <w:rPr>
      <w:b/>
      <w:sz w:val="24"/>
      <w:szCs w:val="24"/>
      <w:u w:val="single"/>
    </w:rPr>
  </w:style>
  <w:style w:styleId="En-ttedetabledesmatires" w:type="paragraph">
    <w:name w:val="TOC Heading"/>
    <w:basedOn w:val="Titre1"/>
    <w:next w:val="Normal"/>
    <w:uiPriority w:val="39"/>
    <w:unhideWhenUsed/>
    <w:qFormat/>
    <w:rsid w:val="00DD5A18"/>
    <w:pPr>
      <w:keepNext/>
      <w:keepLines/>
      <w:autoSpaceDE/>
      <w:autoSpaceDN/>
      <w:adjustRightInd/>
      <w:spacing w:before="240" w:line="259" w:lineRule="auto"/>
      <w:jc w:val="left"/>
      <w:outlineLvl w:val="9"/>
    </w:pPr>
    <w:rPr>
      <w:rFonts w:asciiTheme="majorHAnsi" w:cstheme="majorBidi" w:eastAsiaTheme="majorEastAsia" w:hAnsiTheme="majorHAnsi"/>
      <w:b w:val="0"/>
      <w:color w:themeColor="accent1" w:themeShade="BF" w:val="2E74B5"/>
      <w:sz w:val="32"/>
      <w:szCs w:val="32"/>
      <w:u w:val="none"/>
      <w:lang w:eastAsia="fr-FR"/>
    </w:rPr>
  </w:style>
  <w:style w:styleId="TM2" w:type="paragraph">
    <w:name w:val="toc 2"/>
    <w:basedOn w:val="Normal"/>
    <w:next w:val="Normal"/>
    <w:autoRedefine/>
    <w:uiPriority w:val="39"/>
    <w:unhideWhenUsed/>
    <w:rsid w:val="00DD5A18"/>
    <w:pPr>
      <w:spacing w:after="100"/>
      <w:ind w:left="220"/>
    </w:pPr>
    <w:rPr>
      <w:rFonts w:cs="Times New Roman" w:eastAsiaTheme="minorEastAsia"/>
      <w:lang w:eastAsia="fr-FR"/>
    </w:rPr>
  </w:style>
  <w:style w:styleId="TM1" w:type="paragraph">
    <w:name w:val="toc 1"/>
    <w:basedOn w:val="Normal"/>
    <w:next w:val="Normal"/>
    <w:autoRedefine/>
    <w:uiPriority w:val="39"/>
    <w:unhideWhenUsed/>
    <w:rsid w:val="00DD5A18"/>
    <w:pPr>
      <w:spacing w:after="100"/>
    </w:pPr>
    <w:rPr>
      <w:rFonts w:cs="Times New Roman" w:eastAsiaTheme="minorEastAsia"/>
      <w:lang w:eastAsia="fr-FR"/>
    </w:rPr>
  </w:style>
  <w:style w:styleId="TM3" w:type="paragraph">
    <w:name w:val="toc 3"/>
    <w:basedOn w:val="Normal"/>
    <w:next w:val="Normal"/>
    <w:autoRedefine/>
    <w:uiPriority w:val="39"/>
    <w:unhideWhenUsed/>
    <w:rsid w:val="00DD5A18"/>
    <w:pPr>
      <w:spacing w:after="100"/>
      <w:ind w:left="440"/>
    </w:pPr>
    <w:rPr>
      <w:rFonts w:cs="Times New Roman" w:eastAsiaTheme="minorEastAsia"/>
      <w:lang w:eastAsia="fr-FR"/>
    </w:rPr>
  </w:style>
  <w:style w:customStyle="1" w:styleId="Titre2Car" w:type="character">
    <w:name w:val="Titre 2 Car"/>
    <w:basedOn w:val="Policepardfaut"/>
    <w:link w:val="Titre2"/>
    <w:uiPriority w:val="9"/>
    <w:rsid w:val="00264D06"/>
    <w:rPr>
      <w:b/>
      <w:i/>
    </w:rPr>
  </w:style>
  <w:style w:customStyle="1" w:styleId="Titre3Car" w:type="character">
    <w:name w:val="Titre 3 Car"/>
    <w:basedOn w:val="Policepardfaut"/>
    <w:link w:val="Titre3"/>
    <w:uiPriority w:val="9"/>
    <w:rsid w:val="00DD5A18"/>
    <w:rPr>
      <w:rFonts w:asciiTheme="majorHAnsi" w:cstheme="majorBidi" w:eastAsiaTheme="majorEastAsia" w:hAnsiTheme="majorHAnsi"/>
      <w:color w:themeColor="accent1" w:themeShade="7F" w:val="1F4D78"/>
      <w:sz w:val="24"/>
      <w:szCs w:val="24"/>
    </w:rPr>
  </w:style>
  <w:style w:styleId="Marquedecommentaire" w:type="character">
    <w:name w:val="annotation reference"/>
    <w:basedOn w:val="Policepardfaut"/>
    <w:uiPriority w:val="99"/>
    <w:semiHidden/>
    <w:unhideWhenUsed/>
    <w:rsid w:val="0028739B"/>
    <w:rPr>
      <w:sz w:val="16"/>
      <w:szCs w:val="16"/>
    </w:rPr>
  </w:style>
  <w:style w:styleId="Commentaire" w:type="paragraph">
    <w:name w:val="annotation text"/>
    <w:basedOn w:val="Normal"/>
    <w:link w:val="CommentaireCar"/>
    <w:uiPriority w:val="99"/>
    <w:semiHidden/>
    <w:unhideWhenUsed/>
    <w:rsid w:val="0028739B"/>
    <w:pPr>
      <w:spacing w:line="240" w:lineRule="auto"/>
    </w:pPr>
    <w:rPr>
      <w:sz w:val="20"/>
      <w:szCs w:val="20"/>
    </w:rPr>
  </w:style>
  <w:style w:customStyle="1" w:styleId="CommentaireCar" w:type="character">
    <w:name w:val="Commentaire Car"/>
    <w:basedOn w:val="Policepardfaut"/>
    <w:link w:val="Commentaire"/>
    <w:uiPriority w:val="99"/>
    <w:semiHidden/>
    <w:rsid w:val="0028739B"/>
    <w:rPr>
      <w:sz w:val="20"/>
      <w:szCs w:val="20"/>
    </w:rPr>
  </w:style>
  <w:style w:styleId="Objetducommentaire" w:type="paragraph">
    <w:name w:val="annotation subject"/>
    <w:basedOn w:val="Commentaire"/>
    <w:next w:val="Commentaire"/>
    <w:link w:val="ObjetducommentaireCar"/>
    <w:uiPriority w:val="99"/>
    <w:semiHidden/>
    <w:unhideWhenUsed/>
    <w:rsid w:val="0028739B"/>
    <w:rPr>
      <w:b/>
      <w:bCs/>
    </w:rPr>
  </w:style>
  <w:style w:customStyle="1" w:styleId="ObjetducommentaireCar" w:type="character">
    <w:name w:val="Objet du commentaire Car"/>
    <w:basedOn w:val="CommentaireCar"/>
    <w:link w:val="Objetducommentaire"/>
    <w:uiPriority w:val="99"/>
    <w:semiHidden/>
    <w:rsid w:val="0028739B"/>
    <w:rPr>
      <w:b/>
      <w:bCs/>
      <w:sz w:val="20"/>
      <w:szCs w:val="20"/>
    </w:rPr>
  </w:style>
  <w:style w:styleId="NormalWeb" w:type="paragraph">
    <w:name w:val="Normal (Web)"/>
    <w:basedOn w:val="Normal"/>
    <w:uiPriority w:val="99"/>
    <w:unhideWhenUsed/>
    <w:rsid w:val="0095204A"/>
    <w:pPr>
      <w:spacing w:after="0" w:line="240" w:lineRule="auto"/>
    </w:pPr>
    <w:rPr>
      <w:rFonts w:ascii="Calibri" w:cs="Calibri" w:hAnsi="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7631">
      <w:bodyDiv w:val="1"/>
      <w:marLeft w:val="0"/>
      <w:marRight w:val="0"/>
      <w:marTop w:val="0"/>
      <w:marBottom w:val="0"/>
      <w:divBdr>
        <w:top w:val="none" w:sz="0" w:space="0" w:color="auto"/>
        <w:left w:val="none" w:sz="0" w:space="0" w:color="auto"/>
        <w:bottom w:val="none" w:sz="0" w:space="0" w:color="auto"/>
        <w:right w:val="none" w:sz="0" w:space="0" w:color="auto"/>
      </w:divBdr>
    </w:div>
    <w:div w:id="629675950">
      <w:bodyDiv w:val="1"/>
      <w:marLeft w:val="0"/>
      <w:marRight w:val="0"/>
      <w:marTop w:val="0"/>
      <w:marBottom w:val="0"/>
      <w:divBdr>
        <w:top w:val="none" w:sz="0" w:space="0" w:color="auto"/>
        <w:left w:val="none" w:sz="0" w:space="0" w:color="auto"/>
        <w:bottom w:val="none" w:sz="0" w:space="0" w:color="auto"/>
        <w:right w:val="none" w:sz="0" w:space="0" w:color="auto"/>
      </w:divBdr>
    </w:div>
    <w:div w:id="894925319">
      <w:bodyDiv w:val="1"/>
      <w:marLeft w:val="0"/>
      <w:marRight w:val="0"/>
      <w:marTop w:val="0"/>
      <w:marBottom w:val="0"/>
      <w:divBdr>
        <w:top w:val="none" w:sz="0" w:space="0" w:color="auto"/>
        <w:left w:val="none" w:sz="0" w:space="0" w:color="auto"/>
        <w:bottom w:val="none" w:sz="0" w:space="0" w:color="auto"/>
        <w:right w:val="none" w:sz="0" w:space="0" w:color="auto"/>
      </w:divBdr>
    </w:div>
    <w:div w:id="1346588646">
      <w:bodyDiv w:val="1"/>
      <w:marLeft w:val="0"/>
      <w:marRight w:val="0"/>
      <w:marTop w:val="0"/>
      <w:marBottom w:val="0"/>
      <w:divBdr>
        <w:top w:val="none" w:sz="0" w:space="0" w:color="auto"/>
        <w:left w:val="none" w:sz="0" w:space="0" w:color="auto"/>
        <w:bottom w:val="none" w:sz="0" w:space="0" w:color="auto"/>
        <w:right w:val="none" w:sz="0" w:space="0" w:color="auto"/>
      </w:divBdr>
    </w:div>
    <w:div w:id="1560243512">
      <w:bodyDiv w:val="1"/>
      <w:marLeft w:val="0"/>
      <w:marRight w:val="0"/>
      <w:marTop w:val="0"/>
      <w:marBottom w:val="0"/>
      <w:divBdr>
        <w:top w:val="none" w:sz="0" w:space="0" w:color="auto"/>
        <w:left w:val="none" w:sz="0" w:space="0" w:color="auto"/>
        <w:bottom w:val="none" w:sz="0" w:space="0" w:color="auto"/>
        <w:right w:val="none" w:sz="0" w:space="0" w:color="auto"/>
      </w:divBdr>
    </w:div>
    <w:div w:id="1691569229">
      <w:bodyDiv w:val="1"/>
      <w:marLeft w:val="0"/>
      <w:marRight w:val="0"/>
      <w:marTop w:val="0"/>
      <w:marBottom w:val="0"/>
      <w:divBdr>
        <w:top w:val="none" w:sz="0" w:space="0" w:color="auto"/>
        <w:left w:val="none" w:sz="0" w:space="0" w:color="auto"/>
        <w:bottom w:val="none" w:sz="0" w:space="0" w:color="auto"/>
        <w:right w:val="none" w:sz="0" w:space="0" w:color="auto"/>
      </w:divBdr>
    </w:div>
    <w:div w:id="1851988396">
      <w:bodyDiv w:val="1"/>
      <w:marLeft w:val="0"/>
      <w:marRight w:val="0"/>
      <w:marTop w:val="0"/>
      <w:marBottom w:val="0"/>
      <w:divBdr>
        <w:top w:val="none" w:sz="0" w:space="0" w:color="auto"/>
        <w:left w:val="none" w:sz="0" w:space="0" w:color="auto"/>
        <w:bottom w:val="none" w:sz="0" w:space="0" w:color="auto"/>
        <w:right w:val="none" w:sz="0" w:space="0" w:color="auto"/>
      </w:divBdr>
    </w:div>
    <w:div w:id="1998412774">
      <w:bodyDiv w:val="1"/>
      <w:marLeft w:val="0"/>
      <w:marRight w:val="0"/>
      <w:marTop w:val="0"/>
      <w:marBottom w:val="0"/>
      <w:divBdr>
        <w:top w:val="none" w:sz="0" w:space="0" w:color="auto"/>
        <w:left w:val="none" w:sz="0" w:space="0" w:color="auto"/>
        <w:bottom w:val="none" w:sz="0" w:space="0" w:color="auto"/>
        <w:right w:val="none" w:sz="0" w:space="0" w:color="auto"/>
      </w:divBdr>
    </w:div>
    <w:div w:id="2038388995">
      <w:bodyDiv w:val="1"/>
      <w:marLeft w:val="0"/>
      <w:marRight w:val="0"/>
      <w:marTop w:val="0"/>
      <w:marBottom w:val="0"/>
      <w:divBdr>
        <w:top w:val="none" w:sz="0" w:space="0" w:color="auto"/>
        <w:left w:val="none" w:sz="0" w:space="0" w:color="auto"/>
        <w:bottom w:val="none" w:sz="0" w:space="0" w:color="auto"/>
        <w:right w:val="none" w:sz="0" w:space="0" w:color="auto"/>
      </w:divBdr>
    </w:div>
    <w:div w:id="21437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s://www.legifrance.gouv.fr/affichTexte.do?cidTexte=JORFTEXT000036240557&amp;categorieLien=id"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9A15-D198-4910-8EBC-3E306A1B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3310</Words>
  <Characters>18208</Characters>
  <Application>Microsoft Office Word</Application>
  <DocSecurity>0</DocSecurity>
  <Lines>151</Lines>
  <Paragraphs>42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2022-12-20T15:15:00Z</dcterms:created>
  <cp:lastPrinted>2022-12-20T15:17:00Z</cp:lastPrinted>
  <dcterms:modified xsi:type="dcterms:W3CDTF">2022-12-20T15:17:00Z</dcterms:modified>
  <cp:revision>3</cp:revision>
</cp:coreProperties>
</file>