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n-GB" w:eastAsia="en-GB"/>
        </w:rPr>
      </w:pPr>
      <w:r>
        <w:rPr>
          <w:lang w:val="en-GB" w:eastAsia="en-GB"/>
        </w:rPr>
        <w:drawing>
          <wp:inline distT="0" distB="0" distL="0" distR="0">
            <wp:extent cx="2921635" cy="1057910"/>
            <wp:effectExtent l="0" t="0" r="0" b="0"/>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2"/>
                    <a:srcRect l="-15" t="-43" r="-15" b="-43"/>
                    <a:stretch>
                      <a:fillRect/>
                    </a:stretch>
                  </pic:blipFill>
                  <pic:spPr bwMode="auto">
                    <a:xfrm>
                      <a:off x="0" y="0"/>
                      <a:ext cx="2921635" cy="1057910"/>
                    </a:xfrm>
                    <a:prstGeom prst="rect">
                      <a:avLst/>
                    </a:prstGeom>
                  </pic:spPr>
                </pic:pic>
              </a:graphicData>
            </a:graphic>
          </wp:inline>
        </w:drawing>
      </w:r>
    </w:p>
    <w:p>
      <w:pPr>
        <w:pStyle w:val="Normal"/>
        <w:jc w:val="center"/>
        <w:rPr>
          <w:rFonts w:ascii="Arial" w:hAnsi="Arial" w:cs="Arial"/>
          <w:sz w:val="22"/>
          <w:szCs w:val="22"/>
          <w:lang w:val="en-GB" w:eastAsia="en-GB"/>
        </w:rPr>
      </w:pPr>
      <w:r>
        <w:rPr>
          <w:rFonts w:cs="Arial" w:ascii="Arial" w:hAnsi="Arial"/>
          <w:sz w:val="22"/>
          <w:szCs w:val="22"/>
          <w:lang w:val="en-GB" w:eastAsia="en-GB"/>
        </w:rPr>
      </w:r>
    </w:p>
    <w:p>
      <w:pPr>
        <w:pStyle w:val="Normal"/>
        <w:jc w:val="center"/>
        <w:rPr>
          <w:rFonts w:ascii="Arial" w:hAnsi="Arial" w:cs="Arial"/>
          <w:sz w:val="22"/>
          <w:szCs w:val="22"/>
        </w:rPr>
      </w:pPr>
      <w:r>
        <w:rPr>
          <w:rFonts w:cs="Arial" w:ascii="Arial" w:hAnsi="Arial"/>
          <w:sz w:val="22"/>
          <w:szCs w:val="22"/>
        </w:rPr>
      </w:r>
    </w:p>
    <w:p>
      <w:pPr>
        <w:pStyle w:val="Normal"/>
        <w:pBdr>
          <w:top w:val="single" w:sz="4" w:space="1" w:color="000000"/>
          <w:left w:val="single" w:sz="4" w:space="4" w:color="000000"/>
          <w:bottom w:val="single" w:sz="4" w:space="1" w:color="000000"/>
          <w:right w:val="single" w:sz="4" w:space="4" w:color="000000"/>
        </w:pBdr>
        <w:jc w:val="center"/>
        <w:rPr>
          <w:rFonts w:ascii="Arial" w:hAnsi="Arial" w:cs="Arial"/>
          <w:b/>
          <w:b/>
          <w:sz w:val="22"/>
          <w:szCs w:val="22"/>
        </w:rPr>
      </w:pPr>
      <w:r>
        <w:rPr>
          <w:rFonts w:cs="Arial" w:ascii="Arial" w:hAnsi="Arial"/>
          <w:b/>
          <w:sz w:val="22"/>
          <w:szCs w:val="22"/>
        </w:rPr>
      </w:r>
    </w:p>
    <w:p>
      <w:pPr>
        <w:pStyle w:val="Normal"/>
        <w:pBdr>
          <w:top w:val="single" w:sz="4" w:space="1" w:color="000000"/>
          <w:left w:val="single" w:sz="4" w:space="4" w:color="000000"/>
          <w:bottom w:val="single" w:sz="4" w:space="1" w:color="000000"/>
          <w:right w:val="single" w:sz="4" w:space="4" w:color="000000"/>
        </w:pBdr>
        <w:jc w:val="center"/>
        <w:rPr/>
      </w:pPr>
      <w:r>
        <w:rPr>
          <w:rFonts w:cs="Arial" w:ascii="Arial" w:hAnsi="Arial"/>
          <w:b/>
          <w:sz w:val="22"/>
          <w:szCs w:val="22"/>
        </w:rPr>
        <w:t>PROCES VERBAL D’ACCORD SUITE A LA NEGOCIATION ANNUELLE OBLIGATOIRE</w:t>
      </w:r>
    </w:p>
    <w:p>
      <w:pPr>
        <w:pStyle w:val="Normal"/>
        <w:pBdr>
          <w:top w:val="single" w:sz="4" w:space="1" w:color="000000"/>
          <w:left w:val="single" w:sz="4" w:space="4" w:color="000000"/>
          <w:bottom w:val="single" w:sz="4" w:space="1" w:color="000000"/>
          <w:right w:val="single" w:sz="4" w:space="4" w:color="000000"/>
        </w:pBdr>
        <w:jc w:val="center"/>
        <w:rPr>
          <w:rFonts w:ascii="Arial" w:hAnsi="Arial" w:cs="Arial"/>
          <w:b/>
          <w:b/>
          <w:sz w:val="22"/>
          <w:szCs w:val="22"/>
        </w:rPr>
      </w:pPr>
      <w:r>
        <w:rPr>
          <w:rFonts w:cs="Arial" w:ascii="Arial" w:hAnsi="Arial"/>
          <w:b/>
          <w:sz w:val="22"/>
          <w:szCs w:val="22"/>
        </w:rPr>
        <w:t xml:space="preserve">SUR LES SALAIRES EFFECTIFS, LA DUREE EFFECTIVE ET L’ORGANISATION DU </w:t>
      </w:r>
    </w:p>
    <w:p>
      <w:pPr>
        <w:pStyle w:val="Normal"/>
        <w:pBdr>
          <w:top w:val="single" w:sz="4" w:space="1" w:color="000000"/>
          <w:left w:val="single" w:sz="4" w:space="4" w:color="000000"/>
          <w:bottom w:val="single" w:sz="4" w:space="1" w:color="000000"/>
          <w:right w:val="single" w:sz="4" w:space="4" w:color="000000"/>
        </w:pBdr>
        <w:jc w:val="center"/>
        <w:rPr>
          <w:rFonts w:ascii="Arial" w:hAnsi="Arial" w:cs="Arial"/>
          <w:b/>
          <w:b/>
          <w:sz w:val="22"/>
          <w:szCs w:val="22"/>
        </w:rPr>
      </w:pPr>
      <w:r>
        <w:rPr>
          <w:rFonts w:cs="Arial" w:ascii="Arial" w:hAnsi="Arial"/>
          <w:b/>
          <w:sz w:val="22"/>
          <w:szCs w:val="22"/>
        </w:rPr>
        <w:t>TEMPS DE TRAVAIL, l’EGALITE HOMMES – FEMMES</w:t>
      </w:r>
    </w:p>
    <w:p>
      <w:pPr>
        <w:pStyle w:val="Normal"/>
        <w:pBdr>
          <w:top w:val="single" w:sz="4" w:space="1" w:color="000000"/>
          <w:left w:val="single" w:sz="4" w:space="4" w:color="000000"/>
          <w:bottom w:val="single" w:sz="4" w:space="1" w:color="000000"/>
          <w:right w:val="single" w:sz="4" w:space="4" w:color="000000"/>
        </w:pBdr>
        <w:jc w:val="center"/>
        <w:rPr>
          <w:rFonts w:ascii="Arial" w:hAnsi="Arial" w:cs="Arial"/>
          <w:b/>
          <w:b/>
          <w:sz w:val="32"/>
          <w:szCs w:val="32"/>
        </w:rPr>
      </w:pPr>
      <w:r>
        <w:rPr>
          <w:rFonts w:cs="Arial" w:ascii="Arial" w:hAnsi="Arial"/>
          <w:b/>
          <w:sz w:val="32"/>
          <w:szCs w:val="32"/>
        </w:rPr>
        <w:t>2022</w:t>
      </w:r>
    </w:p>
    <w:p>
      <w:pPr>
        <w:pStyle w:val="Normal"/>
        <w:pBdr>
          <w:top w:val="single" w:sz="4" w:space="1" w:color="000000"/>
          <w:left w:val="single" w:sz="4" w:space="4" w:color="000000"/>
          <w:bottom w:val="single" w:sz="4" w:space="1" w:color="000000"/>
          <w:right w:val="single" w:sz="4" w:space="4" w:color="000000"/>
        </w:pBdr>
        <w:jc w:val="center"/>
        <w:rPr>
          <w:rFonts w:ascii="Arial" w:hAnsi="Arial" w:cs="Arial"/>
          <w:b/>
          <w:b/>
          <w:sz w:val="22"/>
          <w:szCs w:val="22"/>
        </w:rPr>
      </w:pPr>
      <w:r>
        <w:rPr>
          <w:rFonts w:cs="Arial" w:ascii="Arial" w:hAnsi="Arial"/>
          <w:b/>
          <w:sz w:val="22"/>
          <w:szCs w:val="22"/>
        </w:rPr>
      </w:r>
    </w:p>
    <w:p>
      <w:pPr>
        <w:pStyle w:val="Normal"/>
        <w:rPr>
          <w:rFonts w:ascii="Arial" w:hAnsi="Arial" w:cs="Arial"/>
          <w:b/>
          <w:b/>
          <w:sz w:val="22"/>
          <w:szCs w:val="22"/>
        </w:rPr>
      </w:pPr>
      <w:r>
        <w:rPr>
          <w:rFonts w:cs="Arial" w:ascii="Arial" w:hAnsi="Arial"/>
          <w:b/>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Entre :</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b/>
          <w:bCs/>
          <w:sz w:val="22"/>
          <w:szCs w:val="22"/>
        </w:rPr>
        <w:t>La Société TECHNICAL CENTER EUROPE AFRICA</w:t>
      </w:r>
      <w:r>
        <w:rPr>
          <w:rFonts w:cs="Arial" w:ascii="Arial" w:hAnsi="Arial"/>
          <w:sz w:val="22"/>
          <w:szCs w:val="22"/>
        </w:rPr>
        <w:t xml:space="preserve"> (TCEA)</w:t>
      </w:r>
    </w:p>
    <w:p>
      <w:pPr>
        <w:pStyle w:val="Normal"/>
        <w:jc w:val="both"/>
        <w:rPr>
          <w:rFonts w:ascii="Arial" w:hAnsi="Arial" w:cs="Arial"/>
          <w:sz w:val="22"/>
          <w:szCs w:val="22"/>
        </w:rPr>
      </w:pPr>
      <w:r>
        <w:rPr>
          <w:rFonts w:cs="Arial" w:ascii="Arial" w:hAnsi="Arial"/>
          <w:sz w:val="22"/>
          <w:szCs w:val="22"/>
        </w:rPr>
        <w:t>représentée par Monsieur xxxx, en sa qualité de Directeur Ressources Humaines Sites Corporate France, dument habilité à signer le présent accord,</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D’une part,</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pPr>
      <w:r>
        <w:rPr>
          <w:rFonts w:cs="Arial" w:ascii="Arial" w:hAnsi="Arial"/>
          <w:sz w:val="22"/>
          <w:szCs w:val="22"/>
        </w:rPr>
        <w:t>Et</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b/>
          <w:bCs/>
          <w:sz w:val="22"/>
          <w:szCs w:val="22"/>
        </w:rPr>
        <w:t>La Fédération nationale des salariés de la construction et du bois</w:t>
      </w:r>
      <w:r>
        <w:rPr>
          <w:rFonts w:cs="Arial" w:ascii="Arial" w:hAnsi="Arial"/>
          <w:sz w:val="22"/>
          <w:szCs w:val="22"/>
        </w:rPr>
        <w:t xml:space="preserve"> (CFDT)</w:t>
      </w:r>
    </w:p>
    <w:p>
      <w:pPr>
        <w:pStyle w:val="Normal"/>
        <w:jc w:val="both"/>
        <w:rPr>
          <w:rFonts w:ascii="Arial" w:hAnsi="Arial" w:cs="Arial"/>
          <w:sz w:val="22"/>
          <w:szCs w:val="22"/>
        </w:rPr>
      </w:pPr>
      <w:r>
        <w:rPr>
          <w:rFonts w:cs="Arial" w:ascii="Arial" w:hAnsi="Arial"/>
          <w:sz w:val="22"/>
          <w:szCs w:val="22"/>
        </w:rPr>
        <w:t>représentée par Monsieur xxxx, Délégué syndical TCEA, dument habilité à signer le présent accord,</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D’autre part.</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Le TCEA et la CFDT sont cités ci-après ensemble comme les « Parties » et, individuellement, comme une « Partie ».</w:t>
      </w:r>
    </w:p>
    <w:p>
      <w:pPr>
        <w:pStyle w:val="Normal"/>
        <w:jc w:val="both"/>
        <w:rPr>
          <w:rFonts w:ascii="Arial" w:hAnsi="Arial" w:cs="Arial"/>
          <w:sz w:val="22"/>
          <w:szCs w:val="22"/>
        </w:rPr>
      </w:pPr>
      <w:r>
        <w:rPr>
          <w:rFonts w:cs="Arial" w:ascii="Arial" w:hAnsi="Arial"/>
          <w:sz w:val="22"/>
          <w:szCs w:val="22"/>
        </w:rPr>
      </w:r>
      <w:r>
        <w:br w:type="page"/>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
          <w:b/>
          <w:sz w:val="22"/>
          <w:szCs w:val="22"/>
        </w:rPr>
      </w:pPr>
      <w:r>
        <w:rPr>
          <w:rFonts w:cs="Arial" w:ascii="Arial" w:hAnsi="Arial"/>
          <w:b/>
          <w:sz w:val="22"/>
          <w:szCs w:val="22"/>
        </w:rPr>
        <w:t>PREAMBULE</w:t>
      </w:r>
    </w:p>
    <w:p>
      <w:pPr>
        <w:pStyle w:val="Normal"/>
        <w:jc w:val="both"/>
        <w:rPr>
          <w:rFonts w:ascii="Arial" w:hAnsi="Arial" w:cs="Arial"/>
          <w:b/>
          <w:b/>
          <w:sz w:val="22"/>
          <w:szCs w:val="22"/>
        </w:rPr>
      </w:pPr>
      <w:r>
        <w:rPr>
          <w:rFonts w:cs="Arial" w:ascii="Arial" w:hAnsi="Arial"/>
          <w:b/>
          <w:sz w:val="22"/>
          <w:szCs w:val="22"/>
        </w:rPr>
      </w:r>
    </w:p>
    <w:p>
      <w:pPr>
        <w:pStyle w:val="Normal"/>
        <w:jc w:val="both"/>
        <w:rPr/>
      </w:pPr>
      <w:r>
        <w:rPr>
          <w:rFonts w:cs="Arial" w:ascii="Arial" w:hAnsi="Arial"/>
          <w:sz w:val="22"/>
          <w:szCs w:val="22"/>
        </w:rPr>
        <w:t>Dans le cadre de la négociation annuelle prévue aux articles L.2241-1 et suivants du Code du Travail, au terme des réunions des 18, 25 janvier, 1</w:t>
      </w:r>
      <w:r>
        <w:rPr>
          <w:rFonts w:cs="Arial" w:ascii="Arial" w:hAnsi="Arial"/>
          <w:sz w:val="22"/>
          <w:szCs w:val="22"/>
          <w:vertAlign w:val="superscript"/>
        </w:rPr>
        <w:t>er</w:t>
      </w:r>
      <w:r>
        <w:rPr>
          <w:rFonts w:cs="Arial" w:ascii="Arial" w:hAnsi="Arial"/>
          <w:sz w:val="22"/>
          <w:szCs w:val="22"/>
        </w:rPr>
        <w:t xml:space="preserve"> et 3 février 2022, les Parties ont abordé et négocié sur les salaires, sur l’organisation du temps de travail, sur la durée effective du temps de travail, sur les mesures en matière d’égalité professionnelle entre les hommes et les femmes, sur les mesures relatives à l’insertion et au maintien dans l’emploi des travailleurs handicapés, notamment.</w:t>
      </w:r>
    </w:p>
    <w:p>
      <w:pPr>
        <w:pStyle w:val="Normal"/>
        <w:jc w:val="both"/>
        <w:rPr>
          <w:rFonts w:ascii="Arial" w:hAnsi="Arial" w:cs="Arial"/>
          <w:bCs/>
          <w:sz w:val="22"/>
          <w:szCs w:val="22"/>
        </w:rPr>
      </w:pPr>
      <w:r>
        <w:rPr>
          <w:rFonts w:cs="Arial" w:ascii="Arial" w:hAnsi="Arial"/>
          <w:bCs/>
          <w:sz w:val="22"/>
          <w:szCs w:val="22"/>
        </w:rPr>
      </w:r>
    </w:p>
    <w:p>
      <w:pPr>
        <w:pStyle w:val="Normal"/>
        <w:jc w:val="both"/>
        <w:rPr>
          <w:rFonts w:ascii="Arial" w:hAnsi="Arial" w:cs="Arial"/>
          <w:bCs/>
          <w:sz w:val="22"/>
          <w:szCs w:val="22"/>
        </w:rPr>
      </w:pPr>
      <w:r>
        <w:rPr>
          <w:rFonts w:cs="Arial" w:ascii="Arial" w:hAnsi="Arial"/>
          <w:bCs/>
          <w:sz w:val="22"/>
          <w:szCs w:val="22"/>
        </w:rPr>
      </w:r>
    </w:p>
    <w:p>
      <w:pPr>
        <w:pStyle w:val="Normal"/>
        <w:numPr>
          <w:ilvl w:val="0"/>
          <w:numId w:val="2"/>
        </w:numPr>
        <w:jc w:val="both"/>
        <w:rPr/>
      </w:pPr>
      <w:r>
        <w:rPr>
          <w:rFonts w:cs="Arial" w:ascii="Arial" w:hAnsi="Arial"/>
          <w:b/>
          <w:sz w:val="22"/>
          <w:szCs w:val="22"/>
        </w:rPr>
        <w:t>OBJET DE L’ACCORD</w:t>
      </w:r>
    </w:p>
    <w:p>
      <w:pPr>
        <w:pStyle w:val="Normal"/>
        <w:jc w:val="both"/>
        <w:rPr>
          <w:rFonts w:ascii="Arial" w:hAnsi="Arial" w:cs="Arial"/>
          <w:b/>
          <w:b/>
          <w:sz w:val="22"/>
          <w:szCs w:val="22"/>
        </w:rPr>
      </w:pPr>
      <w:r>
        <w:rPr>
          <w:rFonts w:cs="Arial" w:ascii="Arial" w:hAnsi="Arial"/>
          <w:b/>
          <w:sz w:val="22"/>
          <w:szCs w:val="22"/>
        </w:rPr>
      </w:r>
    </w:p>
    <w:p>
      <w:pPr>
        <w:pStyle w:val="Normal"/>
        <w:jc w:val="both"/>
        <w:rPr>
          <w:rFonts w:ascii="Arial" w:hAnsi="Arial" w:cs="Arial"/>
          <w:b/>
          <w:b/>
          <w:sz w:val="22"/>
          <w:szCs w:val="22"/>
        </w:rPr>
      </w:pPr>
      <w:r>
        <w:rPr>
          <w:rFonts w:cs="Arial" w:ascii="Arial" w:hAnsi="Arial"/>
          <w:b/>
          <w:sz w:val="22"/>
          <w:szCs w:val="22"/>
        </w:rPr>
        <w:t>Champ d'application de l'accord</w:t>
      </w:r>
    </w:p>
    <w:p>
      <w:pPr>
        <w:pStyle w:val="Normal"/>
        <w:jc w:val="both"/>
        <w:rPr>
          <w:rFonts w:ascii="Arial" w:hAnsi="Arial" w:cs="Arial"/>
          <w:sz w:val="22"/>
          <w:szCs w:val="22"/>
        </w:rPr>
      </w:pPr>
      <w:r>
        <w:rPr>
          <w:rFonts w:cs="Arial" w:ascii="Arial" w:hAnsi="Arial"/>
          <w:sz w:val="22"/>
          <w:szCs w:val="22"/>
        </w:rPr>
        <w:t>Le présent accord s'applique à l'ensemble des salariés de la société TCEA, des statuts ETDAM et Cadre.</w:t>
      </w:r>
    </w:p>
    <w:p>
      <w:pPr>
        <w:pStyle w:val="Normal"/>
        <w:jc w:val="both"/>
        <w:rPr>
          <w:rFonts w:ascii="Arial" w:hAnsi="Arial" w:cs="Arial"/>
          <w:bCs/>
          <w:sz w:val="22"/>
          <w:szCs w:val="22"/>
        </w:rPr>
      </w:pPr>
      <w:r>
        <w:rPr>
          <w:rFonts w:cs="Arial" w:ascii="Arial" w:hAnsi="Arial"/>
          <w:bCs/>
          <w:sz w:val="22"/>
          <w:szCs w:val="22"/>
        </w:rPr>
      </w:r>
    </w:p>
    <w:p>
      <w:pPr>
        <w:pStyle w:val="Normal"/>
        <w:jc w:val="both"/>
        <w:rPr>
          <w:rFonts w:ascii="Arial" w:hAnsi="Arial" w:cs="Arial"/>
          <w:b/>
          <w:b/>
          <w:sz w:val="22"/>
          <w:szCs w:val="22"/>
        </w:rPr>
      </w:pPr>
      <w:r>
        <w:rPr>
          <w:rFonts w:cs="Arial" w:ascii="Arial" w:hAnsi="Arial"/>
          <w:b/>
          <w:sz w:val="22"/>
          <w:szCs w:val="22"/>
        </w:rPr>
        <w:t>Durée de l’accord</w:t>
      </w:r>
    </w:p>
    <w:p>
      <w:pPr>
        <w:pStyle w:val="Heading5"/>
        <w:numPr>
          <w:ilvl w:val="0"/>
          <w:numId w:val="0"/>
        </w:numPr>
        <w:ind w:left="0" w:hanging="0"/>
        <w:jc w:val="both"/>
        <w:rPr>
          <w:rFonts w:ascii="Arial" w:hAnsi="Arial" w:cs="Arial"/>
          <w:b w:val="false"/>
          <w:b w:val="false"/>
          <w:sz w:val="22"/>
          <w:szCs w:val="22"/>
          <w:lang w:val="fr-FR"/>
        </w:rPr>
      </w:pPr>
      <w:r>
        <w:rPr>
          <w:rFonts w:cs="Arial" w:ascii="Arial" w:hAnsi="Arial"/>
          <w:b w:val="false"/>
          <w:sz w:val="22"/>
          <w:szCs w:val="22"/>
        </w:rPr>
        <w:t>Les dispositions suivantes constituent les mesures de révisions salariales applicables pour la période du </w:t>
      </w:r>
      <w:r>
        <w:rPr>
          <w:rFonts w:cs="Arial" w:ascii="Arial" w:hAnsi="Arial"/>
          <w:sz w:val="22"/>
          <w:szCs w:val="22"/>
          <w:lang w:val="fr-FR"/>
        </w:rPr>
        <w:t>1er</w:t>
      </w:r>
      <w:r>
        <w:rPr>
          <w:rFonts w:cs="Arial" w:ascii="Arial" w:hAnsi="Arial"/>
          <w:sz w:val="22"/>
          <w:szCs w:val="22"/>
        </w:rPr>
        <w:t xml:space="preserve"> </w:t>
      </w:r>
      <w:r>
        <w:rPr>
          <w:rFonts w:cs="Arial" w:ascii="Arial" w:hAnsi="Arial"/>
          <w:sz w:val="22"/>
          <w:szCs w:val="22"/>
          <w:lang w:val="fr-FR"/>
        </w:rPr>
        <w:t xml:space="preserve">janvier </w:t>
      </w:r>
      <w:r>
        <w:rPr>
          <w:rFonts w:cs="Arial" w:ascii="Arial" w:hAnsi="Arial"/>
          <w:sz w:val="22"/>
          <w:szCs w:val="22"/>
        </w:rPr>
        <w:t xml:space="preserve">au </w:t>
      </w:r>
      <w:r>
        <w:rPr>
          <w:rFonts w:cs="Arial" w:ascii="Arial" w:hAnsi="Arial"/>
          <w:sz w:val="22"/>
          <w:szCs w:val="22"/>
          <w:lang w:val="fr-FR"/>
        </w:rPr>
        <w:t>31 décembre 2022</w:t>
      </w:r>
      <w:r>
        <w:rPr>
          <w:rFonts w:cs="Arial" w:ascii="Arial" w:hAnsi="Arial"/>
          <w:b w:val="false"/>
          <w:sz w:val="22"/>
          <w:szCs w:val="22"/>
        </w:rPr>
        <w:t xml:space="preserve">, au sens prévu par l’article </w:t>
      </w:r>
      <w:r>
        <w:rPr>
          <w:rFonts w:cs="Arial" w:ascii="Arial" w:hAnsi="Arial"/>
          <w:b w:val="false"/>
          <w:sz w:val="22"/>
          <w:szCs w:val="22"/>
          <w:lang w:val="fr-FR"/>
        </w:rPr>
        <w:t>L.</w:t>
      </w:r>
      <w:r>
        <w:rPr>
          <w:rFonts w:cs="Arial" w:ascii="Arial" w:hAnsi="Arial"/>
          <w:b w:val="false"/>
          <w:sz w:val="22"/>
          <w:szCs w:val="22"/>
        </w:rPr>
        <w:t>2242-1 et suivant du Code du Travail.</w:t>
      </w:r>
    </w:p>
    <w:p>
      <w:pPr>
        <w:pStyle w:val="Normal"/>
        <w:jc w:val="both"/>
        <w:rPr>
          <w:rFonts w:ascii="Arial" w:hAnsi="Arial" w:cs="Arial"/>
          <w:b/>
          <w:b/>
          <w:bCs/>
          <w:sz w:val="22"/>
          <w:szCs w:val="22"/>
          <w:lang w:val="fr-FR"/>
        </w:rPr>
      </w:pPr>
      <w:r>
        <w:rPr>
          <w:rFonts w:cs="Arial" w:ascii="Arial" w:hAnsi="Arial"/>
          <w:b/>
          <w:bCs/>
          <w:sz w:val="22"/>
          <w:szCs w:val="22"/>
          <w:lang w:val="fr-FR"/>
        </w:rPr>
      </w:r>
    </w:p>
    <w:p>
      <w:pPr>
        <w:pStyle w:val="Normal"/>
        <w:jc w:val="both"/>
        <w:rPr>
          <w:rFonts w:ascii="Arial" w:hAnsi="Arial" w:cs="Arial"/>
          <w:bCs/>
          <w:sz w:val="22"/>
          <w:szCs w:val="22"/>
        </w:rPr>
      </w:pPr>
      <w:r>
        <w:rPr>
          <w:rFonts w:cs="Arial" w:ascii="Arial" w:hAnsi="Arial"/>
          <w:bCs/>
          <w:sz w:val="22"/>
          <w:szCs w:val="22"/>
        </w:rPr>
      </w:r>
    </w:p>
    <w:p>
      <w:pPr>
        <w:pStyle w:val="Normal"/>
        <w:numPr>
          <w:ilvl w:val="0"/>
          <w:numId w:val="2"/>
        </w:numPr>
        <w:jc w:val="both"/>
        <w:rPr>
          <w:rFonts w:ascii="Arial" w:hAnsi="Arial" w:cs="Arial"/>
          <w:b/>
          <w:b/>
          <w:sz w:val="22"/>
          <w:szCs w:val="22"/>
        </w:rPr>
      </w:pPr>
      <w:r>
        <w:rPr>
          <w:rFonts w:cs="Arial" w:ascii="Arial" w:hAnsi="Arial"/>
          <w:b/>
          <w:sz w:val="22"/>
          <w:szCs w:val="22"/>
        </w:rPr>
        <w:t>THEMES ABORDES</w:t>
      </w:r>
    </w:p>
    <w:p>
      <w:pPr>
        <w:pStyle w:val="Normal"/>
        <w:jc w:val="both"/>
        <w:rPr>
          <w:rFonts w:ascii="Arial" w:hAnsi="Arial" w:cs="Arial"/>
          <w:b/>
          <w:b/>
          <w:bCs/>
          <w:sz w:val="22"/>
          <w:szCs w:val="22"/>
        </w:rPr>
      </w:pPr>
      <w:r>
        <w:rPr>
          <w:rFonts w:cs="Arial" w:ascii="Arial" w:hAnsi="Arial"/>
          <w:b/>
          <w:bCs/>
          <w:sz w:val="22"/>
          <w:szCs w:val="22"/>
        </w:rPr>
      </w:r>
    </w:p>
    <w:p>
      <w:pPr>
        <w:pStyle w:val="Normal"/>
        <w:ind w:left="720" w:hanging="0"/>
        <w:jc w:val="both"/>
        <w:rPr>
          <w:rFonts w:ascii="Arial" w:hAnsi="Arial" w:cs="Arial"/>
          <w:b/>
          <w:b/>
          <w:sz w:val="22"/>
          <w:szCs w:val="22"/>
        </w:rPr>
      </w:pPr>
      <w:r>
        <w:rPr>
          <w:rFonts w:cs="Arial" w:ascii="Arial" w:hAnsi="Arial"/>
          <w:b/>
          <w:sz w:val="22"/>
          <w:szCs w:val="22"/>
        </w:rPr>
        <w:t>2. 1 - BLOC 1 : Rémunération, temps de travail et répartition valeur ajoutée</w:t>
      </w:r>
    </w:p>
    <w:p>
      <w:pPr>
        <w:pStyle w:val="Normal"/>
        <w:jc w:val="both"/>
        <w:rPr>
          <w:rFonts w:ascii="Arial" w:hAnsi="Arial" w:cs="Arial"/>
          <w:b/>
          <w:b/>
          <w:bCs/>
          <w:sz w:val="22"/>
          <w:szCs w:val="22"/>
        </w:rPr>
      </w:pPr>
      <w:r>
        <w:rPr>
          <w:rFonts w:cs="Arial" w:ascii="Arial" w:hAnsi="Arial"/>
          <w:b/>
          <w:bCs/>
          <w:sz w:val="22"/>
          <w:szCs w:val="22"/>
        </w:rPr>
      </w:r>
    </w:p>
    <w:p>
      <w:pPr>
        <w:pStyle w:val="Normal"/>
        <w:numPr>
          <w:ilvl w:val="0"/>
          <w:numId w:val="5"/>
        </w:numPr>
        <w:jc w:val="both"/>
        <w:rPr>
          <w:rFonts w:ascii="Arial" w:hAnsi="Arial" w:cs="Arial"/>
          <w:sz w:val="22"/>
          <w:szCs w:val="22"/>
          <w:u w:val="single"/>
        </w:rPr>
      </w:pPr>
      <w:r>
        <w:rPr>
          <w:rFonts w:cs="Arial" w:ascii="Arial" w:hAnsi="Arial"/>
          <w:sz w:val="22"/>
          <w:szCs w:val="22"/>
          <w:u w:val="single"/>
        </w:rPr>
        <w:t>Enveloppe globale d’augmentation</w:t>
      </w:r>
      <w:r>
        <w:rPr>
          <w:rFonts w:cs="Arial" w:ascii="Arial" w:hAnsi="Arial"/>
          <w:color w:val="000000"/>
          <w:sz w:val="22"/>
          <w:szCs w:val="22"/>
          <w:u w:val="single"/>
        </w:rPr>
        <w:t xml:space="preserve"> (hors promotion) pour l’année 2022</w:t>
      </w:r>
    </w:p>
    <w:p>
      <w:pPr>
        <w:pStyle w:val="Normal"/>
        <w:rPr>
          <w:rFonts w:ascii="Arial" w:hAnsi="Arial" w:cs="Arial"/>
          <w:sz w:val="22"/>
          <w:szCs w:val="22"/>
          <w:u w:val="single"/>
        </w:rPr>
      </w:pPr>
      <w:r>
        <w:rPr>
          <w:rFonts w:cs="Arial" w:ascii="Arial" w:hAnsi="Arial"/>
          <w:sz w:val="22"/>
          <w:szCs w:val="22"/>
          <w:u w:val="single"/>
        </w:rPr>
      </w:r>
    </w:p>
    <w:p>
      <w:pPr>
        <w:pStyle w:val="Normal"/>
        <w:jc w:val="both"/>
        <w:rPr>
          <w:rFonts w:ascii="Arial" w:hAnsi="Arial" w:cs="Arial"/>
          <w:color w:val="000000"/>
          <w:sz w:val="22"/>
          <w:szCs w:val="22"/>
        </w:rPr>
      </w:pPr>
      <w:r>
        <w:rPr>
          <w:rFonts w:cs="Arial" w:ascii="Arial" w:hAnsi="Arial"/>
          <w:sz w:val="22"/>
          <w:szCs w:val="22"/>
        </w:rPr>
        <w:t xml:space="preserve">Compte tenu du contexte économique et financier en tension au niveau national avec un taux d’inflation 2021 à 2,8%, </w:t>
      </w:r>
      <w:r>
        <w:rPr>
          <w:rFonts w:cs="Arial" w:ascii="Arial" w:hAnsi="Arial"/>
          <w:color w:val="000000"/>
          <w:sz w:val="22"/>
          <w:szCs w:val="22"/>
        </w:rPr>
        <w:t>la Direction du TCEA a décidé d’attribuer une enveloppe globale d’augmentation de</w:t>
      </w:r>
      <w:r>
        <w:rPr>
          <w:rFonts w:cs="Arial" w:ascii="Arial" w:hAnsi="Arial"/>
          <w:b/>
          <w:color w:val="000000"/>
          <w:sz w:val="22"/>
          <w:szCs w:val="22"/>
        </w:rPr>
        <w:t xml:space="preserve"> </w:t>
      </w:r>
      <w:r>
        <w:rPr>
          <w:rFonts w:cs="Arial" w:ascii="Arial" w:hAnsi="Arial"/>
          <w:b/>
          <w:bCs/>
          <w:sz w:val="22"/>
          <w:szCs w:val="22"/>
        </w:rPr>
        <w:t>3</w:t>
      </w:r>
      <w:r>
        <w:rPr>
          <w:rFonts w:cs="Arial" w:ascii="Arial" w:hAnsi="Arial"/>
          <w:b/>
          <w:bCs/>
          <w:color w:val="000000"/>
          <w:sz w:val="22"/>
          <w:szCs w:val="22"/>
        </w:rPr>
        <w:t xml:space="preserve"> </w:t>
      </w:r>
      <w:r>
        <w:rPr>
          <w:rFonts w:cs="Arial" w:ascii="Arial" w:hAnsi="Arial"/>
          <w:b/>
          <w:color w:val="000000"/>
          <w:sz w:val="22"/>
          <w:szCs w:val="22"/>
        </w:rPr>
        <w:t>%</w:t>
      </w:r>
      <w:r>
        <w:rPr>
          <w:rFonts w:cs="Arial" w:ascii="Arial" w:hAnsi="Arial"/>
          <w:color w:val="000000"/>
          <w:sz w:val="22"/>
          <w:szCs w:val="22"/>
        </w:rPr>
        <w:t> des Salaires Annuels Garantis (SAG).</w:t>
      </w:r>
    </w:p>
    <w:p>
      <w:pPr>
        <w:pStyle w:val="Normal"/>
        <w:jc w:val="both"/>
        <w:rPr>
          <w:rFonts w:ascii="Arial" w:hAnsi="Arial" w:cs="Arial"/>
          <w:color w:val="000000"/>
          <w:sz w:val="22"/>
          <w:szCs w:val="22"/>
        </w:rPr>
      </w:pPr>
      <w:r>
        <w:rPr>
          <w:rFonts w:cs="Arial" w:ascii="Arial" w:hAnsi="Arial"/>
          <w:color w:val="000000"/>
          <w:sz w:val="22"/>
          <w:szCs w:val="22"/>
        </w:rPr>
      </w:r>
    </w:p>
    <w:p>
      <w:pPr>
        <w:pStyle w:val="Normal"/>
        <w:spacing w:before="0" w:after="120"/>
        <w:jc w:val="both"/>
        <w:rPr/>
      </w:pPr>
      <w:r>
        <w:rPr>
          <w:rFonts w:cs="Arial" w:ascii="Arial" w:hAnsi="Arial"/>
          <w:color w:val="000000"/>
          <w:sz w:val="22"/>
          <w:szCs w:val="22"/>
        </w:rPr>
        <w:t>Cette enveloppe globale s’articule de la manière suivante :</w:t>
      </w:r>
    </w:p>
    <w:p>
      <w:pPr>
        <w:pStyle w:val="Paragraphedeliste"/>
        <w:numPr>
          <w:ilvl w:val="0"/>
          <w:numId w:val="3"/>
        </w:numPr>
        <w:jc w:val="both"/>
        <w:rPr>
          <w:rFonts w:ascii="Arial" w:hAnsi="Arial" w:cs="Arial"/>
          <w:color w:val="000000"/>
        </w:rPr>
      </w:pPr>
      <w:r>
        <w:rPr>
          <w:rFonts w:cs="Arial" w:ascii="Arial" w:hAnsi="Arial"/>
          <w:color w:val="000000"/>
        </w:rPr>
        <w:t>A titre tout à fait exceptionnel et malgré l’individualisation des rémunérations, une enveloppe</w:t>
      </w:r>
      <w:r>
        <w:rPr>
          <w:rFonts w:cs="Arial" w:ascii="Arial" w:hAnsi="Arial"/>
          <w:b/>
          <w:color w:val="000000"/>
        </w:rPr>
        <w:t xml:space="preserve"> </w:t>
      </w:r>
      <w:r>
        <w:rPr>
          <w:rFonts w:cs="Arial" w:ascii="Arial" w:hAnsi="Arial"/>
          <w:color w:val="000000"/>
        </w:rPr>
        <w:t>d’augmentation générale (AG) de</w:t>
      </w:r>
      <w:r>
        <w:rPr>
          <w:rFonts w:cs="Arial" w:ascii="Arial" w:hAnsi="Arial"/>
          <w:b/>
          <w:color w:val="000000"/>
        </w:rPr>
        <w:t xml:space="preserve"> 2,5%</w:t>
      </w:r>
      <w:r>
        <w:rPr>
          <w:rFonts w:cs="Arial" w:ascii="Arial" w:hAnsi="Arial"/>
          <w:color w:val="000000"/>
        </w:rPr>
        <w:t xml:space="preserve"> est attribuée pour l’ensemble des salariés ETDAM et Cadres ;</w:t>
      </w:r>
    </w:p>
    <w:p>
      <w:pPr>
        <w:pStyle w:val="Paragraphedeliste"/>
        <w:numPr>
          <w:ilvl w:val="0"/>
          <w:numId w:val="3"/>
        </w:numPr>
        <w:jc w:val="both"/>
        <w:rPr>
          <w:rFonts w:ascii="Arial" w:hAnsi="Arial" w:cs="Arial"/>
        </w:rPr>
      </w:pPr>
      <w:r>
        <w:rPr>
          <w:rFonts w:cs="Arial" w:ascii="Arial" w:hAnsi="Arial"/>
          <w:color w:val="000000"/>
        </w:rPr>
        <w:t>Une enveloppe</w:t>
      </w:r>
      <w:r>
        <w:rPr>
          <w:rFonts w:cs="Arial" w:ascii="Arial" w:hAnsi="Arial"/>
          <w:b/>
          <w:color w:val="000000"/>
        </w:rPr>
        <w:t xml:space="preserve"> </w:t>
      </w:r>
      <w:r>
        <w:rPr>
          <w:rFonts w:cs="Arial" w:ascii="Arial" w:hAnsi="Arial"/>
          <w:color w:val="000000"/>
        </w:rPr>
        <w:t xml:space="preserve">d’augmentation individuelle </w:t>
      </w:r>
      <w:r>
        <w:rPr>
          <w:rFonts w:cs="Arial" w:ascii="Arial" w:hAnsi="Arial"/>
        </w:rPr>
        <w:t>résultant de performances exceptionnelles ou de rattrapages, et validées par 2 niveaux hiérarchiques et la DRH, de</w:t>
      </w:r>
      <w:r>
        <w:rPr>
          <w:rFonts w:cs="Arial" w:ascii="Arial" w:hAnsi="Arial"/>
          <w:b/>
          <w:color w:val="000000"/>
        </w:rPr>
        <w:t xml:space="preserve"> 0,5% </w:t>
      </w:r>
      <w:r>
        <w:rPr>
          <w:rFonts w:cs="Arial" w:ascii="Arial" w:hAnsi="Arial"/>
          <w:color w:val="000000"/>
        </w:rPr>
        <w:t>est octroyée</w:t>
      </w:r>
      <w:r>
        <w:rPr>
          <w:rFonts w:cs="Arial" w:ascii="Arial" w:hAnsi="Arial"/>
        </w:rPr>
        <w:t>.</w:t>
      </w:r>
    </w:p>
    <w:p>
      <w:pPr>
        <w:pStyle w:val="Normal"/>
        <w:rPr>
          <w:rFonts w:ascii="Arial" w:hAnsi="Arial" w:cs="Arial"/>
          <w:color w:val="000000"/>
          <w:sz w:val="22"/>
          <w:szCs w:val="22"/>
        </w:rPr>
      </w:pPr>
      <w:r>
        <w:rPr>
          <w:rFonts w:cs="Arial" w:ascii="Arial" w:hAnsi="Arial"/>
          <w:color w:val="000000"/>
          <w:sz w:val="22"/>
          <w:szCs w:val="22"/>
        </w:rPr>
      </w:r>
    </w:p>
    <w:p>
      <w:pPr>
        <w:pStyle w:val="Normal"/>
        <w:rPr>
          <w:rFonts w:ascii="Arial" w:hAnsi="Arial" w:cs="Arial"/>
          <w:color w:val="000000"/>
          <w:sz w:val="22"/>
          <w:szCs w:val="22"/>
        </w:rPr>
      </w:pPr>
      <w:r>
        <w:rPr>
          <w:rFonts w:cs="Arial" w:ascii="Arial" w:hAnsi="Arial"/>
          <w:color w:val="000000"/>
          <w:sz w:val="22"/>
          <w:szCs w:val="22"/>
        </w:rPr>
        <w:t>Ne sont pas concernés par cette enveloppe globale d’augmentation :</w:t>
      </w:r>
    </w:p>
    <w:p>
      <w:pPr>
        <w:pStyle w:val="Normal"/>
        <w:rPr>
          <w:rFonts w:ascii="Arial" w:hAnsi="Arial" w:cs="Arial"/>
          <w:color w:val="000000"/>
          <w:sz w:val="22"/>
          <w:szCs w:val="22"/>
        </w:rPr>
      </w:pPr>
      <w:r>
        <w:rPr>
          <w:rFonts w:cs="Arial" w:ascii="Arial" w:hAnsi="Arial"/>
          <w:color w:val="000000"/>
          <w:sz w:val="22"/>
          <w:szCs w:val="22"/>
        </w:rPr>
      </w:r>
    </w:p>
    <w:p>
      <w:pPr>
        <w:pStyle w:val="Paragraphedeliste"/>
        <w:numPr>
          <w:ilvl w:val="0"/>
          <w:numId w:val="4"/>
        </w:numPr>
        <w:jc w:val="both"/>
        <w:rPr>
          <w:rFonts w:ascii="Arial" w:hAnsi="Arial" w:cs="Arial"/>
          <w:color w:val="000000"/>
        </w:rPr>
      </w:pPr>
      <w:r>
        <w:rPr>
          <w:rFonts w:cs="Arial" w:ascii="Arial" w:hAnsi="Arial"/>
          <w:color w:val="000000"/>
        </w:rPr>
        <w:t>Les salariés ayant intégré l’entreprise ou ayant bénéficié d’une promotion après le 30 septembre 2021 ;</w:t>
      </w:r>
    </w:p>
    <w:p>
      <w:pPr>
        <w:pStyle w:val="Paragraphedeliste"/>
        <w:numPr>
          <w:ilvl w:val="0"/>
          <w:numId w:val="4"/>
        </w:numPr>
        <w:jc w:val="both"/>
        <w:rPr>
          <w:rFonts w:ascii="Arial" w:hAnsi="Arial" w:cs="Arial"/>
          <w:color w:val="000000"/>
        </w:rPr>
      </w:pPr>
      <w:r>
        <w:rPr>
          <w:rFonts w:cs="Arial" w:ascii="Arial" w:hAnsi="Arial"/>
          <w:color w:val="000000"/>
        </w:rPr>
        <w:t>Salariés détachés, impatriés, contrats en alternance.</w:t>
      </w:r>
    </w:p>
    <w:p>
      <w:pPr>
        <w:pStyle w:val="Normal"/>
        <w:jc w:val="both"/>
        <w:rPr>
          <w:rFonts w:ascii="Arial" w:hAnsi="Arial" w:cs="Arial"/>
          <w:color w:val="000000"/>
          <w:sz w:val="22"/>
          <w:szCs w:val="22"/>
        </w:rPr>
      </w:pPr>
      <w:r>
        <w:rPr>
          <w:rFonts w:cs="Arial" w:ascii="Arial" w:hAnsi="Arial"/>
          <w:color w:val="000000"/>
          <w:sz w:val="22"/>
          <w:szCs w:val="22"/>
        </w:rPr>
      </w:r>
    </w:p>
    <w:p>
      <w:pPr>
        <w:pStyle w:val="Normal"/>
        <w:jc w:val="both"/>
        <w:rPr>
          <w:rFonts w:ascii="Arial" w:hAnsi="Arial" w:cs="Arial"/>
          <w:sz w:val="22"/>
          <w:szCs w:val="22"/>
        </w:rPr>
      </w:pPr>
      <w:r>
        <w:rPr>
          <w:rFonts w:cs="Arial" w:ascii="Arial" w:hAnsi="Arial"/>
          <w:sz w:val="22"/>
          <w:szCs w:val="22"/>
        </w:rPr>
        <w:t>Cette mesure s’applique à effet du</w:t>
      </w:r>
      <w:r>
        <w:rPr>
          <w:rFonts w:cs="Arial" w:ascii="Arial" w:hAnsi="Arial"/>
          <w:b/>
          <w:sz w:val="22"/>
          <w:szCs w:val="22"/>
        </w:rPr>
        <w:t xml:space="preserve"> </w:t>
      </w:r>
      <w:r>
        <w:rPr>
          <w:rFonts w:cs="Arial" w:ascii="Arial" w:hAnsi="Arial"/>
          <w:sz w:val="22"/>
          <w:szCs w:val="22"/>
        </w:rPr>
        <w:t>1</w:t>
      </w:r>
      <w:r>
        <w:rPr>
          <w:rFonts w:cs="Arial" w:ascii="Arial" w:hAnsi="Arial"/>
          <w:sz w:val="22"/>
          <w:szCs w:val="22"/>
          <w:vertAlign w:val="superscript"/>
        </w:rPr>
        <w:t>er</w:t>
      </w:r>
      <w:r>
        <w:rPr>
          <w:rFonts w:cs="Arial" w:ascii="Arial" w:hAnsi="Arial"/>
          <w:sz w:val="22"/>
          <w:szCs w:val="22"/>
        </w:rPr>
        <w:t xml:space="preserve"> janvier 2022 et s’entend hors sommes versées au titre des bonus collectifs (et individuels le cas échéant) applicables à l’ensemble des salariés.</w:t>
      </w:r>
    </w:p>
    <w:p>
      <w:pPr>
        <w:pStyle w:val="Normal"/>
        <w:jc w:val="both"/>
        <w:rPr>
          <w:rFonts w:ascii="Arial" w:hAnsi="Arial" w:cs="Arial"/>
          <w:sz w:val="22"/>
          <w:szCs w:val="22"/>
        </w:rPr>
      </w:pPr>
      <w:r>
        <w:rPr>
          <w:rFonts w:cs="Arial" w:ascii="Arial" w:hAnsi="Arial"/>
          <w:sz w:val="22"/>
          <w:szCs w:val="22"/>
        </w:rPr>
      </w:r>
    </w:p>
    <w:p>
      <w:pPr>
        <w:pStyle w:val="Normal"/>
        <w:jc w:val="both"/>
        <w:rPr/>
      </w:pPr>
      <w:r>
        <w:rPr>
          <w:rFonts w:cs="Arial" w:ascii="Arial" w:hAnsi="Arial"/>
          <w:b/>
          <w:sz w:val="22"/>
          <w:szCs w:val="22"/>
        </w:rPr>
        <w:t>La Direction du TCEA rappelle que les managers doivent informer personnellement les membres de leur équipe quant au pourcentage d’augmentation et de bonus attribués et justifier cette attribution.</w:t>
      </w:r>
      <w:r>
        <w:br w:type="page"/>
      </w:r>
    </w:p>
    <w:p>
      <w:pPr>
        <w:pStyle w:val="Normal"/>
        <w:jc w:val="both"/>
        <w:rPr>
          <w:rFonts w:ascii="Arial" w:hAnsi="Arial" w:cs="Arial"/>
          <w:b/>
          <w:b/>
          <w:sz w:val="22"/>
          <w:szCs w:val="22"/>
        </w:rPr>
      </w:pPr>
      <w:r>
        <w:rPr>
          <w:rFonts w:cs="Arial" w:ascii="Arial" w:hAnsi="Arial"/>
          <w:b/>
          <w:sz w:val="22"/>
          <w:szCs w:val="22"/>
        </w:rPr>
      </w:r>
    </w:p>
    <w:p>
      <w:pPr>
        <w:pStyle w:val="Normal"/>
        <w:numPr>
          <w:ilvl w:val="0"/>
          <w:numId w:val="5"/>
        </w:numPr>
        <w:jc w:val="both"/>
        <w:rPr>
          <w:rFonts w:ascii="Arial" w:hAnsi="Arial" w:cs="Arial"/>
          <w:sz w:val="22"/>
          <w:szCs w:val="22"/>
          <w:u w:val="single"/>
        </w:rPr>
      </w:pPr>
      <w:r>
        <w:rPr>
          <w:rFonts w:cs="Arial" w:ascii="Arial" w:hAnsi="Arial"/>
          <w:sz w:val="22"/>
          <w:szCs w:val="22"/>
          <w:u w:val="single"/>
        </w:rPr>
        <w:t>Prime exceptionnelle pour l’année 2022</w:t>
      </w:r>
    </w:p>
    <w:p>
      <w:pPr>
        <w:pStyle w:val="Normal"/>
        <w:jc w:val="both"/>
        <w:rPr>
          <w:rFonts w:ascii="Arial" w:hAnsi="Arial" w:cs="Arial"/>
          <w:sz w:val="22"/>
          <w:szCs w:val="22"/>
          <w:u w:val="single"/>
        </w:rPr>
      </w:pPr>
      <w:r>
        <w:rPr>
          <w:rFonts w:cs="Arial" w:ascii="Arial" w:hAnsi="Arial"/>
          <w:sz w:val="22"/>
          <w:szCs w:val="22"/>
          <w:u w:val="single"/>
        </w:rPr>
      </w:r>
    </w:p>
    <w:p>
      <w:pPr>
        <w:pStyle w:val="Normal"/>
        <w:jc w:val="both"/>
        <w:rPr>
          <w:rFonts w:ascii="Arial" w:hAnsi="Arial" w:cs="Arial"/>
          <w:sz w:val="22"/>
          <w:szCs w:val="22"/>
        </w:rPr>
      </w:pPr>
      <w:r>
        <w:rPr>
          <w:rFonts w:cs="Arial" w:ascii="Arial" w:hAnsi="Arial"/>
          <w:sz w:val="22"/>
          <w:szCs w:val="22"/>
        </w:rPr>
        <w:t>Une prime exceptionnelle de 300 € bruts sera versée en juin 2022 à l’ensemble des salariés présents dans l’entreprise le 1</w:t>
      </w:r>
      <w:r>
        <w:rPr>
          <w:rFonts w:cs="Arial" w:ascii="Arial" w:hAnsi="Arial"/>
          <w:sz w:val="22"/>
          <w:szCs w:val="22"/>
          <w:vertAlign w:val="superscript"/>
        </w:rPr>
        <w:t>er</w:t>
      </w:r>
      <w:r>
        <w:rPr>
          <w:rFonts w:cs="Arial" w:ascii="Arial" w:hAnsi="Arial"/>
          <w:sz w:val="22"/>
          <w:szCs w:val="22"/>
        </w:rPr>
        <w:t xml:space="preserve"> janvier 2022 et toujours aux effectifs au moment du versement de la prime</w:t>
      </w:r>
      <w:r>
        <w:rPr>
          <w:rStyle w:val="Marquedecommentaire"/>
        </w:rPr>
        <w:t>.</w:t>
      </w:r>
    </w:p>
    <w:p>
      <w:pPr>
        <w:pStyle w:val="Normal"/>
        <w:jc w:val="both"/>
        <w:rPr>
          <w:rFonts w:ascii="Arial" w:hAnsi="Arial" w:cs="Arial"/>
          <w:sz w:val="22"/>
          <w:szCs w:val="22"/>
        </w:rPr>
      </w:pPr>
      <w:r>
        <w:rPr>
          <w:rFonts w:cs="Arial" w:ascii="Arial" w:hAnsi="Arial"/>
          <w:sz w:val="22"/>
          <w:szCs w:val="22"/>
        </w:rPr>
      </w:r>
    </w:p>
    <w:p>
      <w:pPr>
        <w:pStyle w:val="Normal"/>
        <w:jc w:val="both"/>
        <w:rPr/>
      </w:pPr>
      <w:r>
        <w:rPr>
          <w:rFonts w:cs="Arial" w:ascii="Arial" w:hAnsi="Arial"/>
          <w:sz w:val="22"/>
          <w:szCs w:val="22"/>
        </w:rPr>
        <w:t>Il est rappelé qu’une prime exceptionnelle d’un montant net de 220€ a également été attribuée sur la paie de janvier 2022, notamment pour accompagner les salariés dans leur organisation du travail, en lien avec la généralisation du télétravail, conséquence directe de la crise sanitaire que nous traversons.</w:t>
      </w:r>
    </w:p>
    <w:p>
      <w:pPr>
        <w:pStyle w:val="Normal"/>
        <w:jc w:val="both"/>
        <w:rPr>
          <w:rFonts w:ascii="Arial" w:hAnsi="Arial" w:cs="Arial"/>
          <w:sz w:val="22"/>
          <w:szCs w:val="22"/>
        </w:rPr>
      </w:pPr>
      <w:r>
        <w:rPr>
          <w:rFonts w:cs="Arial" w:ascii="Arial" w:hAnsi="Arial"/>
          <w:sz w:val="22"/>
          <w:szCs w:val="22"/>
        </w:rPr>
      </w:r>
    </w:p>
    <w:p>
      <w:pPr>
        <w:pStyle w:val="Normal"/>
        <w:numPr>
          <w:ilvl w:val="0"/>
          <w:numId w:val="5"/>
        </w:numPr>
        <w:jc w:val="both"/>
        <w:rPr>
          <w:rFonts w:ascii="Arial" w:hAnsi="Arial" w:cs="Arial"/>
          <w:sz w:val="22"/>
          <w:szCs w:val="22"/>
        </w:rPr>
      </w:pPr>
      <w:r>
        <w:rPr>
          <w:rFonts w:cs="Arial" w:ascii="Arial" w:hAnsi="Arial"/>
          <w:sz w:val="22"/>
          <w:szCs w:val="22"/>
          <w:u w:val="single"/>
        </w:rPr>
        <w:t>Discussion sur la possibilité d’inclure le bonus des Cadres bandes E et F dans le SAG</w:t>
      </w:r>
    </w:p>
    <w:p>
      <w:pPr>
        <w:pStyle w:val="Normal"/>
        <w:jc w:val="both"/>
        <w:rPr>
          <w:rFonts w:ascii="Arial" w:hAnsi="Arial" w:cs="Arial"/>
          <w:sz w:val="22"/>
          <w:szCs w:val="22"/>
        </w:rPr>
      </w:pPr>
      <w:r>
        <w:rPr>
          <w:rFonts w:cs="Arial" w:ascii="Arial" w:hAnsi="Arial"/>
          <w:sz w:val="22"/>
          <w:szCs w:val="22"/>
        </w:rPr>
      </w:r>
    </w:p>
    <w:p>
      <w:pPr>
        <w:pStyle w:val="Normal"/>
        <w:jc w:val="both"/>
        <w:rPr/>
      </w:pPr>
      <w:r>
        <w:rPr>
          <w:rFonts w:cs="Arial" w:ascii="Arial" w:hAnsi="Arial"/>
          <w:sz w:val="22"/>
          <w:szCs w:val="22"/>
        </w:rPr>
        <w:t>La Direction du TCEA s’engage à ouvrir une discussion sur ce sujet lors des prochaines négociations annuelles obligatoires.</w:t>
      </w:r>
    </w:p>
    <w:p>
      <w:pPr>
        <w:pStyle w:val="Normal"/>
        <w:jc w:val="both"/>
        <w:rPr>
          <w:rFonts w:ascii="Arial" w:hAnsi="Arial" w:cs="Arial"/>
          <w:sz w:val="22"/>
          <w:szCs w:val="22"/>
        </w:rPr>
      </w:pPr>
      <w:r>
        <w:rPr>
          <w:rFonts w:cs="Arial" w:ascii="Arial" w:hAnsi="Arial"/>
          <w:sz w:val="22"/>
          <w:szCs w:val="22"/>
        </w:rPr>
      </w:r>
    </w:p>
    <w:p>
      <w:pPr>
        <w:pStyle w:val="Normal"/>
        <w:numPr>
          <w:ilvl w:val="0"/>
          <w:numId w:val="5"/>
        </w:numPr>
        <w:jc w:val="both"/>
        <w:rPr>
          <w:rFonts w:ascii="Arial" w:hAnsi="Arial" w:cs="Arial"/>
          <w:sz w:val="22"/>
          <w:szCs w:val="22"/>
        </w:rPr>
      </w:pPr>
      <w:r>
        <w:rPr>
          <w:rFonts w:cs="Arial" w:ascii="Arial" w:hAnsi="Arial"/>
          <w:sz w:val="22"/>
          <w:szCs w:val="22"/>
          <w:u w:val="single"/>
        </w:rPr>
        <w:t>Gratification des stagiaires</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u w:val="single"/>
        </w:rPr>
      </w:pPr>
      <w:r>
        <w:rPr>
          <w:rFonts w:cs="Arial" w:ascii="Arial" w:hAnsi="Arial"/>
          <w:sz w:val="22"/>
          <w:szCs w:val="22"/>
        </w:rPr>
        <w:t>La gratification des stagiaires Bac +2/+3 sera désormais forfaitisée pour un montant de 800 € brut par mois.</w:t>
      </w:r>
    </w:p>
    <w:p>
      <w:pPr>
        <w:pStyle w:val="Normal"/>
        <w:jc w:val="both"/>
        <w:rPr>
          <w:rFonts w:ascii="Arial" w:hAnsi="Arial" w:cs="Arial"/>
          <w:sz w:val="22"/>
          <w:szCs w:val="22"/>
          <w:u w:val="single"/>
        </w:rPr>
      </w:pPr>
      <w:r>
        <w:rPr>
          <w:rFonts w:cs="Arial" w:ascii="Arial" w:hAnsi="Arial"/>
          <w:sz w:val="22"/>
          <w:szCs w:val="22"/>
          <w:u w:val="single"/>
        </w:rPr>
      </w:r>
    </w:p>
    <w:p>
      <w:pPr>
        <w:pStyle w:val="Normal"/>
        <w:jc w:val="both"/>
        <w:rPr>
          <w:rFonts w:ascii="Arial" w:hAnsi="Arial" w:cs="Arial"/>
          <w:sz w:val="22"/>
          <w:szCs w:val="22"/>
          <w:u w:val="single"/>
        </w:rPr>
      </w:pPr>
      <w:r>
        <w:rPr>
          <w:rFonts w:cs="Arial" w:ascii="Arial" w:hAnsi="Arial"/>
          <w:sz w:val="22"/>
          <w:szCs w:val="22"/>
          <w:u w:val="single"/>
        </w:rPr>
      </w:r>
    </w:p>
    <w:p>
      <w:pPr>
        <w:pStyle w:val="Normal"/>
        <w:ind w:left="709" w:hanging="0"/>
        <w:jc w:val="both"/>
        <w:rPr>
          <w:rFonts w:ascii="Arial" w:hAnsi="Arial" w:cs="Arial"/>
          <w:sz w:val="22"/>
          <w:szCs w:val="22"/>
          <w:u w:val="single"/>
        </w:rPr>
      </w:pPr>
      <w:r>
        <w:rPr>
          <w:rFonts w:cs="Arial" w:ascii="Arial" w:hAnsi="Arial"/>
          <w:b/>
          <w:sz w:val="22"/>
          <w:szCs w:val="22"/>
        </w:rPr>
        <w:t>2.2 - BLOC 2 : Egalité professionnelle, Qualité de vie au travail</w:t>
      </w:r>
    </w:p>
    <w:p>
      <w:pPr>
        <w:pStyle w:val="Normal"/>
        <w:jc w:val="both"/>
        <w:rPr>
          <w:rFonts w:ascii="Arial" w:hAnsi="Arial" w:cs="Arial"/>
          <w:sz w:val="22"/>
          <w:szCs w:val="22"/>
          <w:u w:val="single"/>
        </w:rPr>
      </w:pPr>
      <w:r>
        <w:rPr>
          <w:rFonts w:cs="Arial" w:ascii="Arial" w:hAnsi="Arial"/>
          <w:sz w:val="22"/>
          <w:szCs w:val="22"/>
          <w:u w:val="single"/>
        </w:rPr>
      </w:r>
    </w:p>
    <w:p>
      <w:pPr>
        <w:pStyle w:val="Normal"/>
        <w:numPr>
          <w:ilvl w:val="0"/>
          <w:numId w:val="5"/>
        </w:numPr>
        <w:jc w:val="both"/>
        <w:rPr>
          <w:rFonts w:ascii="Arial" w:hAnsi="Arial" w:cs="Arial"/>
          <w:sz w:val="22"/>
          <w:szCs w:val="22"/>
          <w:u w:val="single"/>
        </w:rPr>
      </w:pPr>
      <w:r>
        <w:rPr>
          <w:rFonts w:cs="Arial" w:ascii="Arial" w:hAnsi="Arial"/>
          <w:sz w:val="22"/>
          <w:szCs w:val="22"/>
          <w:u w:val="single"/>
        </w:rPr>
        <w:t>Egalité Professionnelle</w:t>
      </w:r>
    </w:p>
    <w:p>
      <w:pPr>
        <w:pStyle w:val="Normal"/>
        <w:jc w:val="both"/>
        <w:rPr>
          <w:rFonts w:ascii="Arial" w:hAnsi="Arial" w:cs="Arial"/>
          <w:sz w:val="22"/>
          <w:szCs w:val="22"/>
          <w:u w:val="single"/>
        </w:rPr>
      </w:pPr>
      <w:r>
        <w:rPr>
          <w:rFonts w:cs="Arial" w:ascii="Arial" w:hAnsi="Arial"/>
          <w:sz w:val="22"/>
          <w:szCs w:val="22"/>
          <w:u w:val="single"/>
        </w:rPr>
      </w:r>
    </w:p>
    <w:p>
      <w:pPr>
        <w:pStyle w:val="Paragraphedeliste"/>
        <w:ind w:left="0" w:hanging="0"/>
        <w:jc w:val="both"/>
        <w:rPr>
          <w:rFonts w:ascii="Arial" w:hAnsi="Arial" w:cs="Arial"/>
          <w:color w:val="000000"/>
        </w:rPr>
      </w:pPr>
      <w:r>
        <w:rPr>
          <w:rFonts w:cs="Arial" w:ascii="Arial" w:hAnsi="Arial"/>
          <w:color w:val="000000"/>
        </w:rPr>
        <w:t>La Direction du TCEA rappelle son engagement au respect du principe d’égalité de traitement entre les femmes et les hommes, et s’engage à poursuivre la mise en œuvre de mesures garantissant au mieux ce principe, et à réduire si cela s’avérait nécessaire les écarts de rémunération.</w:t>
      </w:r>
    </w:p>
    <w:p>
      <w:pPr>
        <w:pStyle w:val="Paragraphedeliste"/>
        <w:ind w:left="0" w:hanging="0"/>
        <w:jc w:val="both"/>
        <w:rPr>
          <w:rFonts w:ascii="Arial" w:hAnsi="Arial" w:cs="Arial"/>
          <w:color w:val="000000"/>
        </w:rPr>
      </w:pPr>
      <w:r>
        <w:rPr>
          <w:rFonts w:cs="Arial" w:ascii="Arial" w:hAnsi="Arial"/>
          <w:color w:val="000000"/>
        </w:rPr>
      </w:r>
    </w:p>
    <w:p>
      <w:pPr>
        <w:pStyle w:val="Paragraphedeliste"/>
        <w:ind w:left="0" w:hanging="0"/>
        <w:jc w:val="both"/>
        <w:rPr>
          <w:rFonts w:ascii="Arial" w:hAnsi="Arial" w:cs="Arial"/>
          <w:color w:val="000000"/>
        </w:rPr>
      </w:pPr>
      <w:r>
        <w:rPr>
          <w:rFonts w:cs="Arial" w:ascii="Arial" w:hAnsi="Arial"/>
          <w:color w:val="000000"/>
        </w:rPr>
        <w:t>C’est dans ce cadre que la société s’engage à :</w:t>
      </w:r>
    </w:p>
    <w:p>
      <w:pPr>
        <w:pStyle w:val="Paragraphedeliste"/>
        <w:ind w:left="0" w:hanging="0"/>
        <w:jc w:val="both"/>
        <w:rPr>
          <w:rFonts w:ascii="Arial" w:hAnsi="Arial" w:cs="Arial"/>
          <w:color w:val="000000"/>
        </w:rPr>
      </w:pPr>
      <w:r>
        <w:rPr>
          <w:rFonts w:cs="Arial" w:ascii="Arial" w:hAnsi="Arial"/>
          <w:color w:val="000000"/>
        </w:rPr>
      </w:r>
    </w:p>
    <w:p>
      <w:pPr>
        <w:pStyle w:val="Paragraphedeliste"/>
        <w:numPr>
          <w:ilvl w:val="0"/>
          <w:numId w:val="4"/>
        </w:numPr>
        <w:jc w:val="both"/>
        <w:rPr>
          <w:rFonts w:ascii="Arial" w:hAnsi="Arial" w:cs="Arial"/>
          <w:color w:val="000000"/>
        </w:rPr>
      </w:pPr>
      <w:r>
        <w:rPr>
          <w:rFonts w:cs="Arial" w:ascii="Arial" w:hAnsi="Arial"/>
          <w:color w:val="000000"/>
        </w:rPr>
        <w:t>Finaliser les négociations initiées en 2021 avec les organisations syndicales en signant l’accord égalité professionnelle ;</w:t>
      </w:r>
    </w:p>
    <w:p>
      <w:pPr>
        <w:pStyle w:val="Paragraphedeliste"/>
        <w:numPr>
          <w:ilvl w:val="0"/>
          <w:numId w:val="4"/>
        </w:numPr>
        <w:jc w:val="both"/>
        <w:rPr/>
      </w:pPr>
      <w:r>
        <w:rPr>
          <w:rFonts w:cs="Arial" w:ascii="Arial" w:hAnsi="Arial"/>
          <w:color w:val="000000"/>
        </w:rPr>
        <w:t>Proposer des rattrapages de salaires en cas d’écarts importants constatés, avec effet au 1</w:t>
      </w:r>
      <w:r>
        <w:rPr>
          <w:rFonts w:cs="Arial" w:ascii="Arial" w:hAnsi="Arial"/>
          <w:color w:val="000000"/>
          <w:vertAlign w:val="superscript"/>
        </w:rPr>
        <w:t>er</w:t>
      </w:r>
      <w:r>
        <w:rPr>
          <w:rFonts w:cs="Arial" w:ascii="Arial" w:hAnsi="Arial"/>
          <w:color w:val="000000"/>
        </w:rPr>
        <w:t xml:space="preserve"> septembre 2022.</w:t>
      </w:r>
    </w:p>
    <w:p>
      <w:pPr>
        <w:pStyle w:val="Paragraphedeliste"/>
        <w:ind w:left="0" w:hanging="0"/>
        <w:jc w:val="both"/>
        <w:rPr>
          <w:rFonts w:ascii="Arial" w:hAnsi="Arial" w:cs="Arial"/>
          <w:color w:val="000000"/>
        </w:rPr>
      </w:pPr>
      <w:r>
        <w:rPr>
          <w:rFonts w:cs="Arial" w:ascii="Arial" w:hAnsi="Arial"/>
          <w:color w:val="000000"/>
        </w:rPr>
      </w:r>
    </w:p>
    <w:p>
      <w:pPr>
        <w:pStyle w:val="Paragraphedeliste"/>
        <w:numPr>
          <w:ilvl w:val="0"/>
          <w:numId w:val="5"/>
        </w:numPr>
        <w:spacing w:lineRule="auto" w:line="240" w:before="0" w:after="0"/>
        <w:ind w:left="1066" w:hanging="357"/>
        <w:contextualSpacing/>
        <w:jc w:val="both"/>
        <w:rPr>
          <w:rFonts w:ascii="Arial" w:hAnsi="Arial" w:cs="Arial"/>
          <w:color w:val="000000"/>
        </w:rPr>
      </w:pPr>
      <w:r>
        <w:rPr>
          <w:rFonts w:cs="Arial" w:ascii="Arial" w:hAnsi="Arial"/>
          <w:u w:val="single"/>
        </w:rPr>
        <w:t>Handicap</w:t>
      </w:r>
    </w:p>
    <w:p>
      <w:pPr>
        <w:pStyle w:val="Normal"/>
        <w:jc w:val="both"/>
        <w:rPr>
          <w:rFonts w:ascii="Arial" w:hAnsi="Arial" w:cs="Arial"/>
          <w:color w:val="000000"/>
          <w:sz w:val="22"/>
        </w:rPr>
      </w:pPr>
      <w:r>
        <w:rPr>
          <w:rFonts w:cs="Arial" w:ascii="Arial" w:hAnsi="Arial"/>
          <w:color w:val="000000"/>
          <w:sz w:val="22"/>
        </w:rPr>
      </w:r>
    </w:p>
    <w:p>
      <w:pPr>
        <w:pStyle w:val="Normal"/>
        <w:jc w:val="both"/>
        <w:rPr/>
      </w:pPr>
      <w:r>
        <w:rPr>
          <w:rFonts w:cs="Arial" w:ascii="Arial" w:hAnsi="Arial"/>
          <w:color w:val="000000"/>
          <w:sz w:val="22"/>
        </w:rPr>
        <w:t>La Direction du TCEA s’engage à intégrer ce thème dans le cadre de l’accord égalité professionnelle.</w:t>
      </w:r>
    </w:p>
    <w:p>
      <w:pPr>
        <w:pStyle w:val="Normal"/>
        <w:jc w:val="both"/>
        <w:rPr>
          <w:rFonts w:ascii="Arial" w:hAnsi="Arial" w:cs="Arial"/>
          <w:color w:val="000000"/>
          <w:sz w:val="22"/>
          <w:szCs w:val="22"/>
        </w:rPr>
      </w:pPr>
      <w:r>
        <w:rPr>
          <w:rFonts w:cs="Arial" w:ascii="Arial" w:hAnsi="Arial"/>
          <w:color w:val="000000"/>
          <w:sz w:val="22"/>
          <w:szCs w:val="22"/>
        </w:rPr>
      </w:r>
    </w:p>
    <w:p>
      <w:pPr>
        <w:pStyle w:val="Normal"/>
        <w:numPr>
          <w:ilvl w:val="0"/>
          <w:numId w:val="5"/>
        </w:numPr>
        <w:jc w:val="both"/>
        <w:rPr>
          <w:rFonts w:ascii="Arial" w:hAnsi="Arial" w:cs="Arial"/>
          <w:sz w:val="22"/>
          <w:szCs w:val="22"/>
          <w:u w:val="single"/>
        </w:rPr>
      </w:pPr>
      <w:r>
        <w:rPr>
          <w:rFonts w:cs="Arial" w:ascii="Arial" w:hAnsi="Arial"/>
          <w:sz w:val="22"/>
          <w:szCs w:val="22"/>
          <w:u w:val="single"/>
        </w:rPr>
        <w:t>Autres thématiques</w:t>
      </w:r>
    </w:p>
    <w:p>
      <w:pPr>
        <w:pStyle w:val="Normal"/>
        <w:jc w:val="both"/>
        <w:rPr>
          <w:rFonts w:ascii="Arial" w:hAnsi="Arial" w:cs="Arial"/>
          <w:sz w:val="22"/>
          <w:szCs w:val="22"/>
          <w:u w:val="single"/>
        </w:rPr>
      </w:pPr>
      <w:r>
        <w:rPr>
          <w:rFonts w:cs="Arial" w:ascii="Arial" w:hAnsi="Arial"/>
          <w:sz w:val="22"/>
          <w:szCs w:val="22"/>
          <w:u w:val="single"/>
        </w:rPr>
      </w:r>
    </w:p>
    <w:p>
      <w:pPr>
        <w:pStyle w:val="Normal"/>
        <w:jc w:val="both"/>
        <w:rPr/>
      </w:pPr>
      <w:r>
        <w:rPr>
          <w:rFonts w:cs="Arial" w:ascii="Arial" w:hAnsi="Arial"/>
          <w:sz w:val="22"/>
          <w:szCs w:val="22"/>
        </w:rPr>
        <w:t>La Direction du TCEA s’engage à initier les négociations/discussions sur les sujets suivants :</w:t>
      </w:r>
    </w:p>
    <w:p>
      <w:pPr>
        <w:pStyle w:val="Normal"/>
        <w:jc w:val="both"/>
        <w:rPr>
          <w:rFonts w:ascii="Arial" w:hAnsi="Arial" w:cs="Arial"/>
          <w:sz w:val="22"/>
          <w:szCs w:val="22"/>
        </w:rPr>
      </w:pPr>
      <w:r>
        <w:rPr>
          <w:rFonts w:cs="Arial" w:ascii="Arial" w:hAnsi="Arial"/>
          <w:sz w:val="22"/>
          <w:szCs w:val="22"/>
        </w:rPr>
      </w:r>
    </w:p>
    <w:p>
      <w:pPr>
        <w:pStyle w:val="Paragraphedeliste"/>
        <w:numPr>
          <w:ilvl w:val="0"/>
          <w:numId w:val="4"/>
        </w:numPr>
        <w:jc w:val="both"/>
        <w:rPr>
          <w:rFonts w:ascii="Arial" w:hAnsi="Arial" w:cs="Arial"/>
          <w:color w:val="000000"/>
        </w:rPr>
      </w:pPr>
      <w:r>
        <w:rPr>
          <w:rFonts w:cs="Arial" w:ascii="Arial" w:hAnsi="Arial"/>
          <w:color w:val="000000"/>
        </w:rPr>
        <w:t>Accord Mobilité ;</w:t>
      </w:r>
    </w:p>
    <w:p>
      <w:pPr>
        <w:pStyle w:val="Paragraphedeliste"/>
        <w:numPr>
          <w:ilvl w:val="0"/>
          <w:numId w:val="4"/>
        </w:numPr>
        <w:jc w:val="both"/>
        <w:rPr>
          <w:rFonts w:ascii="Arial" w:hAnsi="Arial" w:cs="Arial"/>
          <w:color w:val="000000"/>
        </w:rPr>
      </w:pPr>
      <w:r>
        <w:rPr>
          <w:rFonts w:cs="Arial" w:ascii="Arial" w:hAnsi="Arial"/>
          <w:color w:val="000000"/>
        </w:rPr>
        <w:t>Accord de « Droit Syndical » ;</w:t>
      </w:r>
    </w:p>
    <w:p>
      <w:pPr>
        <w:pStyle w:val="Paragraphedeliste"/>
        <w:numPr>
          <w:ilvl w:val="0"/>
          <w:numId w:val="4"/>
        </w:numPr>
        <w:jc w:val="both"/>
        <w:rPr>
          <w:rFonts w:ascii="Arial" w:hAnsi="Arial" w:cs="Arial"/>
          <w:color w:val="000000"/>
        </w:rPr>
      </w:pPr>
      <w:r>
        <w:rPr>
          <w:rFonts w:cs="Arial" w:ascii="Arial" w:hAnsi="Arial"/>
          <w:color w:val="000000"/>
        </w:rPr>
        <w:t>Bourse études.</w:t>
      </w:r>
      <w:r>
        <w:br w:type="page"/>
      </w:r>
    </w:p>
    <w:p>
      <w:pPr>
        <w:pStyle w:val="Normal"/>
        <w:jc w:val="both"/>
        <w:rPr>
          <w:rFonts w:ascii="Arial" w:hAnsi="Arial" w:cs="Arial"/>
          <w:color w:val="000000"/>
          <w:sz w:val="22"/>
          <w:szCs w:val="22"/>
        </w:rPr>
      </w:pPr>
      <w:r>
        <w:rPr>
          <w:rFonts w:cs="Arial" w:ascii="Arial" w:hAnsi="Arial"/>
          <w:color w:val="000000"/>
          <w:sz w:val="22"/>
          <w:szCs w:val="22"/>
        </w:rPr>
      </w:r>
    </w:p>
    <w:p>
      <w:pPr>
        <w:pStyle w:val="Normal"/>
        <w:jc w:val="both"/>
        <w:rPr>
          <w:rFonts w:ascii="Arial" w:hAnsi="Arial" w:cs="Arial"/>
          <w:sz w:val="22"/>
          <w:szCs w:val="22"/>
        </w:rPr>
      </w:pPr>
      <w:r>
        <w:rPr>
          <w:rFonts w:cs="Arial" w:ascii="Arial" w:hAnsi="Arial"/>
          <w:sz w:val="22"/>
          <w:szCs w:val="22"/>
        </w:rPr>
      </w:r>
    </w:p>
    <w:p>
      <w:pPr>
        <w:pStyle w:val="Normal"/>
        <w:ind w:left="709" w:hanging="0"/>
        <w:jc w:val="both"/>
        <w:rPr>
          <w:rFonts w:ascii="Arial" w:hAnsi="Arial" w:cs="Arial"/>
          <w:sz w:val="22"/>
          <w:szCs w:val="22"/>
        </w:rPr>
      </w:pPr>
      <w:r>
        <w:rPr>
          <w:rFonts w:cs="Arial" w:ascii="Arial" w:hAnsi="Arial"/>
          <w:b/>
          <w:sz w:val="22"/>
          <w:szCs w:val="22"/>
        </w:rPr>
        <w:t>2.3 - BLOC 3 : Gestion des emplois et parcours</w:t>
      </w:r>
    </w:p>
    <w:p>
      <w:pPr>
        <w:pStyle w:val="Normal"/>
        <w:shd w:fill="FFFFFF" w:val="clear"/>
        <w:rPr>
          <w:rFonts w:ascii="Arial" w:hAnsi="Arial" w:cs="Arial"/>
          <w:color w:val="222222"/>
          <w:sz w:val="19"/>
          <w:szCs w:val="19"/>
        </w:rPr>
      </w:pPr>
      <w:r>
        <w:rPr>
          <w:rFonts w:cs="Arial" w:ascii="Arial" w:hAnsi="Arial"/>
          <w:color w:val="222222"/>
          <w:sz w:val="19"/>
          <w:szCs w:val="19"/>
        </w:rPr>
      </w:r>
    </w:p>
    <w:p>
      <w:pPr>
        <w:pStyle w:val="Normal"/>
        <w:numPr>
          <w:ilvl w:val="0"/>
          <w:numId w:val="5"/>
        </w:numPr>
        <w:jc w:val="both"/>
        <w:rPr>
          <w:rFonts w:ascii="Arial" w:hAnsi="Arial" w:cs="Arial"/>
          <w:sz w:val="22"/>
          <w:szCs w:val="22"/>
          <w:u w:val="single"/>
        </w:rPr>
      </w:pPr>
      <w:r>
        <w:rPr>
          <w:rFonts w:cs="Arial" w:ascii="Arial" w:hAnsi="Arial"/>
          <w:sz w:val="22"/>
          <w:szCs w:val="22"/>
          <w:u w:val="single"/>
        </w:rPr>
        <w:t>Employabilité des salariés</w:t>
      </w:r>
    </w:p>
    <w:p>
      <w:pPr>
        <w:pStyle w:val="Normal"/>
        <w:jc w:val="both"/>
        <w:rPr>
          <w:rFonts w:ascii="Arial" w:hAnsi="Arial" w:cs="Arial"/>
          <w:bCs/>
          <w:sz w:val="22"/>
          <w:szCs w:val="22"/>
          <w:u w:val="single"/>
        </w:rPr>
      </w:pPr>
      <w:r>
        <w:rPr>
          <w:rFonts w:cs="Arial" w:ascii="Arial" w:hAnsi="Arial"/>
          <w:bCs/>
          <w:sz w:val="22"/>
          <w:szCs w:val="22"/>
          <w:u w:val="single"/>
        </w:rPr>
      </w:r>
    </w:p>
    <w:p>
      <w:pPr>
        <w:pStyle w:val="Normal"/>
        <w:jc w:val="both"/>
        <w:rPr/>
      </w:pPr>
      <w:r>
        <w:rPr>
          <w:rFonts w:cs="Arial" w:ascii="Arial" w:hAnsi="Arial"/>
          <w:sz w:val="22"/>
          <w:szCs w:val="22"/>
        </w:rPr>
        <w:t>La Direction du TCEA s’engage à initier une négociation sur le thème de l’amélioration de l’employabilité des salariés.</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numPr>
          <w:ilvl w:val="0"/>
          <w:numId w:val="2"/>
        </w:numPr>
        <w:jc w:val="both"/>
        <w:rPr>
          <w:rFonts w:ascii="Arial" w:hAnsi="Arial" w:cs="Arial"/>
          <w:b/>
          <w:b/>
          <w:sz w:val="22"/>
          <w:szCs w:val="22"/>
        </w:rPr>
      </w:pPr>
      <w:r>
        <w:rPr>
          <w:rFonts w:cs="Arial" w:ascii="Arial" w:hAnsi="Arial"/>
          <w:b/>
          <w:sz w:val="22"/>
          <w:szCs w:val="22"/>
        </w:rPr>
        <w:t>MODALITES ET DEPOT</w:t>
      </w:r>
    </w:p>
    <w:p>
      <w:pPr>
        <w:pStyle w:val="Normal"/>
        <w:jc w:val="both"/>
        <w:rPr>
          <w:rFonts w:ascii="Arial" w:hAnsi="Arial" w:cs="Arial"/>
          <w:b/>
          <w:b/>
          <w:sz w:val="22"/>
          <w:szCs w:val="22"/>
        </w:rPr>
      </w:pPr>
      <w:r>
        <w:rPr>
          <w:rFonts w:cs="Arial" w:ascii="Arial" w:hAnsi="Arial"/>
          <w:b/>
          <w:sz w:val="22"/>
          <w:szCs w:val="22"/>
        </w:rPr>
      </w:r>
    </w:p>
    <w:p>
      <w:pPr>
        <w:pStyle w:val="Normal"/>
        <w:jc w:val="both"/>
        <w:rPr>
          <w:rFonts w:ascii="Arial" w:hAnsi="Arial" w:cs="Arial"/>
          <w:sz w:val="22"/>
          <w:szCs w:val="22"/>
        </w:rPr>
      </w:pPr>
      <w:r>
        <w:rPr>
          <w:rFonts w:cs="Arial" w:ascii="Arial" w:hAnsi="Arial"/>
          <w:sz w:val="22"/>
          <w:szCs w:val="22"/>
        </w:rPr>
        <w:t xml:space="preserve">Le présent accord fera l’objet d’un dépôt en </w:t>
      </w:r>
      <w:r>
        <w:rPr>
          <w:rFonts w:cs="Arial" w:ascii="Arial" w:hAnsi="Arial"/>
          <w:b/>
          <w:bCs/>
          <w:sz w:val="22"/>
          <w:szCs w:val="22"/>
        </w:rPr>
        <w:t>un</w:t>
      </w:r>
      <w:r>
        <w:rPr>
          <w:rFonts w:cs="Arial" w:ascii="Arial" w:hAnsi="Arial"/>
          <w:b/>
          <w:sz w:val="22"/>
          <w:szCs w:val="22"/>
        </w:rPr>
        <w:t xml:space="preserve"> exemplaire et d’une copie sur support électronique</w:t>
      </w:r>
      <w:r>
        <w:rPr>
          <w:rFonts w:cs="Arial" w:ascii="Arial" w:hAnsi="Arial"/>
          <w:sz w:val="22"/>
          <w:szCs w:val="22"/>
        </w:rPr>
        <w:t xml:space="preserve"> auprès de la Direction Régionale des Entreprises, de la Concurrence, de la Consommation, du Travail et de l’Emploi en application des dispositions du décret 2006-568 du 17 mai 2006.</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Un exemplaire original sera donné à chaque signataire.</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Le texte de cet accord sera affiché sur les tableaux d’information du personnel.</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tabs>
          <w:tab w:val="right" w:pos="2260" w:leader="none"/>
        </w:tabs>
        <w:jc w:val="both"/>
        <w:rPr>
          <w:rFonts w:ascii="Arial" w:hAnsi="Arial" w:cs="Arial"/>
          <w:sz w:val="22"/>
          <w:szCs w:val="22"/>
        </w:rPr>
      </w:pPr>
      <w:r>
        <w:rPr>
          <w:rFonts w:cs="Arial" w:ascii="Arial" w:hAnsi="Arial"/>
          <w:sz w:val="22"/>
          <w:szCs w:val="22"/>
        </w:rPr>
      </w:r>
    </w:p>
    <w:p>
      <w:pPr>
        <w:pStyle w:val="Normal"/>
        <w:tabs>
          <w:tab w:val="right" w:pos="2260" w:leader="none"/>
        </w:tabs>
        <w:jc w:val="both"/>
        <w:rPr>
          <w:rFonts w:ascii="Arial" w:hAnsi="Arial" w:cs="Arial"/>
          <w:sz w:val="22"/>
          <w:szCs w:val="22"/>
        </w:rPr>
      </w:pPr>
      <w:r>
        <w:rPr>
          <w:rFonts w:cs="Arial" w:ascii="Arial" w:hAnsi="Arial"/>
          <w:sz w:val="22"/>
          <w:szCs w:val="22"/>
        </w:rPr>
        <w:t>Fait à Saint Quentin Fallavier, le 11/03/2022</w:t>
      </w:r>
    </w:p>
    <w:p>
      <w:pPr>
        <w:pStyle w:val="Normal"/>
        <w:tabs>
          <w:tab w:val="right" w:pos="2260" w:leader="none"/>
        </w:tabs>
        <w:jc w:val="both"/>
        <w:rPr>
          <w:rFonts w:ascii="Arial" w:hAnsi="Arial" w:cs="Arial"/>
          <w:sz w:val="22"/>
          <w:szCs w:val="22"/>
        </w:rPr>
      </w:pPr>
      <w:r>
        <w:rPr>
          <w:rFonts w:cs="Arial" w:ascii="Arial" w:hAnsi="Arial"/>
          <w:sz w:val="22"/>
          <w:szCs w:val="22"/>
        </w:rPr>
      </w:r>
    </w:p>
    <w:p>
      <w:pPr>
        <w:pStyle w:val="Normal"/>
        <w:tabs>
          <w:tab w:val="right" w:pos="2260" w:leader="none"/>
        </w:tabs>
        <w:jc w:val="both"/>
        <w:rPr>
          <w:rFonts w:ascii="Arial" w:hAnsi="Arial" w:cs="Arial"/>
          <w:sz w:val="22"/>
          <w:szCs w:val="22"/>
        </w:rPr>
      </w:pPr>
      <w:r>
        <w:rPr>
          <w:rFonts w:cs="Arial" w:ascii="Arial" w:hAnsi="Arial"/>
          <w:sz w:val="22"/>
          <w:szCs w:val="22"/>
        </w:rPr>
      </w:r>
    </w:p>
    <w:tbl>
      <w:tblPr>
        <w:tblW w:w="10063" w:type="dxa"/>
        <w:jc w:val="left"/>
        <w:tblInd w:w="0" w:type="dxa"/>
        <w:tblBorders/>
        <w:tblCellMar>
          <w:top w:w="0" w:type="dxa"/>
          <w:left w:w="108" w:type="dxa"/>
          <w:bottom w:w="0" w:type="dxa"/>
          <w:right w:w="108" w:type="dxa"/>
        </w:tblCellMar>
      </w:tblPr>
      <w:tblGrid>
        <w:gridCol w:w="5031"/>
        <w:gridCol w:w="5032"/>
      </w:tblGrid>
      <w:tr>
        <w:trPr/>
        <w:tc>
          <w:tcPr>
            <w:tcW w:w="5031" w:type="dxa"/>
            <w:tcBorders/>
            <w:shd w:fill="auto" w:val="clear"/>
          </w:tcPr>
          <w:p>
            <w:pPr>
              <w:pStyle w:val="Normal"/>
              <w:tabs>
                <w:tab w:val="right" w:pos="2260" w:leader="none"/>
              </w:tabs>
              <w:rPr>
                <w:rFonts w:ascii="Arial" w:hAnsi="Arial" w:cs="Arial"/>
                <w:sz w:val="22"/>
                <w:szCs w:val="22"/>
              </w:rPr>
            </w:pPr>
            <w:r>
              <w:rPr>
                <w:rFonts w:cs="Arial" w:ascii="Arial" w:hAnsi="Arial"/>
                <w:sz w:val="22"/>
                <w:szCs w:val="22"/>
              </w:rPr>
              <w:t>Pour la Société TCEA ;</w:t>
            </w:r>
          </w:p>
          <w:p>
            <w:pPr>
              <w:pStyle w:val="Normal"/>
              <w:tabs>
                <w:tab w:val="right" w:pos="2260" w:leader="none"/>
              </w:tabs>
              <w:ind w:left="5664" w:hanging="5664"/>
              <w:rPr>
                <w:rFonts w:ascii="Arial" w:hAnsi="Arial" w:cs="Arial"/>
                <w:sz w:val="22"/>
                <w:szCs w:val="22"/>
              </w:rPr>
            </w:pPr>
            <w:r>
              <w:rPr>
                <w:rFonts w:cs="Arial" w:ascii="Arial" w:hAnsi="Arial"/>
                <w:sz w:val="22"/>
                <w:szCs w:val="22"/>
              </w:rPr>
              <w:t xml:space="preserve">représentée par </w:t>
            </w:r>
          </w:p>
          <w:p>
            <w:pPr>
              <w:pStyle w:val="Normal"/>
              <w:tabs>
                <w:tab w:val="right" w:pos="2260" w:leader="none"/>
              </w:tabs>
              <w:ind w:left="5664" w:hanging="5664"/>
              <w:rPr>
                <w:rFonts w:ascii="Arial" w:hAnsi="Arial" w:cs="Arial"/>
                <w:sz w:val="22"/>
                <w:szCs w:val="22"/>
              </w:rPr>
            </w:pPr>
            <w:r>
              <w:rPr>
                <w:rFonts w:cs="Arial" w:ascii="Arial" w:hAnsi="Arial"/>
                <w:sz w:val="22"/>
                <w:szCs w:val="22"/>
              </w:rPr>
            </w:r>
          </w:p>
          <w:p>
            <w:pPr>
              <w:pStyle w:val="Normal"/>
              <w:tabs>
                <w:tab w:val="right" w:pos="2260" w:leader="none"/>
              </w:tabs>
              <w:ind w:left="5664" w:hanging="5664"/>
              <w:rPr>
                <w:rFonts w:ascii="Arial" w:hAnsi="Arial" w:cs="Arial"/>
                <w:sz w:val="22"/>
                <w:szCs w:val="22"/>
              </w:rPr>
            </w:pPr>
            <w:r>
              <w:rPr>
                <w:rFonts w:cs="Arial" w:ascii="Arial" w:hAnsi="Arial"/>
                <w:sz w:val="22"/>
                <w:szCs w:val="22"/>
              </w:rPr>
            </w:r>
          </w:p>
          <w:p>
            <w:pPr>
              <w:pStyle w:val="Normal"/>
              <w:tabs>
                <w:tab w:val="right" w:pos="2260" w:leader="none"/>
              </w:tabs>
              <w:ind w:left="5664" w:hanging="5664"/>
              <w:rPr>
                <w:rFonts w:ascii="Arial" w:hAnsi="Arial" w:cs="Arial"/>
                <w:b/>
                <w:b/>
                <w:sz w:val="22"/>
                <w:szCs w:val="22"/>
              </w:rPr>
            </w:pPr>
            <w:r>
              <w:rPr>
                <w:rFonts w:cs="Arial" w:ascii="Arial" w:hAnsi="Arial"/>
                <w:b/>
                <w:sz w:val="22"/>
                <w:szCs w:val="22"/>
              </w:rPr>
              <w:t>Monsieur xxxx</w:t>
            </w:r>
          </w:p>
          <w:p>
            <w:pPr>
              <w:pStyle w:val="Normal"/>
              <w:tabs>
                <w:tab w:val="right" w:pos="2260" w:leader="none"/>
              </w:tabs>
              <w:ind w:left="5664" w:hanging="5664"/>
              <w:rPr>
                <w:rFonts w:ascii="Arial" w:hAnsi="Arial" w:cs="Arial"/>
                <w:b/>
                <w:b/>
                <w:sz w:val="22"/>
                <w:szCs w:val="22"/>
              </w:rPr>
            </w:pPr>
            <w:r>
              <w:rPr>
                <w:rFonts w:cs="Arial" w:ascii="Arial" w:hAnsi="Arial"/>
                <w:b/>
                <w:sz w:val="22"/>
                <w:szCs w:val="22"/>
              </w:rPr>
              <w:t>Directeur des Ressources Humaines Sites</w:t>
            </w:r>
          </w:p>
          <w:p>
            <w:pPr>
              <w:pStyle w:val="Normal"/>
              <w:tabs>
                <w:tab w:val="right" w:pos="2260" w:leader="none"/>
              </w:tabs>
              <w:ind w:left="5664" w:hanging="5664"/>
              <w:rPr>
                <w:rFonts w:ascii="Arial" w:hAnsi="Arial" w:cs="Arial"/>
                <w:b/>
                <w:b/>
                <w:sz w:val="22"/>
                <w:szCs w:val="22"/>
              </w:rPr>
            </w:pPr>
            <w:r>
              <w:rPr>
                <w:rFonts w:cs="Arial" w:ascii="Arial" w:hAnsi="Arial"/>
                <w:b/>
                <w:sz w:val="22"/>
                <w:szCs w:val="22"/>
              </w:rPr>
              <w:t>Corporate France</w:t>
            </w:r>
          </w:p>
        </w:tc>
        <w:tc>
          <w:tcPr>
            <w:tcW w:w="5032" w:type="dxa"/>
            <w:tcBorders/>
            <w:shd w:fill="auto" w:val="clear"/>
          </w:tcPr>
          <w:p>
            <w:pPr>
              <w:pStyle w:val="Normal"/>
              <w:tabs>
                <w:tab w:val="right" w:pos="2260" w:leader="none"/>
              </w:tabs>
              <w:jc w:val="both"/>
              <w:rPr>
                <w:rFonts w:ascii="Arial" w:hAnsi="Arial" w:cs="Arial"/>
                <w:sz w:val="22"/>
                <w:szCs w:val="22"/>
              </w:rPr>
            </w:pPr>
            <w:r>
              <w:rPr>
                <w:rFonts w:cs="Arial" w:ascii="Arial" w:hAnsi="Arial"/>
                <w:sz w:val="22"/>
                <w:szCs w:val="22"/>
              </w:rPr>
              <w:t>Pour la Fédération nationale des salariés de la construction et du bois CFDT ;</w:t>
            </w:r>
          </w:p>
          <w:p>
            <w:pPr>
              <w:pStyle w:val="Normal"/>
              <w:tabs>
                <w:tab w:val="right" w:pos="2260" w:leader="none"/>
              </w:tabs>
              <w:ind w:left="5664" w:hanging="5664"/>
              <w:rPr/>
            </w:pPr>
            <w:r>
              <w:rPr>
                <w:rFonts w:cs="Arial" w:ascii="Arial" w:hAnsi="Arial"/>
                <w:sz w:val="22"/>
                <w:szCs w:val="22"/>
              </w:rPr>
              <w:t xml:space="preserve">représentée par </w:t>
            </w:r>
          </w:p>
          <w:p>
            <w:pPr>
              <w:pStyle w:val="Normal"/>
              <w:tabs>
                <w:tab w:val="right" w:pos="2260" w:leader="none"/>
              </w:tabs>
              <w:ind w:left="5664" w:hanging="5664"/>
              <w:rPr>
                <w:rFonts w:ascii="Arial" w:hAnsi="Arial" w:cs="Arial"/>
                <w:sz w:val="22"/>
                <w:szCs w:val="22"/>
              </w:rPr>
            </w:pPr>
            <w:r>
              <w:rPr>
                <w:rFonts w:cs="Arial" w:ascii="Arial" w:hAnsi="Arial"/>
                <w:sz w:val="22"/>
                <w:szCs w:val="22"/>
              </w:rPr>
            </w:r>
          </w:p>
          <w:p>
            <w:pPr>
              <w:pStyle w:val="Normal"/>
              <w:tabs>
                <w:tab w:val="right" w:pos="2260" w:leader="none"/>
              </w:tabs>
              <w:ind w:left="5664" w:hanging="5664"/>
              <w:jc w:val="both"/>
              <w:rPr>
                <w:rFonts w:ascii="Arial" w:hAnsi="Arial" w:cs="Arial"/>
                <w:b/>
                <w:b/>
                <w:sz w:val="22"/>
                <w:szCs w:val="22"/>
              </w:rPr>
            </w:pPr>
            <w:r>
              <w:rPr>
                <w:rFonts w:cs="Arial" w:ascii="Arial" w:hAnsi="Arial"/>
                <w:b/>
                <w:sz w:val="22"/>
                <w:szCs w:val="22"/>
              </w:rPr>
              <w:t>Monsieur xxxx</w:t>
            </w:r>
          </w:p>
          <w:p>
            <w:pPr>
              <w:pStyle w:val="Normal"/>
              <w:tabs>
                <w:tab w:val="right" w:pos="2260" w:leader="none"/>
              </w:tabs>
              <w:ind w:left="5664" w:hanging="5664"/>
              <w:jc w:val="both"/>
              <w:rPr>
                <w:rFonts w:ascii="Arial" w:hAnsi="Arial" w:cs="Arial"/>
                <w:sz w:val="22"/>
                <w:szCs w:val="22"/>
              </w:rPr>
            </w:pPr>
            <w:r>
              <w:rPr>
                <w:rFonts w:cs="Arial" w:ascii="Arial" w:hAnsi="Arial"/>
                <w:b/>
                <w:sz w:val="22"/>
                <w:szCs w:val="22"/>
              </w:rPr>
              <w:t>Délégué Syndical</w:t>
            </w:r>
          </w:p>
          <w:p>
            <w:pPr>
              <w:pStyle w:val="Normal"/>
              <w:tabs>
                <w:tab w:val="right" w:pos="2260" w:leader="none"/>
              </w:tabs>
              <w:jc w:val="both"/>
              <w:rPr>
                <w:rFonts w:ascii="Arial" w:hAnsi="Arial" w:cs="Arial"/>
                <w:sz w:val="22"/>
                <w:szCs w:val="22"/>
              </w:rPr>
            </w:pPr>
            <w:r>
              <w:rPr>
                <w:rFonts w:cs="Arial" w:ascii="Arial" w:hAnsi="Arial"/>
                <w:sz w:val="22"/>
                <w:szCs w:val="22"/>
              </w:rPr>
            </w:r>
          </w:p>
        </w:tc>
      </w:tr>
    </w:tbl>
    <w:p>
      <w:pPr>
        <w:pStyle w:val="Normal"/>
        <w:tabs>
          <w:tab w:val="right" w:pos="2260" w:leader="none"/>
        </w:tabs>
        <w:jc w:val="both"/>
        <w:rPr>
          <w:rFonts w:ascii="Arial" w:hAnsi="Arial" w:cs="Arial"/>
          <w:sz w:val="22"/>
          <w:szCs w:val="22"/>
        </w:rPr>
      </w:pPr>
      <w:r>
        <w:rPr>
          <w:rFonts w:cs="Arial" w:ascii="Arial" w:hAnsi="Arial"/>
          <w:sz w:val="22"/>
          <w:szCs w:val="22"/>
        </w:rPr>
      </w:r>
    </w:p>
    <w:sectPr>
      <w:headerReference w:type="default" r:id="rId3"/>
      <w:headerReference w:type="first" r:id="rId4"/>
      <w:footerReference w:type="default" r:id="rId5"/>
      <w:footerReference w:type="first" r:id="rId6"/>
      <w:type w:val="nextPage"/>
      <w:pgSz w:w="11906" w:h="16838"/>
      <w:pgMar w:left="1134" w:right="849" w:header="612" w:top="851" w:footer="403"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Narrow">
    <w:charset w:val="00"/>
    <w:family w:val="swiss"/>
    <w:pitch w:val="variable"/>
  </w:font>
  <w:font w:name="CG Times">
    <w:charset w:val="00"/>
    <w:family w:val="roman"/>
    <w:pitch w:val="variable"/>
  </w:font>
  <w:font w:name="Courier New">
    <w:charset w:val="00"/>
    <w:family w:val="modern"/>
    <w:pitch w:val="default"/>
  </w:font>
  <w:font w:name="Wingdings">
    <w:charset w:val="02"/>
    <w:family w:val="auto"/>
    <w:pitch w:val="variable"/>
  </w:font>
  <w:font w:name="Wingdings 2">
    <w:charset w:val="02"/>
    <w:family w:val="roman"/>
    <w:pitch w:val="variable"/>
  </w:font>
  <w:font w:name="Frutiger 45 Light">
    <w:altName w:val="Times New Roman"/>
    <w:charset w:val="00"/>
    <w:family w:val="swiss"/>
    <w:pitch w:val="variable"/>
  </w:font>
  <w:font w:name="Calibri">
    <w:charset w:val="00"/>
    <w:family w:val="swiss"/>
    <w:pitch w:val="variable"/>
  </w:font>
  <w:font w:name="Liberation Sans">
    <w:altName w:val="Arial"/>
    <w:charset w:val="01"/>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284" w:leader="none"/>
        <w:tab w:val="left" w:pos="8789" w:leader="none"/>
      </w:tabs>
      <w:rPr>
        <w:rFonts w:ascii="Arial" w:hAnsi="Arial" w:cs="Arial"/>
      </w:rPr>
    </w:pPr>
    <w:r>
      <w:rPr>
        <w:rFonts w:cs="Arial" w:ascii="Arial" w:hAnsi="Arial"/>
      </w:rPr>
      <w:tab/>
    </w:r>
    <w:r>
      <w:rPr>
        <w:rFonts w:cs="Arial" w:ascii="Arial" w:hAnsi="Arial"/>
        <w:i/>
        <w:iCs/>
        <w:sz w:val="16"/>
        <w:szCs w:val="16"/>
      </w:rPr>
      <w:t>Négociations Annuelles Obligatoires TCEA 2022</w:t>
    </w:r>
    <w:r>
      <w:rPr>
        <w:rFonts w:cs="Arial" w:ascii="Arial" w:hAnsi="Arial"/>
      </w:rPr>
      <w:tab/>
      <w:t xml:space="preserve">Page </w:t>
    </w:r>
    <w:r>
      <w:rPr>
        <w:rFonts w:cs="Arial" w:ascii="Arial" w:hAnsi="Arial"/>
        <w:b/>
        <w:bCs/>
      </w:rPr>
      <w:fldChar w:fldCharType="begin"/>
    </w:r>
    <w:r>
      <w:instrText> PAGE </w:instrText>
    </w:r>
    <w:r>
      <w:fldChar w:fldCharType="separate"/>
    </w:r>
    <w:r>
      <w:t>4</w:t>
    </w:r>
    <w:r>
      <w:fldChar w:fldCharType="end"/>
    </w:r>
    <w:r>
      <w:rPr>
        <w:rFonts w:cs="Arial" w:ascii="Arial" w:hAnsi="Arial"/>
        <w:b/>
        <w:bCs/>
      </w:rPr>
      <w:t xml:space="preserve"> / 4</w:t>
    </w:r>
  </w:p>
  <w:p>
    <w:pPr>
      <w:pStyle w:val="Footer"/>
      <w:rPr>
        <w:rFonts w:ascii="Arial" w:hAnsi="Arial" w:cs="Arial"/>
      </w:rPr>
    </w:pPr>
    <w:r>
      <w:rPr>
        <w:rFonts w:cs="Arial" w:ascii="Arial" w:hAnsi="Arial"/>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284" w:leader="none"/>
        <w:tab w:val="left" w:pos="8789" w:leader="none"/>
      </w:tabs>
      <w:rPr>
        <w:rFonts w:ascii="Arial" w:hAnsi="Arial" w:cs="Arial"/>
        <w:b/>
        <w:b/>
        <w:bCs/>
      </w:rPr>
    </w:pPr>
    <w:r>
      <w:rPr>
        <w:rFonts w:cs="Arial" w:ascii="Arial" w:hAnsi="Arial"/>
      </w:rPr>
      <w:tab/>
    </w:r>
    <w:r>
      <w:rPr>
        <w:rFonts w:cs="Arial" w:ascii="Arial" w:hAnsi="Arial"/>
        <w:i/>
        <w:iCs/>
        <w:sz w:val="16"/>
        <w:szCs w:val="16"/>
      </w:rPr>
      <w:t>Négociations Annuelles Obligatoires TCEA 2022</w:t>
    </w:r>
    <w:r>
      <w:rPr>
        <w:rFonts w:cs="Arial" w:ascii="Arial" w:hAnsi="Arial"/>
      </w:rPr>
      <w:tab/>
      <w:t xml:space="preserve">Page </w:t>
    </w:r>
    <w:r>
      <w:rPr>
        <w:rFonts w:cs="Arial" w:ascii="Arial" w:hAnsi="Arial"/>
        <w:b/>
        <w:bCs/>
      </w:rPr>
      <w:fldChar w:fldCharType="begin"/>
    </w:r>
    <w:r>
      <w:instrText> PAGE </w:instrText>
    </w:r>
    <w:r>
      <w:fldChar w:fldCharType="separate"/>
    </w:r>
    <w:r>
      <w:t>1</w:t>
    </w:r>
    <w:r>
      <w:fldChar w:fldCharType="end"/>
    </w:r>
    <w:r>
      <w:rPr>
        <w:rFonts w:cs="Arial" w:ascii="Arial" w:hAnsi="Arial"/>
        <w:b/>
        <w:bCs/>
      </w:rPr>
      <w:t xml:space="preserve"> / 4</w:t>
    </w:r>
  </w:p>
  <w:p>
    <w:pPr>
      <w:pStyle w:val="Footer"/>
      <w:rPr>
        <w:rFonts w:ascii="Arial" w:hAnsi="Arial" w:cs="Arial"/>
        <w:b/>
        <w:b/>
        <w:bCs/>
      </w:rPr>
    </w:pPr>
    <w:r>
      <w:rPr>
        <w:rFonts w:cs="Arial" w:ascii="Arial" w:hAnsi="Arial"/>
        <w:b/>
        <w:bC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Frutiger 45 Light;Times New Roman" w:hAnsi="Frutiger 45 Light;Times New Roman" w:cs="Frutiger 45 Light;Times New Roman"/>
      </w:rPr>
    </w:pPr>
    <w:r>
      <w:rPr>
        <w:rFonts w:cs="Frutiger 45 Light;Times New Roman" w:ascii="Frutiger 45 Light;Times New Roman" w:hAnsi="Frutiger 45 Light;Times New Roman"/>
      </w:rPr>
    </w:r>
  </w:p>
  <w:p>
    <w:pPr>
      <w:pStyle w:val="Header"/>
      <w:rPr>
        <w:rFonts w:ascii="Frutiger 45 Light;Times New Roman" w:hAnsi="Frutiger 45 Light;Times New Roman" w:cs="Frutiger 45 Light;Times New Roman"/>
      </w:rPr>
    </w:pPr>
    <w:r>
      <w:rPr>
        <w:rFonts w:cs="Frutiger 45 Light;Times New Roman" w:ascii="Frutiger 45 Light;Times New Roman" w:hAnsi="Frutiger 45 Light;Times New Roman"/>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center" w:pos="4961" w:leader="none"/>
        <w:tab w:val="left" w:pos="7290" w:leader="none"/>
        <w:tab w:val="right" w:pos="9072" w:leader="none"/>
      </w:tabs>
      <w:rPr>
        <w:lang w:val="en-GB" w:eastAsia="en-GB"/>
      </w:rPr>
    </w:pPr>
    <w:r>
      <w:rPr>
        <w:lang w:val="en-GB" w:eastAsia="en-GB"/>
      </w:rPr>
    </w:r>
  </w:p>
  <w:p>
    <w:pPr>
      <w:pStyle w:val="Header"/>
      <w:tabs>
        <w:tab w:val="center" w:pos="4536" w:leader="none"/>
        <w:tab w:val="center" w:pos="4961" w:leader="none"/>
        <w:tab w:val="left" w:pos="7290" w:leader="none"/>
        <w:tab w:val="right" w:pos="9072" w:leader="none"/>
      </w:tabs>
      <w:rPr>
        <w:lang w:val="en-GB" w:eastAsia="en-GB"/>
      </w:rPr>
    </w:pPr>
    <w:r>
      <w:rPr>
        <w:lang w:val="en-GB" w:eastAsia="en-G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rPr/>
    </w:lvl>
    <w:lvl w:ilvl="1">
      <w:start w:val="1"/>
      <w:pStyle w:val="Heading2"/>
      <w:numFmt w:val="decimal"/>
      <w:lvlText w:val="%1.%2"/>
      <w:lvlJc w:val="left"/>
      <w:pPr>
        <w:tabs>
          <w:tab w:val="num" w:pos="576"/>
        </w:tabs>
        <w:ind w:left="576" w:hanging="576"/>
      </w:pPr>
      <w:rPr/>
    </w:lvl>
    <w:lvl w:ilvl="2">
      <w:start w:val="1"/>
      <w:pStyle w:val="Heading3"/>
      <w:numFmt w:val="decimal"/>
      <w:lvlText w:val="%1.%2.%3"/>
      <w:lvlJc w:val="left"/>
      <w:pPr>
        <w:tabs>
          <w:tab w:val="num" w:pos="720"/>
        </w:tabs>
        <w:ind w:left="720" w:hanging="720"/>
      </w:pPr>
      <w:rPr/>
    </w:lvl>
    <w:lvl w:ilvl="3">
      <w:start w:val="1"/>
      <w:pStyle w:val="Heading4"/>
      <w:numFmt w:val="decimal"/>
      <w:lvlText w:val="%1.%2.%3.%4"/>
      <w:lvlJc w:val="left"/>
      <w:pPr>
        <w:tabs>
          <w:tab w:val="num" w:pos="864"/>
        </w:tabs>
        <w:ind w:left="864" w:hanging="864"/>
      </w:pPr>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abstractNum w:abstractNumId="2">
    <w:lvl w:ilvl="0">
      <w:start w:val="1"/>
      <w:numFmt w:val="decimal"/>
      <w:lvlText w:val="%1."/>
      <w:lvlJc w:val="left"/>
      <w:pPr>
        <w:ind w:left="720" w:hanging="360"/>
      </w:pPr>
      <w:rPr>
        <w:sz w:val="22"/>
        <w:b/>
        <w:szCs w:val="22"/>
        <w:rFonts w:ascii="Arial" w:hAnsi="Arial" w:cs="Arial"/>
      </w:rPr>
    </w:lvl>
    <w:lvl w:ilvl="1">
      <w:start w:val="1"/>
      <w:numFmt w:val="decimal"/>
      <w:lvlText w:val="%1.%2."/>
      <w:lvlJc w:val="left"/>
      <w:pPr>
        <w:ind w:left="1080" w:hanging="720"/>
      </w:pPr>
      <w:rPr>
        <w:b/>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3">
    <w:lvl w:ilvl="0">
      <w:numFmt w:val="bullet"/>
      <w:lvlText w:val="-"/>
      <w:lvlJc w:val="left"/>
      <w:pPr>
        <w:ind w:left="720" w:hanging="360"/>
      </w:pPr>
      <w:rPr>
        <w:rFonts w:ascii="Arial" w:hAnsi="Arial" w:cs="Arial" w:hint="default"/>
        <w:rFonts w:cs="Arial"/>
        <w:color w:val="000000"/>
      </w:rPr>
    </w:lvl>
  </w:abstractNum>
  <w:abstractNum w:abstractNumId="4">
    <w:lvl w:ilvl="0">
      <w:start w:val="1"/>
      <w:numFmt w:val="bullet"/>
      <w:lvlText w:val=""/>
      <w:lvlJc w:val="left"/>
      <w:pPr>
        <w:ind w:left="1440" w:hanging="360"/>
      </w:pPr>
      <w:rPr>
        <w:rFonts w:ascii="Symbol" w:hAnsi="Symbol" w:cs="Symbol" w:hint="default"/>
        <w:rFonts w:cs="Symbol"/>
        <w:color w:val="000000"/>
      </w:rPr>
    </w:lvl>
  </w:abstractNum>
  <w:abstractNum w:abstractNumId="5">
    <w:lvl w:ilvl="0">
      <w:start w:val="1"/>
      <w:numFmt w:val="bullet"/>
      <w:lvlText w:val=""/>
      <w:lvlJc w:val="left"/>
      <w:pPr>
        <w:ind w:left="1068" w:hanging="360"/>
      </w:pPr>
      <w:rPr>
        <w:rFonts w:ascii="Wingdings" w:hAnsi="Wingdings" w:cs="Wingdings" w:hint="default"/>
        <w:sz w:val="22"/>
        <w:szCs w:val="22"/>
        <w:rFonts w:cs="Wingdings"/>
        <w:color w:val="00000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fr-FR" w:bidi="ar-SA" w:eastAsia="zh-CN"/>
    </w:rPr>
  </w:style>
  <w:style w:type="paragraph" w:styleId="Heading1">
    <w:name w:val="Heading 1"/>
    <w:basedOn w:val="Normal"/>
    <w:next w:val="Normal"/>
    <w:qFormat/>
    <w:pPr>
      <w:keepNext w:val="true"/>
      <w:numPr>
        <w:ilvl w:val="0"/>
        <w:numId w:val="1"/>
      </w:numPr>
      <w:outlineLvl w:val="0"/>
    </w:pPr>
    <w:rPr>
      <w:sz w:val="24"/>
      <w:lang w:val="en-GB"/>
    </w:rPr>
  </w:style>
  <w:style w:type="paragraph" w:styleId="Heading2">
    <w:name w:val="Heading 2"/>
    <w:basedOn w:val="Normal"/>
    <w:next w:val="Normal"/>
    <w:qFormat/>
    <w:pPr>
      <w:keepNext w:val="true"/>
      <w:numPr>
        <w:ilvl w:val="1"/>
        <w:numId w:val="1"/>
      </w:numPr>
      <w:outlineLvl w:val="1"/>
    </w:pPr>
    <w:rPr>
      <w:b/>
      <w:sz w:val="24"/>
      <w:lang w:val="en-GB"/>
    </w:rPr>
  </w:style>
  <w:style w:type="paragraph" w:styleId="Heading3">
    <w:name w:val="Heading 3"/>
    <w:basedOn w:val="Normal"/>
    <w:next w:val="Normal"/>
    <w:qFormat/>
    <w:pPr>
      <w:keepNext w:val="true"/>
      <w:numPr>
        <w:ilvl w:val="2"/>
        <w:numId w:val="1"/>
      </w:numPr>
      <w:outlineLvl w:val="2"/>
    </w:pPr>
    <w:rPr>
      <w:rFonts w:ascii="Arial Narrow" w:hAnsi="Arial Narrow" w:cs="Arial Narrow"/>
      <w:b/>
      <w:sz w:val="28"/>
      <w:lang w:val="en-GB"/>
    </w:rPr>
  </w:style>
  <w:style w:type="paragraph" w:styleId="Heading4">
    <w:name w:val="Heading 4"/>
    <w:basedOn w:val="Normal"/>
    <w:next w:val="Normal"/>
    <w:qFormat/>
    <w:pPr>
      <w:keepNext w:val="true"/>
      <w:numPr>
        <w:ilvl w:val="3"/>
        <w:numId w:val="1"/>
      </w:numPr>
      <w:jc w:val="both"/>
      <w:outlineLvl w:val="3"/>
    </w:pPr>
    <w:rPr>
      <w:b/>
      <w:sz w:val="24"/>
      <w:u w:val="single"/>
      <w:lang w:val="en-GB"/>
    </w:rPr>
  </w:style>
  <w:style w:type="paragraph" w:styleId="Heading5">
    <w:name w:val="Heading 5"/>
    <w:basedOn w:val="Normal"/>
    <w:next w:val="Normal"/>
    <w:qFormat/>
    <w:pPr>
      <w:keepNext w:val="true"/>
      <w:numPr>
        <w:ilvl w:val="4"/>
        <w:numId w:val="1"/>
      </w:numPr>
      <w:outlineLvl w:val="4"/>
    </w:pPr>
    <w:rPr>
      <w:rFonts w:ascii="CG Times" w:hAnsi="CG Times" w:cs="CG Times"/>
      <w:b/>
      <w:sz w:val="24"/>
      <w:lang w:val="en-GB"/>
    </w:rPr>
  </w:style>
  <w:style w:type="paragraph" w:styleId="Heading6">
    <w:name w:val="Heading 6"/>
    <w:basedOn w:val="Normal"/>
    <w:next w:val="Normal"/>
    <w:qFormat/>
    <w:pPr>
      <w:keepNext w:val="true"/>
      <w:numPr>
        <w:ilvl w:val="5"/>
        <w:numId w:val="1"/>
      </w:numPr>
      <w:jc w:val="both"/>
      <w:outlineLvl w:val="5"/>
    </w:pPr>
    <w:rPr>
      <w:rFonts w:ascii="Arial Narrow" w:hAnsi="Arial Narrow" w:cs="Arial Narrow"/>
      <w:b/>
      <w:sz w:val="24"/>
      <w:lang w:val="en-GB"/>
    </w:rPr>
  </w:style>
  <w:style w:type="paragraph" w:styleId="Heading7">
    <w:name w:val="Heading 7"/>
    <w:basedOn w:val="Normal"/>
    <w:next w:val="Normal"/>
    <w:qFormat/>
    <w:pPr>
      <w:keepNext w:val="true"/>
      <w:numPr>
        <w:ilvl w:val="6"/>
        <w:numId w:val="1"/>
      </w:numPr>
      <w:jc w:val="both"/>
      <w:outlineLvl w:val="6"/>
    </w:pPr>
    <w:rPr>
      <w:rFonts w:ascii="Arial Narrow" w:hAnsi="Arial Narrow" w:cs="Arial Narrow"/>
      <w:b/>
      <w:color w:val="000000"/>
      <w:sz w:val="24"/>
      <w:lang w:val="en-GB"/>
    </w:rPr>
  </w:style>
  <w:style w:type="paragraph" w:styleId="Heading8">
    <w:name w:val="Heading 8"/>
    <w:basedOn w:val="Normal"/>
    <w:next w:val="Normal"/>
    <w:qFormat/>
    <w:pPr>
      <w:keepNext w:val="true"/>
      <w:numPr>
        <w:ilvl w:val="7"/>
        <w:numId w:val="1"/>
      </w:numPr>
      <w:outlineLvl w:val="7"/>
    </w:pPr>
    <w:rPr>
      <w:rFonts w:ascii="Arial Narrow" w:hAnsi="Arial Narrow" w:cs="Arial Narrow"/>
      <w:color w:val="000000"/>
      <w:sz w:val="24"/>
      <w:lang w:val="en-GB"/>
    </w:rPr>
  </w:style>
  <w:style w:type="paragraph" w:styleId="Heading9">
    <w:name w:val="Heading 9"/>
    <w:basedOn w:val="Normal"/>
    <w:next w:val="Normal"/>
    <w:qFormat/>
    <w:pPr>
      <w:keepNext w:val="true"/>
      <w:numPr>
        <w:ilvl w:val="8"/>
        <w:numId w:val="1"/>
      </w:numPr>
      <w:tabs>
        <w:tab w:val="right" w:pos="2260" w:leader="none"/>
        <w:tab w:val="left" w:pos="4962" w:leader="none"/>
      </w:tabs>
      <w:ind w:right="11" w:hanging="0"/>
      <w:jc w:val="both"/>
      <w:outlineLvl w:val="8"/>
    </w:pPr>
    <w:rPr>
      <w:rFonts w:ascii="Arial Narrow" w:hAnsi="Arial Narrow" w:cs="Arial Narrow"/>
      <w:sz w:val="24"/>
      <w:lang w:val="en-GB"/>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Wingdings 2" w:hAnsi="Wingdings 2" w:cs="Wingdings 2"/>
      <w:color w:val="339966"/>
      <w:sz w:val="24"/>
      <w:szCs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Wingdings 2" w:hAnsi="Wingdings 2" w:cs="Wingdings 2"/>
      <w:color w:val="339966"/>
      <w:sz w:val="24"/>
      <w:szCs w:val="24"/>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sz w:val="20"/>
    </w:rPr>
  </w:style>
  <w:style w:type="character" w:styleId="WW8Num11z1">
    <w:name w:val="WW8Num11z1"/>
    <w:qFormat/>
    <w:rPr>
      <w:rFonts w:ascii="Courier New" w:hAnsi="Courier New" w:cs="Courier New"/>
      <w:sz w:val="20"/>
    </w:rPr>
  </w:style>
  <w:style w:type="character" w:styleId="WW8Num11z2">
    <w:name w:val="WW8Num11z2"/>
    <w:qFormat/>
    <w:rPr>
      <w:rFonts w:ascii="Wingdings" w:hAnsi="Wingdings" w:cs="Wingdings"/>
      <w:sz w:val="20"/>
    </w:rPr>
  </w:style>
  <w:style w:type="character" w:styleId="WW8Num12z0">
    <w:name w:val="WW8Num12z0"/>
    <w:qFormat/>
    <w:rPr>
      <w:rFonts w:ascii="Arial" w:hAnsi="Arial" w:cs="Arial"/>
      <w:b/>
      <w:sz w:val="22"/>
      <w:szCs w:val="22"/>
    </w:rPr>
  </w:style>
  <w:style w:type="character" w:styleId="WW8Num12z1">
    <w:name w:val="WW8Num12z1"/>
    <w:qFormat/>
    <w:rPr>
      <w:b/>
    </w:rPr>
  </w:style>
  <w:style w:type="character" w:styleId="WW8Num12z2">
    <w:name w:val="WW8Num12z2"/>
    <w:qFormat/>
    <w:rPr/>
  </w:style>
  <w:style w:type="character" w:styleId="WW8Num13z0">
    <w:name w:val="WW8Num13z0"/>
    <w:qFormat/>
    <w:rPr>
      <w:rFonts w:ascii="Arial" w:hAnsi="Arial" w:eastAsia="Times New Roman" w:cs="Arial"/>
      <w:color w:val="000000"/>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4z1">
    <w:name w:val="WW8Num14z1"/>
    <w:qFormat/>
    <w:rPr>
      <w:b/>
    </w:rPr>
  </w:style>
  <w:style w:type="character" w:styleId="WW8Num14z2">
    <w:name w:val="WW8Num14z2"/>
    <w:qFormat/>
    <w:rPr/>
  </w:style>
  <w:style w:type="character" w:styleId="WW8Num15z0">
    <w:name w:val="WW8Num15z0"/>
    <w:qFormat/>
    <w:rPr>
      <w:rFonts w:ascii="Wingdings" w:hAnsi="Wingdings" w:cs="Wingdings"/>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b/>
    </w:rPr>
  </w:style>
  <w:style w:type="character" w:styleId="WW8Num17z2">
    <w:name w:val="WW8Num17z2"/>
    <w:qFormat/>
    <w:rPr/>
  </w:style>
  <w:style w:type="character" w:styleId="WW8Num18z0">
    <w:name w:val="WW8Num18z0"/>
    <w:qFormat/>
    <w:rPr>
      <w:rFonts w:ascii="Frutiger 45 Light;Times New Roman" w:hAnsi="Frutiger 45 Light;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Arial" w:hAnsi="Arial" w:eastAsia="Times New Roman" w:cs="Aria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Symbol" w:hAnsi="Symbol" w:cs="Symbol"/>
      <w:sz w:val="20"/>
    </w:rPr>
  </w:style>
  <w:style w:type="character" w:styleId="WW8Num22z1">
    <w:name w:val="WW8Num22z1"/>
    <w:qFormat/>
    <w:rPr>
      <w:rFonts w:ascii="Courier New" w:hAnsi="Courier New" w:cs="Courier New"/>
      <w:sz w:val="20"/>
    </w:rPr>
  </w:style>
  <w:style w:type="character" w:styleId="WW8Num22z2">
    <w:name w:val="WW8Num22z2"/>
    <w:qFormat/>
    <w:rPr>
      <w:rFonts w:ascii="Wingdings" w:hAnsi="Wingdings" w:cs="Wingdings"/>
      <w:sz w:val="20"/>
    </w:rPr>
  </w:style>
  <w:style w:type="character" w:styleId="WW8Num23z0">
    <w:name w:val="WW8Num23z0"/>
    <w:qFormat/>
    <w:rPr>
      <w:rFonts w:ascii="Wingdings" w:hAnsi="Wingdings" w:cs="Wingdings"/>
      <w:b/>
    </w:rPr>
  </w:style>
  <w:style w:type="character" w:styleId="WW8Num23z1">
    <w:name w:val="WW8Num23z1"/>
    <w:qFormat/>
    <w:rPr>
      <w:rFonts w:ascii="Times New Roman" w:hAnsi="Times New Roman" w:eastAsia="Times New Roman" w:cs="Times New Roman"/>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3z4">
    <w:name w:val="WW8Num23z4"/>
    <w:qFormat/>
    <w:rPr>
      <w:rFonts w:ascii="Courier New" w:hAnsi="Courier New" w:cs="Courier New"/>
    </w:rPr>
  </w:style>
  <w:style w:type="character" w:styleId="WW8Num24z0">
    <w:name w:val="WW8Num24z0"/>
    <w:qFormat/>
    <w:rPr>
      <w:rFonts w:ascii="Arial" w:hAnsi="Arial" w:eastAsia="Times New Roman" w:cs="Aria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rFonts w:ascii="Times New Roman" w:hAnsi="Times New Roman" w:eastAsia="Times New Roman" w:cs="Times New Roman"/>
    </w:rPr>
  </w:style>
  <w:style w:type="character" w:styleId="WW8Num27z1">
    <w:name w:val="WW8Num27z1"/>
    <w:qFormat/>
    <w:rPr>
      <w:rFonts w:ascii="Wingdings 2" w:hAnsi="Wingdings 2" w:cs="Wingdings 2"/>
      <w:color w:val="339966"/>
      <w:sz w:val="24"/>
      <w:szCs w:val="24"/>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7z4">
    <w:name w:val="WW8Num27z4"/>
    <w:qFormat/>
    <w:rPr>
      <w:rFonts w:ascii="Courier New" w:hAnsi="Courier New" w:cs="Courier New"/>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rFonts w:ascii="Wingdings" w:hAnsi="Wingdings" w:cs="Wingdings"/>
    </w:rPr>
  </w:style>
  <w:style w:type="character" w:styleId="WW8Num30z1">
    <w:name w:val="WW8Num30z1"/>
    <w:qFormat/>
    <w:rPr>
      <w:rFonts w:ascii="Courier New" w:hAnsi="Courier New" w:cs="Courier New"/>
    </w:rPr>
  </w:style>
  <w:style w:type="character" w:styleId="WW8Num30z3">
    <w:name w:val="WW8Num30z3"/>
    <w:qFormat/>
    <w:rPr>
      <w:rFonts w:ascii="Symbol" w:hAnsi="Symbol" w:cs="Symbol"/>
    </w:rPr>
  </w:style>
  <w:style w:type="character" w:styleId="WW8Num31z0">
    <w:name w:val="WW8Num31z0"/>
    <w:qFormat/>
    <w:rPr>
      <w:rFonts w:ascii="Symbol" w:hAnsi="Symbol" w:cs="Symbol"/>
      <w:color w:val="000000"/>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rFonts w:ascii="Arial" w:hAnsi="Arial" w:eastAsia="Times New Roman" w:cs="Aria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style>
  <w:style w:type="character" w:styleId="WW8Num35z1">
    <w:name w:val="WW8Num35z1"/>
    <w:qFormat/>
    <w:rPr/>
  </w:style>
  <w:style w:type="character" w:styleId="WW8Num35z2">
    <w:name w:val="WW8Num35z2"/>
    <w:qFormat/>
    <w:rPr/>
  </w:style>
  <w:style w:type="character" w:styleId="WW8Num35z3">
    <w:name w:val="WW8Num35z3"/>
    <w:qFormat/>
    <w:rPr/>
  </w:style>
  <w:style w:type="character" w:styleId="WW8Num35z4">
    <w:name w:val="WW8Num35z4"/>
    <w:qFormat/>
    <w:rPr/>
  </w:style>
  <w:style w:type="character" w:styleId="WW8Num35z5">
    <w:name w:val="WW8Num35z5"/>
    <w:qFormat/>
    <w:rPr/>
  </w:style>
  <w:style w:type="character" w:styleId="WW8Num35z6">
    <w:name w:val="WW8Num35z6"/>
    <w:qFormat/>
    <w:rPr/>
  </w:style>
  <w:style w:type="character" w:styleId="WW8Num35z7">
    <w:name w:val="WW8Num35z7"/>
    <w:qFormat/>
    <w:rPr/>
  </w:style>
  <w:style w:type="character" w:styleId="WW8Num35z8">
    <w:name w:val="WW8Num35z8"/>
    <w:qFormat/>
    <w:rPr/>
  </w:style>
  <w:style w:type="character" w:styleId="WW8Num36z0">
    <w:name w:val="WW8Num36z0"/>
    <w:qFormat/>
    <w:rPr>
      <w:rFonts w:ascii="Wingdings" w:hAnsi="Wingdings" w:cs="Wingdings"/>
    </w:rPr>
  </w:style>
  <w:style w:type="character" w:styleId="WW8Num37z0">
    <w:name w:val="WW8Num37z0"/>
    <w:qFormat/>
    <w:rPr>
      <w:rFonts w:ascii="Wingdings" w:hAnsi="Wingdings" w:cs="Wingdings"/>
      <w:color w:val="000000"/>
      <w:sz w:val="22"/>
      <w:szCs w:val="22"/>
    </w:rPr>
  </w:style>
  <w:style w:type="character" w:styleId="WW8Num37z1">
    <w:name w:val="WW8Num37z1"/>
    <w:qFormat/>
    <w:rPr>
      <w:rFonts w:ascii="Courier New" w:hAnsi="Courier New" w:cs="Courier New"/>
    </w:rPr>
  </w:style>
  <w:style w:type="character" w:styleId="WW8Num37z3">
    <w:name w:val="WW8Num37z3"/>
    <w:qFormat/>
    <w:rPr>
      <w:rFonts w:ascii="Symbol" w:hAnsi="Symbol" w:cs="Symbol"/>
    </w:rPr>
  </w:style>
  <w:style w:type="character" w:styleId="WW8Num38z0">
    <w:name w:val="WW8Num38z0"/>
    <w:qFormat/>
    <w:rPr>
      <w:rFonts w:ascii="Arial" w:hAnsi="Arial" w:eastAsia="Times New Roman" w:cs="Aria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style>
  <w:style w:type="character" w:styleId="WW8Num39z1">
    <w:name w:val="WW8Num39z1"/>
    <w:qFormat/>
    <w:rPr/>
  </w:style>
  <w:style w:type="character" w:styleId="WW8Num39z2">
    <w:name w:val="WW8Num39z2"/>
    <w:qFormat/>
    <w:rPr/>
  </w:style>
  <w:style w:type="character" w:styleId="WW8Num39z3">
    <w:name w:val="WW8Num39z3"/>
    <w:qFormat/>
    <w:rPr/>
  </w:style>
  <w:style w:type="character" w:styleId="WW8Num39z4">
    <w:name w:val="WW8Num39z4"/>
    <w:qFormat/>
    <w:rPr/>
  </w:style>
  <w:style w:type="character" w:styleId="WW8Num39z5">
    <w:name w:val="WW8Num39z5"/>
    <w:qFormat/>
    <w:rPr/>
  </w:style>
  <w:style w:type="character" w:styleId="WW8Num39z6">
    <w:name w:val="WW8Num39z6"/>
    <w:qFormat/>
    <w:rPr/>
  </w:style>
  <w:style w:type="character" w:styleId="WW8Num39z7">
    <w:name w:val="WW8Num39z7"/>
    <w:qFormat/>
    <w:rPr/>
  </w:style>
  <w:style w:type="character" w:styleId="WW8Num39z8">
    <w:name w:val="WW8Num39z8"/>
    <w:qFormat/>
    <w:rPr/>
  </w:style>
  <w:style w:type="character" w:styleId="WW8Num40z0">
    <w:name w:val="WW8Num40z0"/>
    <w:qFormat/>
    <w:rPr/>
  </w:style>
  <w:style w:type="character" w:styleId="WW8Num40z1">
    <w:name w:val="WW8Num40z1"/>
    <w:qFormat/>
    <w:rPr/>
  </w:style>
  <w:style w:type="character" w:styleId="WW8Num40z2">
    <w:name w:val="WW8Num40z2"/>
    <w:qFormat/>
    <w:rPr/>
  </w:style>
  <w:style w:type="character" w:styleId="WW8Num40z3">
    <w:name w:val="WW8Num40z3"/>
    <w:qFormat/>
    <w:rPr/>
  </w:style>
  <w:style w:type="character" w:styleId="WW8Num40z4">
    <w:name w:val="WW8Num40z4"/>
    <w:qFormat/>
    <w:rPr/>
  </w:style>
  <w:style w:type="character" w:styleId="WW8Num40z5">
    <w:name w:val="WW8Num40z5"/>
    <w:qFormat/>
    <w:rPr/>
  </w:style>
  <w:style w:type="character" w:styleId="WW8Num40z6">
    <w:name w:val="WW8Num40z6"/>
    <w:qFormat/>
    <w:rPr/>
  </w:style>
  <w:style w:type="character" w:styleId="WW8Num40z7">
    <w:name w:val="WW8Num40z7"/>
    <w:qFormat/>
    <w:rPr/>
  </w:style>
  <w:style w:type="character" w:styleId="WW8Num40z8">
    <w:name w:val="WW8Num40z8"/>
    <w:qFormat/>
    <w:rPr/>
  </w:style>
  <w:style w:type="character" w:styleId="Policepardfaut">
    <w:name w:val="Police par défaut"/>
    <w:qFormat/>
    <w:rPr/>
  </w:style>
  <w:style w:type="character" w:styleId="PageNumber">
    <w:name w:val="Page Number"/>
    <w:basedOn w:val="Policepardfaut"/>
    <w:rPr/>
  </w:style>
  <w:style w:type="character" w:styleId="Titre1Car">
    <w:name w:val="Titre 1 Car"/>
    <w:qFormat/>
    <w:rPr>
      <w:sz w:val="24"/>
    </w:rPr>
  </w:style>
  <w:style w:type="character" w:styleId="Titre2Car">
    <w:name w:val="Titre 2 Car"/>
    <w:qFormat/>
    <w:rPr>
      <w:b/>
      <w:sz w:val="24"/>
    </w:rPr>
  </w:style>
  <w:style w:type="character" w:styleId="Titre3Car">
    <w:name w:val="Titre 3 Car"/>
    <w:qFormat/>
    <w:rPr>
      <w:rFonts w:ascii="Arial Narrow" w:hAnsi="Arial Narrow" w:cs="Arial Narrow"/>
      <w:b/>
      <w:sz w:val="28"/>
    </w:rPr>
  </w:style>
  <w:style w:type="character" w:styleId="Titre4Car">
    <w:name w:val="Titre 4 Car"/>
    <w:qFormat/>
    <w:rPr>
      <w:b/>
      <w:sz w:val="24"/>
      <w:u w:val="single"/>
    </w:rPr>
  </w:style>
  <w:style w:type="character" w:styleId="Titre5Car">
    <w:name w:val="Titre 5 Car"/>
    <w:qFormat/>
    <w:rPr>
      <w:rFonts w:ascii="CG Times" w:hAnsi="CG Times" w:cs="CG Times"/>
      <w:b/>
      <w:sz w:val="24"/>
    </w:rPr>
  </w:style>
  <w:style w:type="character" w:styleId="Titre6Car">
    <w:name w:val="Titre 6 Car"/>
    <w:qFormat/>
    <w:rPr>
      <w:rFonts w:ascii="Arial Narrow" w:hAnsi="Arial Narrow" w:cs="Arial Narrow"/>
      <w:b/>
      <w:sz w:val="24"/>
    </w:rPr>
  </w:style>
  <w:style w:type="character" w:styleId="Titre7Car">
    <w:name w:val="Titre 7 Car"/>
    <w:qFormat/>
    <w:rPr>
      <w:rFonts w:ascii="Arial Narrow" w:hAnsi="Arial Narrow" w:cs="Arial Narrow"/>
      <w:b/>
      <w:color w:val="000000"/>
      <w:sz w:val="24"/>
    </w:rPr>
  </w:style>
  <w:style w:type="character" w:styleId="Titre8Car">
    <w:name w:val="Titre 8 Car"/>
    <w:qFormat/>
    <w:rPr>
      <w:rFonts w:ascii="Arial Narrow" w:hAnsi="Arial Narrow" w:cs="Arial Narrow"/>
      <w:color w:val="000000"/>
      <w:sz w:val="24"/>
    </w:rPr>
  </w:style>
  <w:style w:type="character" w:styleId="Titre9Car">
    <w:name w:val="Titre 9 Car"/>
    <w:qFormat/>
    <w:rPr>
      <w:rFonts w:ascii="Arial Narrow" w:hAnsi="Arial Narrow" w:cs="Arial Narrow"/>
      <w:sz w:val="24"/>
    </w:rPr>
  </w:style>
  <w:style w:type="character" w:styleId="PieddepageCar">
    <w:name w:val="Pied de page Car"/>
    <w:qFormat/>
    <w:rPr/>
  </w:style>
  <w:style w:type="character" w:styleId="RetraitcorpsdetexteCar">
    <w:name w:val="Retrait corps de texte Car"/>
    <w:basedOn w:val="Policepardfaut"/>
    <w:qFormat/>
    <w:rPr/>
  </w:style>
  <w:style w:type="character" w:styleId="EntteCar">
    <w:name w:val="En-tête Car"/>
    <w:qFormat/>
    <w:rPr/>
  </w:style>
  <w:style w:type="character" w:styleId="Lienbleu12">
    <w:name w:val="lien_bleu_12"/>
    <w:qFormat/>
    <w:rPr/>
  </w:style>
  <w:style w:type="character" w:styleId="InternetLink">
    <w:name w:val="Internet Link"/>
    <w:rPr>
      <w:color w:val="0000FF"/>
      <w:u w:val="single"/>
    </w:rPr>
  </w:style>
  <w:style w:type="character" w:styleId="Emphasis">
    <w:name w:val="Emphasis"/>
    <w:qFormat/>
    <w:rPr>
      <w:i/>
      <w:iCs/>
    </w:rPr>
  </w:style>
  <w:style w:type="character" w:styleId="Marquedecommentaire">
    <w:name w:val="Marque de commentaire"/>
    <w:qFormat/>
    <w:rPr>
      <w:sz w:val="16"/>
      <w:szCs w:val="16"/>
    </w:rPr>
  </w:style>
  <w:style w:type="character" w:styleId="CommentaireCar">
    <w:name w:val="Commentaire Car"/>
    <w:basedOn w:val="Policepardfaut"/>
    <w:qFormat/>
    <w:rPr/>
  </w:style>
  <w:style w:type="character" w:styleId="ObjetducommentaireCar">
    <w:name w:val="Objet du commentaire Car"/>
    <w:qFormat/>
    <w:rPr>
      <w:b/>
      <w:bCs/>
    </w:rPr>
  </w:style>
  <w:style w:type="character" w:styleId="ParagraphedelisteCar">
    <w:name w:val="Paragraphe de liste Car"/>
    <w:qFormat/>
    <w:rPr>
      <w:rFonts w:ascii="Calibri" w:hAnsi="Calibri" w:eastAsia="Calibri" w:cs="Calibri"/>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tabs>
        <w:tab w:val="left" w:pos="567" w:leader="none"/>
        <w:tab w:val="right" w:pos="2260" w:leader="none"/>
      </w:tabs>
      <w:ind w:right="42" w:hanging="0"/>
      <w:jc w:val="both"/>
    </w:pPr>
    <w:rPr>
      <w:rFonts w:ascii="Arial" w:hAnsi="Arial" w:cs="Arial"/>
      <w:sz w:val="24"/>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Textedebulles">
    <w:name w:val="Texte de bulles"/>
    <w:basedOn w:val="Normal"/>
    <w:qFormat/>
    <w:pPr/>
    <w:rPr>
      <w:rFonts w:ascii="Tahoma" w:hAnsi="Tahoma" w:cs="Tahoma"/>
      <w:sz w:val="16"/>
      <w:szCs w:val="16"/>
    </w:rPr>
  </w:style>
  <w:style w:type="paragraph" w:styleId="Corpsdetexte2">
    <w:name w:val="Corps de texte 2"/>
    <w:basedOn w:val="Normal"/>
    <w:qFormat/>
    <w:pPr>
      <w:spacing w:lineRule="auto" w:line="480" w:before="0" w:after="120"/>
    </w:pPr>
    <w:rPr/>
  </w:style>
  <w:style w:type="paragraph" w:styleId="Normalcentr">
    <w:name w:val="Normal centré"/>
    <w:basedOn w:val="Normal"/>
    <w:qFormat/>
    <w:pPr>
      <w:tabs>
        <w:tab w:val="left" w:pos="5103" w:leader="none"/>
      </w:tabs>
      <w:ind w:left="5100" w:right="-131" w:hanging="5100"/>
    </w:pPr>
    <w:rPr>
      <w:rFonts w:ascii="Arial" w:hAnsi="Arial" w:cs="Arial"/>
      <w:sz w:val="22"/>
    </w:rPr>
  </w:style>
  <w:style w:type="paragraph" w:styleId="TextBodyIndent">
    <w:name w:val="Body Text Indent"/>
    <w:basedOn w:val="Normal"/>
    <w:pPr>
      <w:spacing w:before="0" w:after="120"/>
      <w:ind w:left="283" w:hanging="0"/>
    </w:pPr>
    <w:rPr/>
  </w:style>
  <w:style w:type="paragraph" w:styleId="NormalWeb">
    <w:name w:val="Normal (Web)"/>
    <w:basedOn w:val="Normal"/>
    <w:qFormat/>
    <w:pPr>
      <w:spacing w:before="100" w:after="100"/>
    </w:pPr>
    <w:rPr>
      <w:sz w:val="24"/>
      <w:szCs w:val="24"/>
    </w:rPr>
  </w:style>
  <w:style w:type="paragraph" w:styleId="Commentaire">
    <w:name w:val="Commentaire"/>
    <w:basedOn w:val="Normal"/>
    <w:qFormat/>
    <w:pPr/>
    <w:rPr/>
  </w:style>
  <w:style w:type="paragraph" w:styleId="Objetducommentaire">
    <w:name w:val="Objet du commentaire"/>
    <w:basedOn w:val="Commentaire"/>
    <w:next w:val="Commentaire"/>
    <w:qFormat/>
    <w:pPr/>
    <w:rPr>
      <w:b/>
      <w:bCs/>
    </w:rPr>
  </w:style>
  <w:style w:type="paragraph" w:styleId="Paragraphedeliste">
    <w:name w:val="Paragraphe de liste"/>
    <w:basedOn w:val="Normal"/>
    <w:qFormat/>
    <w:pPr>
      <w:spacing w:lineRule="auto" w:line="276" w:before="0" w:after="200"/>
      <w:ind w:left="720" w:hanging="0"/>
      <w:contextualSpacing/>
    </w:pPr>
    <w:rPr>
      <w:rFonts w:ascii="Calibri" w:hAnsi="Calibri" w:eastAsia="Calibri" w:cs="Times New Roman"/>
      <w:sz w:val="22"/>
      <w:szCs w:val="22"/>
    </w:rPr>
  </w:style>
  <w:style w:type="paragraph" w:styleId="Rvision">
    <w:name w:val="Révision"/>
    <w:qFormat/>
    <w:pPr>
      <w:widowControl/>
    </w:pPr>
    <w:rPr>
      <w:rFonts w:ascii="Times New Roman" w:hAnsi="Times New Roman" w:eastAsia="Times New Roman" w:cs="Times New Roman"/>
      <w:color w:val="auto"/>
      <w:sz w:val="20"/>
      <w:szCs w:val="20"/>
      <w:lang w:val="fr-FR" w:bidi="ar-SA"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LSG1ere page.doc.dot</Template>
  <TotalTime>1</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2022-03-31T12:10:00Z</dcterms:created>
  <dc:creator/>
  <dc:description/>
  <dc:language>en-GB</dc:language>
  <cp:lastModifiedBy/>
  <cp:lastPrinted>2018-01-24T16:03:00Z</cp:lastPrinted>
  <dcterms:modified xsi:type="dcterms:W3CDTF">2022-04-01T09:18:00Z</dcterms:modified>
  <cp:revision>4</cp:revision>
  <dc:subject/>
  <dc:title>Le Secrétaire Général</dc:title>
</cp:coreProperties>
</file>