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package.relationships+xml" PartName="/_rels/.rels"/>
  <Override ContentType="application/vnd.openxmlformats-package.relationships+xml" PartName="/customXml/_rels/item1.xml.rels"/>
  <Override ContentType="application/xml" PartName="/customXml/item1.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image/png" PartName="/word/media/image1.png"/>
  <Override ContentType="image/png" PartName="/word/media/image2.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core.xml" Type="http://schemas.openxmlformats.org/package/2006/relationships/metadata/core-properties"/><Relationship Id="rId2" Target="docProps/app.xml" Type="http://schemas.openxmlformats.org/officeDocument/2006/relationships/extended-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body>
    <w:p>
      <w:pPr>
        <w:pStyle w:val="Titreprincipal"/>
        <w:jc w:val="center"/>
        <w:rPr>
          <w:color w:val="auto"/>
        </w:rPr>
      </w:pPr>
      <w:r>
        <w:rPr>
          <w:color w:val="auto"/>
        </w:rPr>
        <w:drawing>
          <wp:anchor allowOverlap="1" behindDoc="0" distB="0" distL="114300" distR="114300" distT="0" layoutInCell="0" locked="0" relativeHeight="2" simplePos="0">
            <wp:simplePos x="0" y="0"/>
            <wp:positionH relativeFrom="page">
              <wp:posOffset>1062355</wp:posOffset>
            </wp:positionH>
            <wp:positionV relativeFrom="page">
              <wp:posOffset>884555</wp:posOffset>
            </wp:positionV>
            <wp:extent cx="2773045" cy="895350"/>
            <wp:effectExtent b="0" l="0" r="0" t="0"/>
            <wp:wrapSquare wrapText="bothSides"/>
            <wp:docPr desc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2"/>
                    <pic:cNvPicPr>
                      <a:picLocks noChangeArrowheads="1" noChangeAspect="1"/>
                    </pic:cNvPicPr>
                  </pic:nvPicPr>
                  <pic:blipFill>
                    <a:blip r:embed="rId2"/>
                    <a:stretch>
                      <a:fillRect/>
                    </a:stretch>
                  </pic:blipFill>
                  <pic:spPr bwMode="auto">
                    <a:xfrm>
                      <a:off x="0" y="0"/>
                      <a:ext cx="2773045" cy="895350"/>
                    </a:xfrm>
                    <a:prstGeom prst="rect">
                      <a:avLst/>
                    </a:prstGeom>
                  </pic:spPr>
                </pic:pic>
              </a:graphicData>
            </a:graphic>
          </wp:anchor>
        </w:drawing>
      </w:r>
    </w:p>
    <w:p>
      <w:pPr>
        <w:pStyle w:val="Titreprincipal"/>
        <w:jc w:val="center"/>
        <w:rPr>
          <w:color w:val="auto"/>
        </w:rPr>
      </w:pPr>
      <w:r>
        <w:rPr>
          <w:color w:val="auto"/>
        </w:rPr>
      </w:r>
    </w:p>
    <w:p>
      <w:pPr>
        <w:pStyle w:val="Titreprincipal"/>
        <w:jc w:val="center"/>
        <w:rPr>
          <w:color w:val="auto"/>
        </w:rPr>
      </w:pPr>
      <w:r>
        <w:rPr>
          <w:color w:val="auto"/>
        </w:rPr>
      </w:r>
    </w:p>
    <w:p>
      <w:pPr>
        <w:pStyle w:val="Titreprincipal"/>
        <w:jc w:val="center"/>
        <w:rPr>
          <w:color w:val="auto"/>
        </w:rPr>
      </w:pPr>
      <w:r>
        <w:rPr>
          <w:color w:val="auto"/>
        </w:rPr>
      </w:r>
    </w:p>
    <w:p>
      <w:pPr>
        <w:pStyle w:val="Titreprincipal"/>
        <w:jc w:val="center"/>
        <w:rPr>
          <w:color w:val="auto"/>
        </w:rPr>
      </w:pPr>
      <w:r>
        <w:rPr>
          <w:color w:val="auto"/>
        </w:rPr>
      </w:r>
    </w:p>
    <w:p>
      <w:pPr>
        <w:pStyle w:val="Titreprincipal"/>
        <w:jc w:val="center"/>
        <w:rPr>
          <w:color w:val="auto"/>
        </w:rPr>
      </w:pPr>
      <w:r>
        <w:rPr>
          <w:color w:val="auto"/>
        </w:rPr>
      </w:r>
    </w:p>
    <w:p>
      <w:pPr>
        <w:pStyle w:val="Titreprincipal"/>
        <w:jc w:val="center"/>
        <w:rPr>
          <w:color w:val="auto"/>
        </w:rPr>
      </w:pPr>
      <w:r>
        <w:rPr>
          <w:color w:val="auto"/>
        </w:rPr>
        <w:t xml:space="preserve">Protocole d’accord négociation annuelle obligatoire (NAO) </w:t>
      </w:r>
    </w:p>
    <w:p>
      <w:pPr>
        <w:pStyle w:val="NoSpacing"/>
        <w:rPr>
          <w:rFonts w:cs="Arial"/>
        </w:rPr>
      </w:pPr>
      <w:r>
        <w:rPr>
          <w:rFonts w:cs="Arial"/>
        </w:rPr>
      </w:r>
    </w:p>
    <w:p>
      <w:pPr>
        <w:pStyle w:val="NoSpacing"/>
        <w:rPr>
          <w:rFonts w:cs="Arial"/>
        </w:rPr>
      </w:pPr>
      <w:r>
        <w:rPr>
          <w:rFonts w:cs="Arial"/>
        </w:rPr>
      </w:r>
    </w:p>
    <w:p>
      <w:pPr>
        <w:pStyle w:val="NoSpacing"/>
        <w:rPr>
          <w:rFonts w:cs="Arial"/>
        </w:rPr>
      </w:pPr>
      <w:r>
        <w:rPr>
          <w:rFonts w:cs="Arial"/>
        </w:rPr>
      </w:r>
    </w:p>
    <w:p>
      <w:pPr>
        <w:pStyle w:val="NoSpacing"/>
        <w:jc w:val="center"/>
        <w:rPr>
          <w:rFonts w:ascii="Calibri Light" w:asciiTheme="majorHAnsi" w:cs="" w:cstheme="majorBidi" w:eastAsia="" w:eastAsiaTheme="majorEastAsia" w:hAnsi="Calibri Light" w:hAnsiTheme="majorHAnsi"/>
          <w:spacing w:val="5"/>
          <w:kern w:val="2"/>
          <w:sz w:val="52"/>
          <w:szCs w:val="52"/>
        </w:rPr>
      </w:pPr>
      <w:r>
        <w:rPr>
          <w:rFonts w:ascii="Calibri Light" w:asciiTheme="majorHAnsi" w:cs="" w:cstheme="majorBidi" w:eastAsia="" w:eastAsiaTheme="majorEastAsia" w:hAnsi="Calibri Light" w:hAnsiTheme="majorHAnsi"/>
          <w:spacing w:val="5"/>
          <w:kern w:val="2"/>
          <w:sz w:val="52"/>
          <w:szCs w:val="52"/>
        </w:rPr>
        <w:t>2023</w:t>
      </w:r>
    </w:p>
    <w:p>
      <w:pPr>
        <w:pStyle w:val="NoSpacing"/>
        <w:rPr>
          <w:rFonts w:cs="Arial"/>
        </w:rPr>
      </w:pPr>
      <w:r>
        <w:rPr>
          <w:rFonts w:cs="Arial"/>
        </w:rPr>
      </w:r>
    </w:p>
    <w:p>
      <w:pPr>
        <w:pStyle w:val="NoSpacing"/>
        <w:rPr>
          <w:rFonts w:cs="Arial"/>
        </w:rPr>
      </w:pPr>
      <w:r>
        <w:rPr>
          <w:rFonts w:cs="Arial"/>
        </w:rPr>
      </w:r>
    </w:p>
    <w:p>
      <w:pPr>
        <w:pStyle w:val="NoSpacing"/>
        <w:rPr>
          <w:rFonts w:cs="Arial"/>
        </w:rPr>
      </w:pPr>
      <w:r>
        <w:rPr>
          <w:rFonts w:cs="Arial"/>
        </w:rPr>
      </w:r>
    </w:p>
    <w:p>
      <w:pPr>
        <w:pStyle w:val="NoSpacing"/>
        <w:rPr>
          <w:rFonts w:cs="Arial"/>
        </w:rPr>
      </w:pPr>
      <w:r>
        <w:rPr>
          <w:rFonts w:cs="Arial"/>
        </w:rPr>
      </w:r>
    </w:p>
    <w:p>
      <w:pPr>
        <w:pStyle w:val="NoSpacing"/>
        <w:rPr>
          <w:rFonts w:cs="Arial"/>
        </w:rPr>
      </w:pPr>
      <w:r>
        <w:rPr>
          <w:rFonts w:cs="Arial"/>
        </w:rPr>
      </w:r>
    </w:p>
    <w:p>
      <w:pPr>
        <w:pStyle w:val="NoSpacing"/>
        <w:rPr>
          <w:rFonts w:cs="Arial"/>
        </w:rPr>
      </w:pPr>
      <w:r>
        <w:rPr>
          <w:rFonts w:cs="Arial"/>
        </w:rPr>
      </w:r>
    </w:p>
    <w:p>
      <w:pPr>
        <w:pStyle w:val="NoSpacing"/>
        <w:rPr>
          <w:rFonts w:cs="Arial"/>
        </w:rPr>
      </w:pPr>
      <w:r>
        <w:rPr>
          <w:rFonts w:cs="Arial"/>
        </w:rPr>
      </w:r>
    </w:p>
    <w:p>
      <w:pPr>
        <w:pStyle w:val="NoSpacing"/>
        <w:rPr>
          <w:rFonts w:cs="Arial"/>
        </w:rPr>
      </w:pPr>
      <w:r>
        <w:rPr>
          <w:rFonts w:cs="Arial"/>
        </w:rPr>
      </w:r>
    </w:p>
    <w:p>
      <w:pPr>
        <w:pStyle w:val="NoSpacing"/>
        <w:rPr>
          <w:rFonts w:cs="Arial"/>
        </w:rPr>
      </w:pPr>
      <w:r>
        <w:rPr>
          <w:rFonts w:cs="Arial"/>
        </w:rPr>
      </w:r>
    </w:p>
    <w:p>
      <w:pPr>
        <w:pStyle w:val="NoSpacing"/>
        <w:rPr>
          <w:rFonts w:cs="Arial"/>
        </w:rPr>
      </w:pPr>
      <w:r>
        <w:rPr>
          <w:rFonts w:cs="Arial"/>
        </w:rPr>
      </w:r>
    </w:p>
    <w:p>
      <w:pPr>
        <w:pStyle w:val="NoSpacing"/>
        <w:rPr>
          <w:rFonts w:cs="Arial"/>
        </w:rPr>
      </w:pPr>
      <w:r>
        <w:rPr>
          <w:rFonts w:cs="Arial"/>
        </w:rPr>
      </w:r>
    </w:p>
    <w:p>
      <w:pPr>
        <w:pStyle w:val="NoSpacing"/>
        <w:rPr>
          <w:rFonts w:cs="Arial"/>
        </w:rPr>
      </w:pPr>
      <w:r>
        <w:rPr>
          <w:rFonts w:cs="Arial"/>
        </w:rPr>
      </w:r>
    </w:p>
    <w:p>
      <w:pPr>
        <w:pStyle w:val="Pieddepage"/>
        <w:spacing w:after="80" w:before="0"/>
        <w:ind w:hanging="0" w:left="-1134"/>
        <w:jc w:val="center"/>
        <w:rPr>
          <w:rFonts w:cs="Calibri"/>
          <w:b/>
          <w:b/>
          <w:sz w:val="18"/>
          <w:szCs w:val="18"/>
        </w:rPr>
      </w:pPr>
      <w:r>
        <w:rPr>
          <w:rFonts w:cs="Calibri"/>
          <w:b/>
          <w:sz w:val="18"/>
          <w:szCs w:val="18"/>
        </w:rPr>
      </w:r>
    </w:p>
    <w:p>
      <w:pPr>
        <w:pStyle w:val="Pieddepage"/>
        <w:spacing w:after="80" w:before="0"/>
        <w:ind w:hanging="0" w:left="-1134"/>
        <w:jc w:val="center"/>
        <w:rPr>
          <w:rFonts w:cs="Calibri"/>
          <w:b/>
          <w:b/>
          <w:sz w:val="18"/>
          <w:szCs w:val="18"/>
        </w:rPr>
      </w:pPr>
      <w:r>
        <w:rPr>
          <w:rFonts w:cs="Calibri"/>
          <w:b/>
          <w:sz w:val="18"/>
          <w:szCs w:val="18"/>
        </w:rPr>
      </w:r>
    </w:p>
    <w:p>
      <w:pPr>
        <w:pStyle w:val="Pieddepage"/>
        <w:spacing w:after="80" w:before="0"/>
        <w:ind w:hanging="0" w:left="-1134"/>
        <w:jc w:val="center"/>
        <w:rPr>
          <w:rFonts w:cs="Calibri"/>
          <w:b/>
          <w:b/>
          <w:sz w:val="18"/>
          <w:szCs w:val="18"/>
        </w:rPr>
      </w:pPr>
      <w:r>
        <w:rPr>
          <w:rFonts w:cs="Calibri"/>
          <w:b/>
          <w:sz w:val="18"/>
          <w:szCs w:val="18"/>
        </w:rPr>
      </w:r>
    </w:p>
    <w:p>
      <w:pPr>
        <w:pStyle w:val="Pieddepage"/>
        <w:spacing w:after="80" w:before="0"/>
        <w:ind w:hanging="0" w:left="-1134"/>
        <w:jc w:val="center"/>
        <w:rPr>
          <w:rFonts w:cs="Calibri"/>
          <w:b/>
          <w:b/>
          <w:sz w:val="18"/>
          <w:szCs w:val="18"/>
        </w:rPr>
      </w:pPr>
      <w:r>
        <w:rPr>
          <w:rFonts w:cs="Calibri"/>
          <w:b/>
          <w:sz w:val="18"/>
          <w:szCs w:val="18"/>
        </w:rPr>
      </w:r>
    </w:p>
    <w:p>
      <w:pPr>
        <w:pStyle w:val="Pieddepage"/>
        <w:spacing w:after="80" w:before="0"/>
        <w:ind w:hanging="0" w:left="-1134"/>
        <w:jc w:val="center"/>
        <w:rPr>
          <w:rFonts w:cs="Calibri"/>
          <w:b/>
          <w:b/>
          <w:sz w:val="18"/>
          <w:szCs w:val="18"/>
        </w:rPr>
      </w:pPr>
      <w:r>
        <w:rPr>
          <w:rFonts w:cs="Calibri"/>
          <w:b/>
          <w:sz w:val="18"/>
          <w:szCs w:val="18"/>
        </w:rPr>
      </w:r>
    </w:p>
    <w:p>
      <w:pPr>
        <w:pStyle w:val="Pieddepage"/>
        <w:spacing w:after="80" w:before="0"/>
        <w:ind w:hanging="0" w:left="-1134"/>
        <w:jc w:val="center"/>
        <w:rPr>
          <w:rFonts w:cs="Calibri"/>
          <w:b/>
          <w:b/>
          <w:sz w:val="18"/>
          <w:szCs w:val="18"/>
        </w:rPr>
      </w:pPr>
      <w:r>
        <w:rPr>
          <w:rFonts w:cs="Calibri"/>
          <w:b/>
          <w:sz w:val="18"/>
          <w:szCs w:val="18"/>
        </w:rPr>
      </w:r>
    </w:p>
    <w:p>
      <w:pPr>
        <w:pStyle w:val="Pieddepage"/>
        <w:spacing w:after="80" w:before="0"/>
        <w:ind w:hanging="0" w:left="-1134"/>
        <w:jc w:val="center"/>
        <w:rPr>
          <w:rFonts w:cs="Calibri"/>
          <w:b/>
          <w:b/>
          <w:sz w:val="18"/>
          <w:szCs w:val="18"/>
        </w:rPr>
      </w:pPr>
      <w:r>
        <w:rPr>
          <w:rFonts w:cs="Calibri"/>
          <w:b/>
          <w:sz w:val="18"/>
          <w:szCs w:val="18"/>
        </w:rPr>
      </w:r>
    </w:p>
    <w:p>
      <w:pPr>
        <w:pStyle w:val="Pieddepage"/>
        <w:spacing w:after="80" w:before="0"/>
        <w:ind w:hanging="0" w:left="-1134"/>
        <w:jc w:val="center"/>
        <w:rPr>
          <w:rFonts w:cs="Calibri"/>
          <w:b/>
          <w:b/>
          <w:sz w:val="18"/>
          <w:szCs w:val="18"/>
        </w:rPr>
      </w:pPr>
      <w:r>
        <w:rPr>
          <w:rFonts w:cs="Calibri"/>
          <w:b/>
          <w:sz w:val="18"/>
          <w:szCs w:val="18"/>
        </w:rPr>
      </w:r>
    </w:p>
    <w:p>
      <w:pPr>
        <w:pStyle w:val="Pieddepage"/>
        <w:spacing w:after="80" w:before="0"/>
        <w:ind w:hanging="0" w:left="-1134"/>
        <w:jc w:val="center"/>
        <w:rPr>
          <w:rFonts w:cs="Calibri"/>
          <w:b/>
          <w:b/>
          <w:sz w:val="18"/>
          <w:szCs w:val="18"/>
        </w:rPr>
      </w:pPr>
      <w:r>
        <w:rPr>
          <w:rFonts w:cs="Calibri"/>
          <w:b/>
          <w:sz w:val="18"/>
          <w:szCs w:val="18"/>
        </w:rPr>
        <w:drawing>
          <wp:anchor allowOverlap="1" behindDoc="0" distB="0" distL="114300" distR="114300" distT="0" layoutInCell="0" locked="0" relativeHeight="6" simplePos="0">
            <wp:simplePos x="0" y="0"/>
            <wp:positionH relativeFrom="margin">
              <wp:posOffset>585470</wp:posOffset>
            </wp:positionH>
            <wp:positionV relativeFrom="paragraph">
              <wp:posOffset>266065</wp:posOffset>
            </wp:positionV>
            <wp:extent cx="4573905" cy="371475"/>
            <wp:effectExtent b="0" l="0" r="0" t="0"/>
            <wp:wrapTopAndBottom/>
            <wp:docPr descr="" id="2"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Image 23"/>
                    <pic:cNvPicPr>
                      <a:picLocks noChangeArrowheads="1" noChangeAspect="1"/>
                    </pic:cNvPicPr>
                  </pic:nvPicPr>
                  <pic:blipFill>
                    <a:blip r:embed="rId3"/>
                    <a:stretch>
                      <a:fillRect/>
                    </a:stretch>
                  </pic:blipFill>
                  <pic:spPr bwMode="auto">
                    <a:xfrm>
                      <a:off x="0" y="0"/>
                      <a:ext cx="4573905" cy="371475"/>
                    </a:xfrm>
                    <a:prstGeom prst="rect">
                      <a:avLst/>
                    </a:prstGeom>
                  </pic:spPr>
                </pic:pic>
              </a:graphicData>
            </a:graphic>
          </wp:anchor>
        </w:drawing>
      </w:r>
    </w:p>
    <w:p>
      <w:pPr>
        <w:pStyle w:val="Pieddepage"/>
        <w:spacing w:after="80" w:before="0"/>
        <w:ind w:hanging="0" w:left="-1134"/>
        <w:jc w:val="center"/>
        <w:rPr>
          <w:rFonts w:cs="Calibri"/>
          <w:b/>
          <w:b/>
          <w:sz w:val="18"/>
          <w:szCs w:val="18"/>
        </w:rPr>
      </w:pPr>
      <w:r>
        <w:rPr>
          <w:rFonts w:cs="Calibri"/>
          <w:b/>
          <w:sz w:val="18"/>
          <w:szCs w:val="18"/>
        </w:rPr>
        <mc:AlternateContent>
          <mc:Choice Requires="wps">
            <w:drawing>
              <wp:anchor allowOverlap="1" behindDoc="0" distB="0" distL="3175" distR="0" distT="3175" layoutInCell="0" locked="0" relativeHeight="3" simplePos="0" wp14:anchorId="00445D06">
                <wp:simplePos x="0" y="0"/>
                <wp:positionH relativeFrom="margin">
                  <wp:posOffset>0</wp:posOffset>
                </wp:positionH>
                <wp:positionV relativeFrom="paragraph">
                  <wp:posOffset>10160</wp:posOffset>
                </wp:positionV>
                <wp:extent cx="5734685" cy="8890"/>
                <wp:effectExtent b="29845" l="0" r="19050" t="0"/>
                <wp:wrapNone/>
                <wp:docPr id="3" name="Connecteur droit 7"/>
                <a:graphic xmlns:a="http://schemas.openxmlformats.org/drawingml/2006/main">
                  <a:graphicData uri="http://schemas.microsoft.com/office/word/2010/wordprocessingShape">
                    <wps:wsp>
                      <wps:cNvSpPr/>
                      <wps:spPr>
                        <a:xfrm flipV="1">
                          <a:off x="0" y="0"/>
                          <a:ext cx="5734080" cy="6840"/>
                        </a:xfrm>
                        <a:prstGeom prst="line">
                          <a:avLst/>
                        </a:prstGeom>
                        <a:ln>
                          <a:solidFill>
                            <a:srgbClr val="ffffff">
                              <a:lumMod val="85000"/>
                            </a:srgb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Connecteur droit 7" from="0pt,0.8pt" id="shape_0" stroked="t" style="position:absolute;flip:y;mso-position-horizontal-relative:margin" to="451.45pt,1.3pt" wp14:anchorId="00445D06">
                <v:stroke color="#d9d9d9" endcap="flat" joinstyle="miter" weight="6480"/>
                <v:fill o:detectmouseclick="t" on="false"/>
                <w10:wrap type="none"/>
              </v:line>
            </w:pict>
          </mc:Fallback>
        </mc:AlternateContent>
        <mc:AlternateContent>
          <mc:Choice Requires="wps">
            <w:drawing>
              <wp:anchor allowOverlap="1" behindDoc="0" distB="0" distL="128270" distR="95250" distT="0" layoutInCell="0" locked="0" relativeHeight="4" simplePos="0" wp14:anchorId="04ACBE03">
                <wp:simplePos x="0" y="0"/>
                <wp:positionH relativeFrom="margin">
                  <wp:posOffset>0</wp:posOffset>
                </wp:positionH>
                <wp:positionV relativeFrom="paragraph">
                  <wp:posOffset>17145</wp:posOffset>
                </wp:positionV>
                <wp:extent cx="653415" cy="1270"/>
                <wp:effectExtent b="19050" l="0" r="33020" t="19050"/>
                <wp:wrapTight wrapText="bothSides">
                  <wp:wrapPolygon edited="0">
                    <wp:start x="0" y="-1"/>
                    <wp:lineTo x="0" y="-1"/>
                    <wp:lineTo x="22062" y="-1"/>
                    <wp:lineTo x="22062" y="-1"/>
                    <wp:lineTo x="0" y="-1"/>
                  </wp:wrapPolygon>
                </wp:wrapTight>
                <wp:docPr id="4" name="Connecteur droit 8"/>
                <a:graphic xmlns:a="http://schemas.openxmlformats.org/drawingml/2006/main">
                  <a:graphicData uri="http://schemas.microsoft.com/office/word/2010/wordprocessingShape">
                    <wps:wsp>
                      <wps:cNvSpPr/>
                      <wps:spPr>
                        <a:xfrm>
                          <a:off x="0" y="0"/>
                          <a:ext cx="652680" cy="720"/>
                        </a:xfrm>
                        <a:prstGeom prst="line">
                          <a:avLst/>
                        </a:prstGeom>
                        <a:ln w="28575">
                          <a:solidFill>
                            <a:srgbClr val="0a9876"/>
                          </a:solidFill>
                        </a:ln>
                      </wps:spPr>
                      <wps:style>
                        <a:lnRef idx="3">
                          <a:schemeClr val="accent5"/>
                        </a:lnRef>
                        <a:fillRef idx="0">
                          <a:schemeClr val="accent5"/>
                        </a:fillRef>
                        <a:effectRef idx="2">
                          <a:schemeClr val="accent5"/>
                        </a:effectRef>
                        <a:fontRef idx="minor"/>
                      </wps:style>
                      <wps:bodyPr/>
                    </wps:wsp>
                  </a:graphicData>
                </a:graphic>
              </wp:anchor>
            </w:drawing>
          </mc:Choice>
          <mc:Fallback>
            <w:pict>
              <v:line ID="Connecteur droit 8" from="0pt,1.35pt" id="shape_0" stroked="t" style="position:absolute;mso-position-horizontal-relative:margin" to="51.35pt,1.35pt" wp14:anchorId="04ACBE03">
                <v:stroke color="#0a9876" endcap="flat" joinstyle="miter" weight="28440"/>
                <v:fill o:detectmouseclick="t" on="false"/>
                <w10:wrap type="square"/>
              </v:line>
            </w:pict>
          </mc:Fallback>
        </mc:AlternateContent>
        <mc:AlternateContent>
          <mc:Choice Requires="wps">
            <w:drawing>
              <wp:anchor allowOverlap="1" behindDoc="0" distB="50165" distL="118745" distR="113665" distT="50165" layoutInCell="0" locked="0" relativeHeight="5" simplePos="0" wp14:anchorId="571E77BC">
                <wp:simplePos x="0" y="0"/>
                <wp:positionH relativeFrom="margin">
                  <wp:posOffset>910590</wp:posOffset>
                </wp:positionH>
                <wp:positionV relativeFrom="paragraph">
                  <wp:posOffset>464185</wp:posOffset>
                </wp:positionV>
                <wp:extent cx="3858260" cy="210185"/>
                <wp:effectExtent b="0" l="0" r="9525" t="0"/>
                <wp:wrapSquare wrapText="bothSides"/>
                <wp:docPr id="5" name="Zone de texte 2"/>
                <a:graphic xmlns:a="http://schemas.openxmlformats.org/drawingml/2006/main">
                  <a:graphicData uri="http://schemas.microsoft.com/office/word/2010/wordprocessingShape">
                    <wps:wsp>
                      <wps:cNvSpPr/>
                      <wps:spPr>
                        <a:xfrm>
                          <a:off x="0" y="0"/>
                          <a:ext cx="3857760" cy="209520"/>
                        </a:xfrm>
                        <a:prstGeom prst="rect">
                          <a:avLst/>
                        </a:prstGeom>
                        <a:solidFill>
                          <a:srgbClr val="ffffff"/>
                        </a:solidFill>
                        <a:ln w="9525">
                          <a:noFill/>
                        </a:ln>
                      </wps:spPr>
                      <wps:style>
                        <a:lnRef idx="0"/>
                        <a:fillRef idx="0"/>
                        <a:effectRef idx="0"/>
                        <a:fontRef idx="minor"/>
                      </wps:style>
                      <wps:txbx>
                        <w:txbxContent>
                          <w:p>
                            <w:pPr>
                              <w:pStyle w:val="Contenudecadre"/>
                              <w:spacing w:after="200" w:before="0"/>
                              <w:rPr>
                                <w:color w:themeColor="background2" w:themeShade="bf" w:val="AEAAAA"/>
                                <w:sz w:val="16"/>
                                <w:szCs w:val="16"/>
                              </w:rPr>
                            </w:pPr>
                            <w:r>
                              <w:rPr>
                                <w:color w:themeColor="background2" w:themeShade="bf" w:val="AEAAAA"/>
                                <w:sz w:val="16"/>
                                <w:szCs w:val="16"/>
                              </w:rPr>
                              <w:t>RCS VIENNE B 409 600 - 616 – SAS AU CAPITAL de 15 537 011 EUROS - Copyright © 2021</w:t>
                            </w:r>
                          </w:p>
                        </w:txbxContent>
                      </wps:txbx>
                      <wps:bodyPr>
                        <a:noAutofit/>
                      </wps:bodyPr>
                    </wps:wsp>
                  </a:graphicData>
                </a:graphic>
              </wp:anchor>
            </w:drawing>
          </mc:Choice>
          <mc:Fallback>
            <w:pict>
              <v:rect ID="Zone de texte 2" fillcolor="white" id="shape_0" path="m0,0l-2147483645,0l-2147483645,-2147483646l0,-2147483646xe" stroked="f" style="position:absolute;margin-left:71.7pt;margin-top:36.55pt;width:303.7pt;height:16.45pt;mso-wrap-style:square;v-text-anchor:top;mso-position-horizontal-relative:margin" wp14:anchorId="571E77BC">
                <v:fill color2="black" o:detectmouseclick="t" type="solid"/>
                <v:stroke color="#3465a4" endcap="flat" joinstyle="miter" weight="9360"/>
                <v:textbox>
                  <w:txbxContent>
                    <w:p>
                      <w:pPr>
                        <w:pStyle w:val="Contenudecadre"/>
                        <w:spacing w:after="200" w:before="0"/>
                        <w:rPr>
                          <w:color w:themeColor="background2" w:themeShade="bf" w:val="AEAAAA"/>
                          <w:sz w:val="16"/>
                          <w:szCs w:val="16"/>
                        </w:rPr>
                      </w:pPr>
                      <w:r>
                        <w:rPr>
                          <w:color w:themeColor="background2" w:themeShade="bf" w:val="AEAAAA"/>
                          <w:sz w:val="16"/>
                          <w:szCs w:val="16"/>
                        </w:rPr>
                        <w:t>RCS VIENNE B 409 600 - 616 – SAS AU CAPITAL de 15 537 011 EUROS - Copyright © 2021</w:t>
                      </w:r>
                    </w:p>
                  </w:txbxContent>
                </v:textbox>
                <w10:wrap type="square"/>
              </v:rect>
            </w:pict>
          </mc:Fallback>
        </mc:AlternateContent>
      </w:r>
    </w:p>
    <w:p>
      <w:pPr>
        <w:pStyle w:val="Pieddepage"/>
        <w:spacing w:after="80" w:before="0"/>
        <w:ind w:hanging="0" w:left="-1134"/>
        <w:jc w:val="center"/>
        <w:rPr>
          <w:rFonts w:cs="Calibri"/>
          <w:b/>
          <w:b/>
          <w:sz w:val="18"/>
          <w:szCs w:val="18"/>
        </w:rPr>
      </w:pPr>
      <w:r>
        <w:rPr>
          <w:rFonts w:cs="Calibri"/>
          <w:b/>
          <w:sz w:val="18"/>
          <w:szCs w:val="18"/>
        </w:rPr>
      </w:r>
    </w:p>
    <w:p>
      <w:pPr>
        <w:pStyle w:val="Tabledesmatiresniveau1"/>
        <w:tabs>
          <w:tab w:pos="708" w:val="clear"/>
          <w:tab w:leader="dot" w:pos="9062" w:val="right"/>
        </w:tabs>
        <w:rPr>
          <w:rFonts w:cs="Arial"/>
        </w:rPr>
      </w:pPr>
      <w:r>
        <w:rPr>
          <w:rFonts w:cs="Arial"/>
        </w:rPr>
      </w:r>
    </w:p>
    <w:sdt>
      <w:sdtPr>
        <w:docPartObj>
          <w:docPartGallery w:val="Table of Contents"/>
          <w:docPartUnique w:val="true"/>
        </w:docPartObj>
      </w:sdtPr>
      <w:sdtContent>
        <w:p>
          <w:pPr>
            <w:pStyle w:val="Tabledesmatiresniveau1"/>
            <w:tabs>
              <w:tab w:pos="708" w:val="clear"/>
              <w:tab w:leader="dot" w:pos="9062" w:val="right"/>
            </w:tabs>
            <w:rPr/>
          </w:pPr>
          <w:r>
            <w:fldChar w:fldCharType="begin"/>
          </w:r>
          <w:r>
            <w:rPr/>
            <w:instrText> TOC \o "1-9" \h</w:instrText>
          </w:r>
          <w:r>
            <w:rPr/>
            <w:fldChar w:fldCharType="separate"/>
          </w:r>
          <w:r>
            <w:rPr/>
            <w:t>PREAMBULE</w:t>
            <w:tab/>
            <w:t>3</w:t>
          </w:r>
        </w:p>
        <w:p>
          <w:pPr>
            <w:pStyle w:val="Tabledesmatiresniveau1"/>
            <w:tabs>
              <w:tab w:pos="708" w:val="clear"/>
              <w:tab w:leader="dot" w:pos="9062" w:val="right"/>
            </w:tabs>
            <w:rPr/>
          </w:pPr>
          <w:r>
            <w:rPr/>
            <w:t>Partie 1 : Rémunération, temps de travail et partage de la valeur ajoutée</w:t>
            <w:tab/>
            <w:t>4</w:t>
          </w:r>
        </w:p>
        <w:p>
          <w:pPr>
            <w:pStyle w:val="Tabledesmatiresniveau1"/>
            <w:tabs>
              <w:tab w:pos="708" w:val="clear"/>
              <w:tab w:leader="dot" w:pos="9062" w:val="right"/>
            </w:tabs>
            <w:rPr/>
          </w:pPr>
          <w:r>
            <w:rPr/>
            <w:t>dans l’entreprise :</w:t>
            <w:tab/>
            <w:t>4</w:t>
          </w:r>
        </w:p>
        <w:p>
          <w:pPr>
            <w:pStyle w:val="Tabledesmatiresniveau2"/>
            <w:tabs>
              <w:tab w:pos="708" w:val="clear"/>
              <w:tab w:leader="dot" w:pos="9062" w:val="right"/>
            </w:tabs>
            <w:rPr/>
          </w:pPr>
          <w:r>
            <w:rPr/>
            <w:t>Article 1 : Salaires effectifs</w:t>
            <w:tab/>
            <w:t>4</w:t>
          </w:r>
        </w:p>
        <w:p>
          <w:pPr>
            <w:pStyle w:val="Tabledesmatiresniveau2"/>
            <w:tabs>
              <w:tab w:pos="708" w:val="clear"/>
              <w:tab w:leader="dot" w:pos="9062" w:val="right"/>
            </w:tabs>
            <w:rPr/>
          </w:pPr>
          <w:r>
            <w:rPr/>
            <w:t>Article 2 – La durée effective et l’organisation du temps de travail, notamment la mise en place du travail à temps partiel, et éventuellement la réduction du temps de travail</w:t>
            <w:tab/>
            <w:t>7</w:t>
          </w:r>
        </w:p>
        <w:p>
          <w:pPr>
            <w:pStyle w:val="Tabledesmatiresniveau2"/>
            <w:tabs>
              <w:tab w:pos="708" w:val="clear"/>
              <w:tab w:leader="dot" w:pos="9062" w:val="right"/>
            </w:tabs>
            <w:rPr/>
          </w:pPr>
          <w:r>
            <w:rPr/>
            <w:t>Article 3 : Intéressement, participation et épargne salariale</w:t>
            <w:tab/>
            <w:t>8</w:t>
          </w:r>
        </w:p>
        <w:p>
          <w:pPr>
            <w:pStyle w:val="Tabledesmatiresniveau2"/>
            <w:tabs>
              <w:tab w:pos="708" w:val="clear"/>
              <w:tab w:leader="dot" w:pos="9062" w:val="right"/>
            </w:tabs>
            <w:rPr/>
          </w:pPr>
          <w:r>
            <w:rPr/>
            <w:t>Article 4 : suivi de la mise en œuvre des mesures visant à supprimer les écarts de rémunération et les différences de déroulement de carrière entre les hommes et les femmes :</w:t>
            <w:tab/>
            <w:t>8</w:t>
          </w:r>
        </w:p>
        <w:p>
          <w:pPr>
            <w:pStyle w:val="Tabledesmatiresniveau1"/>
            <w:tabs>
              <w:tab w:pos="708" w:val="clear"/>
              <w:tab w:leader="dot" w:pos="9062" w:val="right"/>
            </w:tabs>
            <w:rPr/>
          </w:pPr>
          <w:r>
            <w:rPr/>
            <w:t>Partie 2 : Négociation annuelle sur l’égalité professionnelle entre les femmes et les hommes et la qualité de vie au travail</w:t>
            <w:tab/>
            <w:t>9</w:t>
          </w:r>
        </w:p>
        <w:p>
          <w:pPr>
            <w:pStyle w:val="Tabledesmatiresniveau2"/>
            <w:tabs>
              <w:tab w:pos="708" w:val="clear"/>
              <w:tab w:leader="dot" w:pos="9062" w:val="right"/>
            </w:tabs>
            <w:rPr/>
          </w:pPr>
          <w:r>
            <w:rPr/>
            <w:t>Article 1 : L'articulation entre la vie personnelle et la vie professionnelle pour les salariés :</w:t>
            <w:tab/>
            <w:t>9</w:t>
          </w:r>
        </w:p>
        <w:p>
          <w:pPr>
            <w:pStyle w:val="Tabledesmatiresniveau2"/>
            <w:tabs>
              <w:tab w:pos="708" w:val="clear"/>
              <w:tab w:leader="dot" w:pos="9062" w:val="right"/>
            </w:tabs>
            <w:rPr/>
          </w:pPr>
          <w:r>
            <w:rPr/>
            <w:t>Article 2 : Les mesures permettant de lutter contre toute discrimination en matière de recrutement, d'emploi et d'accès à la formation professionnelle</w:t>
            <w:tab/>
            <w:t>9</w:t>
          </w:r>
        </w:p>
        <w:p>
          <w:pPr>
            <w:pStyle w:val="Tabledesmatiresniveau2"/>
            <w:tabs>
              <w:tab w:pos="708" w:val="clear"/>
              <w:tab w:leader="dot" w:pos="9062" w:val="right"/>
            </w:tabs>
            <w:rPr/>
          </w:pPr>
          <w:r>
            <w:rPr/>
            <w:t>Article 3 : Les mesures relatives à l’insertion et au maintien dans l’emploi des travailleurs handicapés (conditions d'accès à l'emploi, à la formation et à la promotion professionnelles, et les actions de sensibilisation de l'ensemble du personnel au handicap) :</w:t>
            <w:tab/>
            <w:t>10</w:t>
          </w:r>
        </w:p>
        <w:p>
          <w:pPr>
            <w:pStyle w:val="Tabledesmatiresniveau2"/>
            <w:tabs>
              <w:tab w:pos="708" w:val="clear"/>
              <w:tab w:leader="dot" w:pos="9062" w:val="right"/>
            </w:tabs>
            <w:rPr/>
          </w:pPr>
          <w:r>
            <w:rPr/>
            <w:t>Article 4 : Les modalités de définition d'un régime de prévoyance et d'un régime de remboursements complémentaires de frais de santé (mutuelle)</w:t>
            <w:tab/>
            <w:t>10</w:t>
          </w:r>
        </w:p>
        <w:p>
          <w:pPr>
            <w:pStyle w:val="Tabledesmatiresniveau2"/>
            <w:tabs>
              <w:tab w:pos="708" w:val="clear"/>
              <w:tab w:leader="dot" w:pos="9062" w:val="right"/>
            </w:tabs>
            <w:rPr/>
          </w:pPr>
          <w:r>
            <w:rPr/>
            <w:t>Article 5 : L'exercice du droit d'expression directe et collective des salariés notamment au moyen des outils numériques disponibles dans l’entreprise</w:t>
            <w:tab/>
            <w:t>11</w:t>
          </w:r>
        </w:p>
        <w:p>
          <w:pPr>
            <w:pStyle w:val="Tabledesmatiresniveau2"/>
            <w:tabs>
              <w:tab w:pos="708" w:val="clear"/>
              <w:tab w:leader="dot" w:pos="9062" w:val="right"/>
            </w:tabs>
            <w:rPr/>
          </w:pPr>
          <w:r>
            <w:rPr/>
            <w:t>Article 6 : droit à la déconnexion des salariés</w:t>
            <w:tab/>
            <w:t>11</w:t>
          </w:r>
        </w:p>
        <w:p>
          <w:pPr>
            <w:pStyle w:val="Tabledesmatiresniveau2"/>
            <w:tabs>
              <w:tab w:pos="708" w:val="clear"/>
              <w:tab w:leader="dot" w:pos="9062" w:val="right"/>
            </w:tabs>
            <w:rPr/>
          </w:pPr>
          <w:r>
            <w:rPr/>
            <w:t>Article 7 : mesures visant à améliorer la mobilité des salariés entre leur lieu de résidence habituelle et leur lieu de travail :</w:t>
            <w:tab/>
            <w:t>11</w:t>
          </w:r>
        </w:p>
        <w:p>
          <w:pPr>
            <w:pStyle w:val="Tabledesmatiresniveau2"/>
            <w:tabs>
              <w:tab w:pos="708" w:val="clear"/>
              <w:tab w:leader="dot" w:pos="9062" w:val="right"/>
            </w:tabs>
            <w:rPr/>
          </w:pPr>
          <w:r>
            <w:rPr/>
            <w:t>Article 8 : mesures visant à améliorer EGALITE HOMME/FEMME :</w:t>
            <w:tab/>
            <w:t>11</w:t>
          </w:r>
        </w:p>
        <w:p>
          <w:pPr>
            <w:pStyle w:val="Tabledesmatiresniveau1"/>
            <w:tabs>
              <w:tab w:pos="708" w:val="clear"/>
              <w:tab w:leader="dot" w:pos="9062" w:val="right"/>
            </w:tabs>
            <w:rPr/>
          </w:pPr>
          <w:r>
            <w:rPr/>
            <w:t>Engagement réciproque de bonne foi</w:t>
            <w:tab/>
            <w:t>12</w:t>
          </w:r>
        </w:p>
        <w:p>
          <w:pPr>
            <w:pStyle w:val="Tabledesmatiresniveau1"/>
            <w:tabs>
              <w:tab w:pos="708" w:val="clear"/>
              <w:tab w:leader="dot" w:pos="9062" w:val="right"/>
            </w:tabs>
            <w:rPr/>
          </w:pPr>
          <w:r>
            <w:rPr/>
            <w:t>Durée de l’accord</w:t>
            <w:tab/>
            <w:t>12</w:t>
          </w:r>
        </w:p>
        <w:p>
          <w:pPr>
            <w:pStyle w:val="Tabledesmatiresniveau1"/>
            <w:tabs>
              <w:tab w:pos="708" w:val="clear"/>
              <w:tab w:leader="dot" w:pos="9062" w:val="right"/>
            </w:tabs>
            <w:rPr/>
          </w:pPr>
          <w:r>
            <w:rPr/>
            <w:t>Suivi de l’accord</w:t>
            <w:tab/>
            <w:t>12</w:t>
          </w:r>
        </w:p>
        <w:p>
          <w:pPr>
            <w:pStyle w:val="Tabledesmatiresniveau1"/>
            <w:tabs>
              <w:tab w:pos="708" w:val="clear"/>
              <w:tab w:leader="dot" w:pos="9062" w:val="right"/>
            </w:tabs>
            <w:rPr/>
          </w:pPr>
          <w:r>
            <w:rPr/>
            <w:t>Dénonciation - Révision</w:t>
            <w:tab/>
            <w:t>12</w:t>
          </w:r>
        </w:p>
        <w:p>
          <w:pPr>
            <w:pStyle w:val="Tabledesmatiresniveau1"/>
            <w:tabs>
              <w:tab w:pos="708" w:val="clear"/>
              <w:tab w:leader="dot" w:pos="9062" w:val="right"/>
            </w:tabs>
            <w:rPr/>
          </w:pPr>
          <w:r>
            <w:rPr/>
            <w:t>Dépôt et publicité</w:t>
            <w:tab/>
            <w:t>13</w:t>
          </w:r>
          <w:r>
            <w:rPr/>
            <w:fldChar w:fldCharType="end"/>
          </w:r>
        </w:p>
      </w:sdtContent>
    </w:sdt>
    <w:p>
      <w:pPr>
        <w:pStyle w:val="Normal"/>
        <w:spacing w:line="240" w:lineRule="auto"/>
        <w:rPr>
          <w:rFonts w:cs="Arial"/>
        </w:rPr>
      </w:pPr>
      <w:r>
        <w:rPr>
          <w:rFonts w:cs="Arial"/>
        </w:rPr>
      </w:r>
    </w:p>
    <w:p>
      <w:pPr>
        <w:pStyle w:val="Normal"/>
        <w:spacing w:line="240" w:lineRule="auto"/>
        <w:rPr>
          <w:rFonts w:cs="Arial"/>
        </w:rPr>
      </w:pPr>
      <w:r>
        <w:rPr>
          <w:rFonts w:cs="Arial"/>
        </w:rPr>
      </w:r>
    </w:p>
    <w:p>
      <w:pPr>
        <w:pStyle w:val="NoSpacing"/>
        <w:rPr>
          <w:rFonts w:cs="Arial"/>
        </w:rPr>
      </w:pPr>
      <w:r>
        <w:rPr>
          <w:rFonts w:cs="Arial"/>
        </w:rPr>
      </w:r>
    </w:p>
    <w:p>
      <w:pPr>
        <w:pStyle w:val="NoSpacing"/>
        <w:jc w:val="both"/>
        <w:rPr>
          <w:rFonts w:cs="Arial"/>
        </w:rPr>
      </w:pPr>
      <w:r>
        <w:rPr>
          <w:rFonts w:cs="Arial"/>
        </w:rPr>
      </w:r>
    </w:p>
    <w:p>
      <w:pPr>
        <w:pStyle w:val="Normal"/>
        <w:spacing w:after="160" w:before="0" w:line="259" w:lineRule="auto"/>
        <w:rPr>
          <w:rFonts w:cs="Calibri" w:cstheme="minorHAnsi"/>
          <w:b/>
          <w:b/>
        </w:rPr>
      </w:pPr>
      <w:r>
        <w:rPr>
          <w:rFonts w:cs="Calibri" w:cstheme="minorHAnsi"/>
          <w:b/>
        </w:rPr>
      </w:r>
      <w:r>
        <w:br w:type="page"/>
      </w:r>
    </w:p>
    <w:p>
      <w:pPr>
        <w:pStyle w:val="NoSpacing"/>
        <w:jc w:val="both"/>
        <w:rPr>
          <w:rFonts w:cs="Calibri" w:cstheme="minorHAnsi"/>
          <w:b/>
          <w:b/>
        </w:rPr>
      </w:pPr>
      <w:r>
        <w:rPr>
          <w:rFonts w:cs="Calibri" w:cstheme="minorHAnsi"/>
          <w:b/>
        </w:rPr>
        <w:t xml:space="preserve">ENTRE LES SOUSSIGNES : </w:t>
      </w:r>
    </w:p>
    <w:p>
      <w:pPr>
        <w:pStyle w:val="NoSpacing"/>
        <w:jc w:val="both"/>
        <w:rPr>
          <w:rFonts w:cs="Calibri" w:cstheme="minorHAnsi"/>
        </w:rPr>
      </w:pPr>
      <w:r>
        <w:rPr>
          <w:rFonts w:cs="Calibri" w:cstheme="minorHAnsi"/>
        </w:rPr>
      </w:r>
    </w:p>
    <w:p>
      <w:pPr>
        <w:pStyle w:val="Normal"/>
        <w:widowControl w:val="false"/>
        <w:spacing w:afterAutospacing="1" w:before="0" w:line="240" w:lineRule="auto"/>
        <w:ind w:hanging="0" w:right="-29"/>
        <w:jc w:val="both"/>
        <w:rPr>
          <w:rFonts w:cs="Calibri" w:cstheme="minorHAnsi" w:eastAsia="Times New Roman"/>
          <w:sz w:val="24"/>
          <w:szCs w:val="24"/>
        </w:rPr>
      </w:pPr>
      <w:r>
        <w:rPr>
          <w:rFonts w:cs="Calibri" w:cstheme="minorHAnsi" w:eastAsia="Times New Roman"/>
          <w:sz w:val="24"/>
          <w:szCs w:val="24"/>
        </w:rPr>
        <w:t>Entre :</w:t>
      </w:r>
    </w:p>
    <w:p>
      <w:pPr>
        <w:pStyle w:val="Normal"/>
        <w:numPr>
          <w:ilvl w:val="0"/>
          <w:numId w:val="1"/>
        </w:numPr>
        <w:spacing w:afterAutospacing="1" w:before="200" w:line="240" w:lineRule="auto"/>
        <w:ind w:hanging="360" w:left="644" w:right="-29"/>
        <w:jc w:val="both"/>
        <w:rPr>
          <w:rFonts w:cs="Calibri" w:cstheme="minorHAnsi" w:eastAsia="Times New Roman"/>
          <w:sz w:val="24"/>
          <w:szCs w:val="24"/>
        </w:rPr>
      </w:pPr>
      <w:r>
        <w:rPr>
          <w:rFonts w:cs="Calibri" w:cstheme="minorHAnsi" w:eastAsia="Times New Roman"/>
          <w:sz w:val="24"/>
          <w:szCs w:val="24"/>
        </w:rPr>
        <w:t xml:space="preserve">La société SKYEPHARMA PRODUCTION S.A.S., dont le siège social est situé Z.A. du Chesnes Ouest, 55 rue du Montmurier, B.P. 45, 38291 Saint Quentin-Fallavier, SIRET 409 600 616 00026, représentée par ……., dûment habilité à l’effet des présentes, </w:t>
      </w:r>
    </w:p>
    <w:p>
      <w:pPr>
        <w:pStyle w:val="Normal"/>
        <w:spacing w:afterAutospacing="1" w:before="200" w:line="240" w:lineRule="auto"/>
        <w:ind w:hanging="0" w:left="284" w:right="-29"/>
        <w:jc w:val="right"/>
        <w:rPr>
          <w:rFonts w:cs="Calibri" w:cstheme="minorHAnsi" w:eastAsia="Times New Roman"/>
          <w:sz w:val="24"/>
          <w:szCs w:val="24"/>
        </w:rPr>
      </w:pPr>
      <w:r>
        <w:rPr>
          <w:rFonts w:cs="Calibri" w:cstheme="minorHAnsi" w:eastAsia="Times New Roman"/>
          <w:sz w:val="24"/>
          <w:szCs w:val="24"/>
        </w:rPr>
        <w:t xml:space="preserve">Ci -après la </w:t>
      </w:r>
      <w:r>
        <w:rPr>
          <w:rFonts w:cs="Calibri" w:cstheme="minorHAnsi" w:eastAsia="Times New Roman"/>
          <w:i/>
          <w:iCs/>
          <w:sz w:val="24"/>
          <w:szCs w:val="24"/>
        </w:rPr>
        <w:t xml:space="preserve">« Direction » </w:t>
      </w:r>
    </w:p>
    <w:p>
      <w:pPr>
        <w:pStyle w:val="Normal"/>
        <w:spacing w:afterAutospacing="1" w:before="200" w:line="240" w:lineRule="auto"/>
        <w:ind w:hanging="0" w:left="284" w:right="-29"/>
        <w:rPr>
          <w:rFonts w:cs="Calibri" w:cstheme="minorHAnsi" w:eastAsia="Times New Roman"/>
          <w:sz w:val="24"/>
          <w:szCs w:val="24"/>
        </w:rPr>
      </w:pPr>
      <w:r>
        <w:rPr>
          <w:rFonts w:cs="Calibri" w:cstheme="minorHAnsi" w:eastAsia="Times New Roman"/>
          <w:b/>
          <w:bCs/>
          <w:sz w:val="24"/>
          <w:szCs w:val="24"/>
        </w:rPr>
        <w:t xml:space="preserve">D'une part </w:t>
      </w:r>
    </w:p>
    <w:p>
      <w:pPr>
        <w:pStyle w:val="Normal"/>
        <w:tabs>
          <w:tab w:pos="708" w:val="clear"/>
          <w:tab w:leader="none" w:pos="2835" w:val="left"/>
        </w:tabs>
        <w:spacing w:afterAutospacing="1" w:before="0" w:line="240" w:lineRule="auto"/>
        <w:ind w:hanging="0" w:right="-29"/>
        <w:jc w:val="both"/>
        <w:rPr>
          <w:rFonts w:cs="Calibri" w:cstheme="minorHAnsi" w:eastAsia="Times New Roman"/>
          <w:b/>
          <w:b/>
          <w:bCs/>
          <w:sz w:val="24"/>
          <w:szCs w:val="24"/>
        </w:rPr>
      </w:pPr>
      <w:r>
        <w:rPr>
          <w:rFonts w:cs="Calibri" w:cstheme="minorHAnsi" w:eastAsia="Times New Roman"/>
          <w:b/>
          <w:bCs/>
          <w:sz w:val="24"/>
          <w:szCs w:val="24"/>
        </w:rPr>
        <w:t>Et :</w:t>
      </w:r>
    </w:p>
    <w:p>
      <w:pPr>
        <w:pStyle w:val="Normal"/>
        <w:numPr>
          <w:ilvl w:val="0"/>
          <w:numId w:val="1"/>
        </w:numPr>
        <w:spacing w:afterAutospacing="1" w:before="200" w:line="240" w:lineRule="auto"/>
        <w:ind w:hanging="360" w:left="644" w:right="-29"/>
        <w:jc w:val="both"/>
        <w:rPr>
          <w:rFonts w:cs="Calibri" w:cstheme="minorHAnsi" w:eastAsia="Times New Roman"/>
          <w:sz w:val="24"/>
          <w:szCs w:val="24"/>
        </w:rPr>
      </w:pPr>
      <w:r>
        <w:rPr>
          <w:rFonts w:cs="Calibri" w:cstheme="minorHAnsi" w:eastAsia="Times New Roman"/>
          <w:sz w:val="24"/>
          <w:szCs w:val="24"/>
        </w:rPr>
        <w:t>L’organisation syndicale signataire des salariés FO, représentée par …….. déléguée syndicale dûment mandatée à cet effet</w:t>
      </w:r>
    </w:p>
    <w:p>
      <w:pPr>
        <w:pStyle w:val="Normal"/>
        <w:spacing w:afterAutospacing="1" w:before="200" w:line="240" w:lineRule="auto"/>
        <w:ind w:hanging="0" w:right="-29"/>
        <w:jc w:val="right"/>
        <w:rPr>
          <w:rFonts w:cs="Calibri" w:cstheme="minorHAnsi" w:eastAsia="Times New Roman"/>
          <w:sz w:val="24"/>
          <w:szCs w:val="24"/>
        </w:rPr>
      </w:pPr>
      <w:r>
        <w:rPr>
          <w:rFonts w:cs="Calibri" w:cstheme="minorHAnsi" w:eastAsia="Times New Roman"/>
          <w:sz w:val="24"/>
          <w:szCs w:val="24"/>
        </w:rPr>
        <w:t>Ci-après « Délégation Syndicale »</w:t>
      </w:r>
    </w:p>
    <w:p>
      <w:pPr>
        <w:pStyle w:val="NoSpacing"/>
        <w:jc w:val="both"/>
        <w:rPr>
          <w:rFonts w:cs="Calibri" w:cstheme="minorHAnsi"/>
          <w:b/>
          <w:b/>
          <w:bCs/>
          <w:sz w:val="24"/>
          <w:szCs w:val="24"/>
        </w:rPr>
      </w:pPr>
      <w:r>
        <w:rPr>
          <w:rFonts w:cs="Calibri" w:cstheme="minorHAnsi"/>
          <w:b/>
          <w:bCs/>
          <w:sz w:val="24"/>
          <w:szCs w:val="24"/>
        </w:rPr>
        <w:t>D’autre part,</w:t>
      </w:r>
    </w:p>
    <w:p>
      <w:pPr>
        <w:pStyle w:val="Titre1"/>
        <w:shd w:fill="4472C4" w:val="clear"/>
        <w:spacing w:line="240" w:lineRule="auto"/>
        <w:jc w:val="both"/>
        <w:rPr>
          <w:color w:val="auto"/>
        </w:rPr>
      </w:pPr>
      <w:bookmarkStart w:id="0" w:name="_Toc127534799"/>
      <w:r>
        <w:rPr>
          <w:color w:val="auto"/>
        </w:rPr>
        <w:t>PREAMBULE</w:t>
      </w:r>
      <w:bookmarkEnd w:id="0"/>
    </w:p>
    <w:p>
      <w:pPr>
        <w:pStyle w:val="Normal"/>
        <w:shd w:color="auto" w:fill="FFFFFF" w:val="clear"/>
        <w:spacing w:afterAutospacing="1" w:beforeAutospacing="1" w:line="240" w:lineRule="auto"/>
        <w:jc w:val="both"/>
        <w:rPr>
          <w:sz w:val="24"/>
        </w:rPr>
      </w:pPr>
      <w:r>
        <w:rPr>
          <w:sz w:val="24"/>
        </w:rPr>
        <w:t>La Direction et la délégation syndicale FO se sont réunies le 02 décembre 2022 dans le cadre de la négociation annuelle obligatoire.</w:t>
      </w:r>
    </w:p>
    <w:p>
      <w:pPr>
        <w:pStyle w:val="Normal"/>
        <w:shd w:color="auto" w:fill="FFFFFF" w:val="clear"/>
        <w:spacing w:afterAutospacing="1" w:beforeAutospacing="1" w:line="240" w:lineRule="auto"/>
        <w:jc w:val="both"/>
        <w:rPr>
          <w:sz w:val="24"/>
        </w:rPr>
      </w:pPr>
      <w:r>
        <w:rPr>
          <w:sz w:val="24"/>
        </w:rPr>
        <w:t xml:space="preserve">Toutes les informations nécessaires à cette négociation ont été fournies à la déléguée syndicale de manière à permettre le bon déroulement de cette négociation. </w:t>
      </w:r>
    </w:p>
    <w:p>
      <w:pPr>
        <w:pStyle w:val="Normal"/>
        <w:shd w:color="auto" w:fill="FFFFFF" w:val="clear"/>
        <w:spacing w:afterAutospacing="1" w:beforeAutospacing="1" w:line="240" w:lineRule="auto"/>
        <w:jc w:val="both"/>
        <w:rPr>
          <w:sz w:val="24"/>
        </w:rPr>
      </w:pPr>
      <w:r>
        <w:rPr>
          <w:sz w:val="24"/>
        </w:rPr>
        <w:t>Cette négociation annuelle obligatoire portait sur les thèmes suivants :</w:t>
      </w:r>
    </w:p>
    <w:p>
      <w:pPr>
        <w:pStyle w:val="Normal"/>
        <w:shd w:color="auto" w:fill="FFFFFF" w:val="clear"/>
        <w:spacing w:afterAutospacing="1" w:beforeAutospacing="1" w:line="240" w:lineRule="auto"/>
        <w:jc w:val="both"/>
        <w:rPr>
          <w:sz w:val="24"/>
        </w:rPr>
      </w:pPr>
      <w:r>
        <w:rPr>
          <w:sz w:val="24"/>
        </w:rPr>
        <w:t>-</w:t>
        <w:tab/>
        <w:t>La rémunération, le temps de travail et le partage de la valeur ajoutée ;</w:t>
      </w:r>
    </w:p>
    <w:p>
      <w:pPr>
        <w:pStyle w:val="Normal"/>
        <w:shd w:color="auto" w:fill="FFFFFF" w:val="clear"/>
        <w:spacing w:afterAutospacing="1" w:beforeAutospacing="1" w:line="240" w:lineRule="auto"/>
        <w:jc w:val="both"/>
        <w:rPr>
          <w:sz w:val="24"/>
        </w:rPr>
      </w:pPr>
      <w:r>
        <w:rPr>
          <w:sz w:val="24"/>
        </w:rPr>
        <w:t>-</w:t>
        <w:tab/>
        <w:t xml:space="preserve">L’égalité professionnelle entre les hommes et les femmes, et la qualité de vie au travail. </w:t>
      </w:r>
    </w:p>
    <w:p>
      <w:pPr>
        <w:pStyle w:val="Normal"/>
        <w:shd w:color="auto" w:fill="FFFFFF" w:val="clear"/>
        <w:spacing w:afterAutospacing="1" w:beforeAutospacing="1" w:line="240" w:lineRule="auto"/>
        <w:jc w:val="both"/>
        <w:rPr>
          <w:sz w:val="24"/>
        </w:rPr>
      </w:pPr>
      <w:r>
        <w:rPr>
          <w:sz w:val="24"/>
        </w:rPr>
        <w:t>Au terme des réunions qui se sont tenues, les 02 décembre 2022, 16 décembre 2022, 06 janvier 2023, 13 janvier 2023, 16 janvier 2023 et 23 janvier 2023, la négociation annuelle obligatoire a permis à la Direction et à la délégation syndicale FO de parvenir à un accord s’appliquant à l’ensemble de l’entreprise SKYEPHARMA selon les dispositions convenues ci-après.</w:t>
      </w:r>
    </w:p>
    <w:p>
      <w:pPr>
        <w:pStyle w:val="Normal"/>
        <w:shd w:color="auto" w:fill="FFFFFF" w:val="clear"/>
        <w:spacing w:afterAutospacing="1" w:beforeAutospacing="1" w:line="240" w:lineRule="auto"/>
        <w:jc w:val="both"/>
        <w:rPr>
          <w:sz w:val="24"/>
        </w:rPr>
      </w:pPr>
      <w:r>
        <w:rPr>
          <w:sz w:val="24"/>
        </w:rPr>
        <w:t>Dans un contexte économique ayant un fort impact sur le pouvoir d’achat des Français, la Direction et la délégation syndicale FO ont eu à cœur de trouver le meilleur compromis possible entre la sérénité financière des collaborateurs et la pérennité de l’entreprise. Des solutions ayant un impact fort et direct sur le pouvoir d’achat des salariés ont ainsi été proposées. Un effort financier important a été fait par SKYEPHARMA afin d’allier des actions ponctuelles pour répondre à un contexte économique passager et des actions pérennes pour répondre aux attentes des salariés.</w:t>
      </w:r>
    </w:p>
    <w:p>
      <w:pPr>
        <w:pStyle w:val="Titre1"/>
        <w:shd w:fill="4472C4" w:val="clear"/>
        <w:spacing w:line="240" w:lineRule="auto"/>
        <w:jc w:val="both"/>
        <w:rPr>
          <w:color w:val="auto"/>
        </w:rPr>
      </w:pPr>
      <w:bookmarkStart w:id="1" w:name="_Toc127534800"/>
      <w:r>
        <w:rPr>
          <w:color w:val="auto"/>
        </w:rPr>
        <w:t>Partie 1 : Rémunération, temps de travail et partage de la valeur ajoutée</w:t>
      </w:r>
      <w:bookmarkEnd w:id="1"/>
      <w:r>
        <w:rPr>
          <w:color w:val="auto"/>
        </w:rPr>
        <w:t xml:space="preserve"> </w:t>
      </w:r>
    </w:p>
    <w:p>
      <w:pPr>
        <w:pStyle w:val="Titre1"/>
        <w:shd w:fill="4472C4" w:val="clear"/>
        <w:spacing w:line="240" w:lineRule="auto"/>
        <w:jc w:val="both"/>
        <w:rPr>
          <w:color w:val="auto"/>
        </w:rPr>
      </w:pPr>
      <w:bookmarkStart w:id="2" w:name="_Toc127534801"/>
      <w:r>
        <w:rPr>
          <w:color w:val="auto"/>
        </w:rPr>
        <w:t>dans l’entreprise :</w:t>
      </w:r>
      <w:bookmarkEnd w:id="2"/>
    </w:p>
    <w:p>
      <w:pPr>
        <w:pStyle w:val="Titre2"/>
        <w:shd w:fill="D9E2F3" w:val="clear"/>
        <w:spacing w:line="240" w:lineRule="auto"/>
        <w:rPr/>
      </w:pPr>
      <w:bookmarkStart w:id="3" w:name="_Toc127534802"/>
      <w:r>
        <w:rPr/>
        <w:t>Article 1 : Salaires effectifs</w:t>
      </w:r>
      <w:bookmarkEnd w:id="3"/>
    </w:p>
    <w:p>
      <w:pPr>
        <w:pStyle w:val="NormalWeb"/>
        <w:numPr>
          <w:ilvl w:val="1"/>
          <w:numId w:val="5"/>
        </w:numPr>
        <w:spacing w:after="0" w:before="280"/>
        <w:rPr>
          <w:rFonts w:ascii="Calibri" w:asciiTheme="minorHAnsi" w:cs="Calibri" w:cstheme="minorHAnsi" w:eastAsia="" w:eastAsiaTheme="minorEastAsia" w:hAnsi="Calibri" w:hAnsiTheme="minorHAnsi"/>
          <w:b/>
          <w:b/>
          <w:bCs/>
          <w:szCs w:val="22"/>
          <w:u w:val="single"/>
        </w:rPr>
      </w:pPr>
      <w:r>
        <w:rPr>
          <w:rFonts w:ascii="Calibri" w:asciiTheme="minorHAnsi" w:cs="Calibri" w:cstheme="minorHAnsi" w:eastAsia="" w:eastAsiaTheme="minorEastAsia" w:hAnsi="Calibri" w:hAnsiTheme="minorHAnsi"/>
          <w:b/>
          <w:bCs/>
          <w:szCs w:val="22"/>
          <w:u w:val="single"/>
        </w:rPr>
        <w:t xml:space="preserve">Augmentation </w:t>
      </w:r>
    </w:p>
    <w:p>
      <w:pPr>
        <w:pStyle w:val="NormalWeb"/>
        <w:numPr>
          <w:ilvl w:val="2"/>
          <w:numId w:val="5"/>
        </w:numPr>
        <w:spacing w:after="280" w:before="0"/>
        <w:rPr>
          <w:rFonts w:ascii="Calibri" w:asciiTheme="minorHAnsi" w:cs="Calibri" w:cstheme="minorHAnsi" w:eastAsia="" w:eastAsiaTheme="minorEastAsia" w:hAnsi="Calibri" w:hAnsiTheme="minorHAnsi"/>
          <w:b/>
          <w:b/>
          <w:bCs/>
          <w:szCs w:val="22"/>
          <w:u w:val="single"/>
        </w:rPr>
      </w:pPr>
      <w:r>
        <w:rPr>
          <w:rFonts w:ascii="Calibri" w:asciiTheme="minorHAnsi" w:cs="Calibri" w:cstheme="minorHAnsi" w:eastAsia="" w:eastAsiaTheme="minorEastAsia" w:hAnsi="Calibri" w:hAnsiTheme="minorHAnsi"/>
          <w:b/>
          <w:bCs/>
          <w:szCs w:val="22"/>
          <w:u w:val="single"/>
        </w:rPr>
        <w:t>Augmentation individuelle</w:t>
      </w:r>
    </w:p>
    <w:p>
      <w:pPr>
        <w:pStyle w:val="NormalWeb"/>
        <w:numPr>
          <w:ilvl w:val="0"/>
          <w:numId w:val="0"/>
        </w:numPr>
        <w:spacing w:after="280" w:before="280"/>
        <w:ind w:hanging="0" w:left="0"/>
        <w:jc w:val="both"/>
        <w:rPr>
          <w:rFonts w:ascii="Calibri" w:asciiTheme="minorHAnsi" w:cs="Calibri" w:cstheme="minorHAnsi" w:eastAsia="" w:eastAsiaTheme="minorEastAsia" w:hAnsi="Calibri" w:hAnsiTheme="minorHAnsi"/>
        </w:rPr>
      </w:pPr>
      <w:r>
        <w:rPr>
          <w:rFonts w:ascii="Calibri" w:asciiTheme="minorHAnsi" w:cs="Calibri" w:cstheme="minorHAnsi" w:eastAsia="" w:eastAsiaTheme="minorEastAsia" w:hAnsi="Calibri" w:hAnsiTheme="minorHAnsi"/>
        </w:rPr>
        <w:t>Le système de rémunération au sein de la société SKYEPHARMA étant fondé sur l’individualisation, les parties conviennent d’une enveloppe prévisionnelle de 223 000 € pour les augmentations individuelles. Cette enveloppe prévisionnelle s’entend charges patronales comprises.</w:t>
      </w:r>
    </w:p>
    <w:p>
      <w:pPr>
        <w:pStyle w:val="NormalWeb"/>
        <w:numPr>
          <w:ilvl w:val="3"/>
          <w:numId w:val="5"/>
        </w:numPr>
        <w:spacing w:after="280" w:before="280"/>
        <w:rPr>
          <w:rFonts w:ascii="Calibri" w:asciiTheme="minorHAnsi" w:cs="Calibri" w:cstheme="minorHAnsi" w:eastAsia="" w:eastAsiaTheme="minorEastAsia" w:hAnsi="Calibri" w:hAnsiTheme="minorHAnsi"/>
          <w:b/>
          <w:b/>
          <w:bCs/>
          <w:szCs w:val="22"/>
          <w:u w:val="single"/>
        </w:rPr>
      </w:pPr>
      <w:r>
        <w:rPr>
          <w:rFonts w:ascii="Calibri" w:asciiTheme="minorHAnsi" w:cs="Calibri" w:cstheme="minorHAnsi" w:eastAsia="" w:eastAsiaTheme="minorEastAsia" w:hAnsi="Calibri" w:hAnsiTheme="minorHAnsi"/>
          <w:b/>
          <w:bCs/>
          <w:szCs w:val="22"/>
          <w:u w:val="single"/>
        </w:rPr>
        <w:t>Répartition de l’enveloppe prévisionnelle</w:t>
      </w:r>
    </w:p>
    <w:p>
      <w:pPr>
        <w:pStyle w:val="NormalWeb"/>
        <w:numPr>
          <w:ilvl w:val="0"/>
          <w:numId w:val="0"/>
        </w:numPr>
        <w:spacing w:after="280" w:before="280"/>
        <w:ind w:hanging="0" w:left="0"/>
        <w:jc w:val="both"/>
        <w:rPr>
          <w:rFonts w:ascii="Calibri" w:asciiTheme="minorHAnsi" w:cs="Calibri" w:cstheme="minorHAnsi" w:eastAsia="" w:eastAsiaTheme="minorEastAsia" w:hAnsi="Calibri" w:hAnsiTheme="minorHAnsi"/>
        </w:rPr>
      </w:pPr>
      <w:r>
        <w:rPr>
          <w:rFonts w:ascii="Calibri" w:asciiTheme="minorHAnsi" w:cs="Calibri" w:cstheme="minorHAnsi" w:eastAsia="" w:eastAsiaTheme="minorEastAsia" w:hAnsi="Calibri" w:hAnsiTheme="minorHAnsi"/>
        </w:rPr>
        <w:t>Cette enveloppe se répartit proportionnellement à la masse salariale de chaque service.</w:t>
      </w:r>
    </w:p>
    <w:p>
      <w:pPr>
        <w:pStyle w:val="NormalWeb"/>
        <w:numPr>
          <w:ilvl w:val="0"/>
          <w:numId w:val="0"/>
        </w:numPr>
        <w:spacing w:after="280" w:before="280"/>
        <w:ind w:hanging="0" w:left="0"/>
        <w:jc w:val="both"/>
        <w:rPr>
          <w:rFonts w:ascii="Calibri" w:asciiTheme="minorHAnsi" w:cs="Calibri" w:cstheme="minorHAnsi" w:eastAsia="" w:eastAsiaTheme="minorEastAsia" w:hAnsi="Calibri" w:hAnsiTheme="minorHAnsi"/>
        </w:rPr>
      </w:pPr>
      <w:r>
        <w:rPr>
          <w:rFonts w:ascii="Calibri" w:asciiTheme="minorHAnsi" w:cs="Calibri" w:cstheme="minorHAnsi" w:eastAsia="" w:eastAsiaTheme="minorEastAsia" w:hAnsi="Calibri" w:hAnsiTheme="minorHAnsi"/>
        </w:rPr>
        <w:t xml:space="preserve">Cette enveloppe prévisionnelle ne constitue pas un engagement ferme de dépenses au titre de l’année 2023. </w:t>
      </w:r>
    </w:p>
    <w:p>
      <w:pPr>
        <w:pStyle w:val="NormalWeb"/>
        <w:numPr>
          <w:ilvl w:val="0"/>
          <w:numId w:val="0"/>
        </w:numPr>
        <w:spacing w:after="280" w:before="280"/>
        <w:ind w:hanging="0" w:left="0"/>
        <w:jc w:val="both"/>
        <w:rPr>
          <w:rFonts w:ascii="Calibri" w:asciiTheme="minorHAnsi" w:cs="Calibri" w:cstheme="minorHAnsi" w:eastAsia="" w:eastAsiaTheme="minorEastAsia" w:hAnsi="Calibri" w:hAnsiTheme="minorHAnsi"/>
        </w:rPr>
      </w:pPr>
      <w:r>
        <w:rPr>
          <w:rFonts w:ascii="Calibri" w:asciiTheme="minorHAnsi" w:cs="Calibri" w:cstheme="minorHAnsi" w:eastAsia="" w:eastAsiaTheme="minorEastAsia" w:hAnsi="Calibri" w:hAnsiTheme="minorHAnsi"/>
        </w:rPr>
        <w:t>Cette somme pourra être exceptionnellement dépassée sur proposition du COMOP validée par le CODIR.</w:t>
      </w:r>
    </w:p>
    <w:p>
      <w:pPr>
        <w:pStyle w:val="NormalWeb"/>
        <w:numPr>
          <w:ilvl w:val="3"/>
          <w:numId w:val="5"/>
        </w:numPr>
        <w:spacing w:after="280" w:before="280"/>
        <w:rPr>
          <w:rFonts w:ascii="Calibri" w:asciiTheme="minorHAnsi" w:cs="Calibri" w:cstheme="minorHAnsi" w:eastAsia="" w:eastAsiaTheme="minorEastAsia" w:hAnsi="Calibri" w:hAnsiTheme="minorHAnsi"/>
          <w:b/>
          <w:b/>
          <w:bCs/>
          <w:szCs w:val="22"/>
          <w:u w:val="single"/>
        </w:rPr>
      </w:pPr>
      <w:r>
        <w:rPr>
          <w:rFonts w:ascii="Calibri" w:asciiTheme="minorHAnsi" w:cs="Calibri" w:cstheme="minorHAnsi" w:eastAsia="" w:eastAsiaTheme="minorEastAsia" w:hAnsi="Calibri" w:hAnsiTheme="minorHAnsi"/>
          <w:b/>
          <w:bCs/>
          <w:szCs w:val="22"/>
          <w:u w:val="single"/>
        </w:rPr>
        <w:t>Processus d’ajustement individuel des salaires</w:t>
      </w:r>
    </w:p>
    <w:p>
      <w:pPr>
        <w:pStyle w:val="NormalWeb"/>
        <w:numPr>
          <w:ilvl w:val="0"/>
          <w:numId w:val="0"/>
        </w:numPr>
        <w:spacing w:after="280" w:before="280"/>
        <w:ind w:hanging="0" w:left="0"/>
        <w:jc w:val="both"/>
        <w:rPr>
          <w:rFonts w:ascii="Calibri" w:asciiTheme="minorHAnsi" w:cs="Calibri" w:cstheme="minorHAnsi" w:eastAsia="" w:eastAsiaTheme="minorEastAsia" w:hAnsi="Calibri" w:hAnsiTheme="minorHAnsi"/>
        </w:rPr>
      </w:pPr>
      <w:r>
        <w:rPr>
          <w:rFonts w:ascii="Calibri" w:asciiTheme="minorHAnsi" w:cs="Calibri" w:cstheme="minorHAnsi" w:eastAsia="" w:eastAsiaTheme="minorEastAsia" w:hAnsi="Calibri" w:hAnsiTheme="minorHAnsi"/>
        </w:rPr>
        <w:t>Cinq critères peuvent déclencher à une augmentation individuelle :</w:t>
      </w:r>
    </w:p>
    <w:p>
      <w:pPr>
        <w:pStyle w:val="NormalWeb"/>
        <w:numPr>
          <w:ilvl w:val="0"/>
          <w:numId w:val="2"/>
        </w:numPr>
        <w:spacing w:after="0" w:before="280"/>
        <w:jc w:val="both"/>
        <w:rPr>
          <w:rFonts w:ascii="Calibri" w:asciiTheme="minorHAnsi" w:cs="Calibri" w:cstheme="minorHAnsi" w:eastAsia="" w:eastAsiaTheme="minorEastAsia" w:hAnsi="Calibri" w:hAnsiTheme="minorHAnsi"/>
        </w:rPr>
      </w:pPr>
      <w:r>
        <w:rPr>
          <w:rFonts w:ascii="Calibri" w:asciiTheme="minorHAnsi" w:cs="Calibri" w:cstheme="minorHAnsi" w:eastAsia="" w:eastAsiaTheme="minorEastAsia" w:hAnsi="Calibri" w:hAnsiTheme="minorHAnsi"/>
        </w:rPr>
        <w:t>Un changement de catégorie ;</w:t>
      </w:r>
    </w:p>
    <w:p>
      <w:pPr>
        <w:pStyle w:val="NormalWeb"/>
        <w:numPr>
          <w:ilvl w:val="0"/>
          <w:numId w:val="2"/>
        </w:numPr>
        <w:spacing w:after="0" w:before="0"/>
        <w:jc w:val="both"/>
        <w:rPr>
          <w:rFonts w:ascii="Calibri" w:asciiTheme="minorHAnsi" w:cs="Calibri" w:cstheme="minorHAnsi" w:eastAsia="" w:eastAsiaTheme="minorEastAsia" w:hAnsi="Calibri" w:hAnsiTheme="minorHAnsi"/>
        </w:rPr>
      </w:pPr>
      <w:r>
        <w:rPr>
          <w:rFonts w:ascii="Calibri" w:asciiTheme="minorHAnsi" w:cs="Calibri" w:cstheme="minorHAnsi" w:eastAsia="" w:eastAsiaTheme="minorEastAsia" w:hAnsi="Calibri" w:hAnsiTheme="minorHAnsi"/>
        </w:rPr>
        <w:t>Un changement de poste dans le cadre d’une mobilité interne ;</w:t>
      </w:r>
    </w:p>
    <w:p>
      <w:pPr>
        <w:pStyle w:val="NormalWeb"/>
        <w:numPr>
          <w:ilvl w:val="0"/>
          <w:numId w:val="2"/>
        </w:numPr>
        <w:spacing w:after="0" w:before="0"/>
        <w:jc w:val="both"/>
        <w:rPr>
          <w:rFonts w:ascii="Calibri" w:asciiTheme="minorHAnsi" w:cs="Calibri" w:cstheme="minorHAnsi" w:eastAsia="" w:eastAsiaTheme="minorEastAsia" w:hAnsi="Calibri" w:hAnsiTheme="minorHAnsi"/>
        </w:rPr>
      </w:pPr>
      <w:r>
        <w:rPr>
          <w:rFonts w:ascii="Calibri" w:asciiTheme="minorHAnsi" w:cs="Calibri" w:cstheme="minorHAnsi" w:eastAsia="" w:eastAsiaTheme="minorEastAsia" w:hAnsi="Calibri" w:hAnsiTheme="minorHAnsi"/>
        </w:rPr>
        <w:t>La prise en charge d’un service ;</w:t>
      </w:r>
    </w:p>
    <w:p>
      <w:pPr>
        <w:pStyle w:val="NormalWeb"/>
        <w:numPr>
          <w:ilvl w:val="0"/>
          <w:numId w:val="2"/>
        </w:numPr>
        <w:spacing w:after="0" w:before="0"/>
        <w:jc w:val="both"/>
        <w:rPr>
          <w:rFonts w:ascii="Calibri" w:asciiTheme="minorHAnsi" w:cs="Calibri" w:cstheme="minorHAnsi" w:eastAsia="" w:eastAsiaTheme="minorEastAsia" w:hAnsi="Calibri" w:hAnsiTheme="minorHAnsi"/>
        </w:rPr>
      </w:pPr>
      <w:r>
        <w:rPr>
          <w:rFonts w:ascii="Calibri" w:asciiTheme="minorHAnsi" w:cs="Calibri" w:cstheme="minorHAnsi" w:eastAsia="" w:eastAsiaTheme="minorEastAsia" w:hAnsi="Calibri" w:hAnsiTheme="minorHAnsi"/>
        </w:rPr>
        <w:t>Le reste de l’enveloppe pourra être répartie par le manager sous la validation du COMOP en fonction de la performance individuelle ;</w:t>
      </w:r>
    </w:p>
    <w:p>
      <w:pPr>
        <w:pStyle w:val="NormalWeb"/>
        <w:numPr>
          <w:ilvl w:val="0"/>
          <w:numId w:val="2"/>
        </w:numPr>
        <w:spacing w:after="280" w:before="0"/>
        <w:jc w:val="both"/>
        <w:rPr>
          <w:rFonts w:ascii="Calibri" w:asciiTheme="minorHAnsi" w:cs="Calibri" w:cstheme="minorHAnsi" w:eastAsia="" w:eastAsiaTheme="minorEastAsia" w:hAnsi="Calibri" w:hAnsiTheme="minorHAnsi"/>
        </w:rPr>
      </w:pPr>
      <w:r>
        <w:rPr>
          <w:rFonts w:ascii="Calibri" w:asciiTheme="minorHAnsi" w:cs="Calibri" w:cstheme="minorHAnsi" w:eastAsia="" w:eastAsiaTheme="minorEastAsia" w:hAnsi="Calibri" w:hAnsiTheme="minorHAnsi"/>
        </w:rPr>
        <w:t>Une situation anormale et pouvant être liée à l’historique ou à d’autres facteurs qui seront validés par le COMOP.</w:t>
      </w:r>
    </w:p>
    <w:p>
      <w:pPr>
        <w:pStyle w:val="NormalWeb"/>
        <w:numPr>
          <w:ilvl w:val="0"/>
          <w:numId w:val="0"/>
        </w:numPr>
        <w:spacing w:after="280" w:before="280"/>
        <w:ind w:hanging="0" w:left="0"/>
        <w:jc w:val="both"/>
        <w:rPr>
          <w:rFonts w:ascii="Calibri" w:asciiTheme="minorHAnsi" w:cs="Calibri" w:cstheme="minorHAnsi" w:eastAsia="" w:eastAsiaTheme="minorEastAsia" w:hAnsi="Calibri" w:hAnsiTheme="minorHAnsi"/>
        </w:rPr>
      </w:pPr>
      <w:r>
        <w:rPr>
          <w:rFonts w:ascii="Calibri" w:asciiTheme="minorHAnsi" w:cs="Calibri" w:cstheme="minorHAnsi" w:eastAsia="" w:eastAsiaTheme="minorEastAsia" w:hAnsi="Calibri" w:hAnsiTheme="minorHAnsi"/>
        </w:rPr>
        <w:t>Les documents supports permettant de mettre en jeu ces critères sont :</w:t>
      </w:r>
    </w:p>
    <w:p>
      <w:pPr>
        <w:pStyle w:val="NormalWeb"/>
        <w:numPr>
          <w:ilvl w:val="0"/>
          <w:numId w:val="2"/>
        </w:numPr>
        <w:spacing w:after="0" w:before="280"/>
        <w:jc w:val="both"/>
        <w:rPr>
          <w:rFonts w:ascii="Calibri" w:asciiTheme="minorHAnsi" w:cs="Calibri" w:cstheme="minorHAnsi" w:eastAsia="" w:eastAsiaTheme="minorEastAsia" w:hAnsi="Calibri" w:hAnsiTheme="minorHAnsi"/>
        </w:rPr>
      </w:pPr>
      <w:r>
        <w:rPr>
          <w:rFonts w:ascii="Calibri" w:asciiTheme="minorHAnsi" w:cs="Calibri" w:cstheme="minorHAnsi" w:eastAsia="" w:eastAsiaTheme="minorEastAsia" w:hAnsi="Calibri" w:hAnsiTheme="minorHAnsi"/>
        </w:rPr>
        <w:t>Les parcours de professionnalisation</w:t>
      </w:r>
    </w:p>
    <w:p>
      <w:pPr>
        <w:pStyle w:val="NormalWeb"/>
        <w:numPr>
          <w:ilvl w:val="0"/>
          <w:numId w:val="2"/>
        </w:numPr>
        <w:spacing w:after="0" w:before="0"/>
        <w:jc w:val="both"/>
        <w:rPr>
          <w:rFonts w:ascii="Calibri" w:asciiTheme="minorHAnsi" w:cs="Calibri" w:cstheme="minorHAnsi" w:eastAsia="" w:eastAsiaTheme="minorEastAsia" w:hAnsi="Calibri" w:hAnsiTheme="minorHAnsi"/>
        </w:rPr>
      </w:pPr>
      <w:r>
        <w:rPr>
          <w:rFonts w:ascii="Calibri" w:asciiTheme="minorHAnsi" w:cs="Calibri" w:cstheme="minorHAnsi" w:eastAsia="" w:eastAsiaTheme="minorEastAsia" w:hAnsi="Calibri" w:hAnsiTheme="minorHAnsi"/>
        </w:rPr>
        <w:t>Les plans de développement</w:t>
      </w:r>
    </w:p>
    <w:p>
      <w:pPr>
        <w:pStyle w:val="NormalWeb"/>
        <w:numPr>
          <w:ilvl w:val="0"/>
          <w:numId w:val="2"/>
        </w:numPr>
        <w:spacing w:after="0" w:before="0"/>
        <w:jc w:val="both"/>
        <w:rPr>
          <w:rFonts w:ascii="Calibri" w:asciiTheme="minorHAnsi" w:cs="Calibri" w:cstheme="minorHAnsi" w:eastAsia="" w:eastAsiaTheme="minorEastAsia" w:hAnsi="Calibri" w:hAnsiTheme="minorHAnsi"/>
        </w:rPr>
      </w:pPr>
      <w:r>
        <w:rPr>
          <w:rFonts w:ascii="Calibri" w:asciiTheme="minorHAnsi" w:cs="Calibri" w:cstheme="minorHAnsi" w:eastAsia="" w:eastAsiaTheme="minorEastAsia" w:hAnsi="Calibri" w:hAnsiTheme="minorHAnsi"/>
        </w:rPr>
        <w:t>Les documents support d’EAC (Entretien Annuel de Collaboration)</w:t>
      </w:r>
    </w:p>
    <w:p>
      <w:pPr>
        <w:pStyle w:val="NormalWeb"/>
        <w:numPr>
          <w:ilvl w:val="0"/>
          <w:numId w:val="2"/>
        </w:numPr>
        <w:spacing w:after="280" w:before="0"/>
        <w:jc w:val="both"/>
        <w:rPr>
          <w:rFonts w:ascii="Calibri" w:asciiTheme="minorHAnsi" w:cs="Calibri" w:cstheme="minorHAnsi" w:eastAsia="" w:eastAsiaTheme="minorEastAsia" w:hAnsi="Calibri" w:hAnsiTheme="minorHAnsi"/>
        </w:rPr>
      </w:pPr>
      <w:r>
        <w:rPr>
          <w:rFonts w:ascii="Calibri" w:asciiTheme="minorHAnsi" w:cs="Calibri" w:cstheme="minorHAnsi" w:eastAsia="" w:eastAsiaTheme="minorEastAsia" w:hAnsi="Calibri" w:hAnsiTheme="minorHAnsi"/>
        </w:rPr>
        <w:t>Les entretiens professionnels</w:t>
      </w:r>
    </w:p>
    <w:p>
      <w:pPr>
        <w:pStyle w:val="NormalWeb"/>
        <w:numPr>
          <w:ilvl w:val="0"/>
          <w:numId w:val="0"/>
        </w:numPr>
        <w:spacing w:after="280" w:before="280"/>
        <w:ind w:hanging="0" w:left="0"/>
        <w:jc w:val="both"/>
        <w:rPr>
          <w:rFonts w:ascii="Calibri" w:asciiTheme="minorHAnsi" w:cs="Calibri" w:cstheme="minorHAnsi" w:eastAsia="" w:eastAsiaTheme="minorEastAsia" w:hAnsi="Calibri" w:hAnsiTheme="minorHAnsi"/>
        </w:rPr>
      </w:pPr>
      <w:r>
        <w:rPr>
          <w:rFonts w:ascii="Calibri" w:asciiTheme="minorHAnsi" w:cs="Calibri" w:cstheme="minorHAnsi" w:eastAsia="" w:eastAsiaTheme="minorEastAsia" w:hAnsi="Calibri" w:hAnsiTheme="minorHAnsi"/>
        </w:rPr>
        <w:t>Chaque manager de département devra présenter et justifier chaque demande d’Augmentation Individuelles auprès du COMOP.</w:t>
      </w:r>
    </w:p>
    <w:p>
      <w:pPr>
        <w:pStyle w:val="Normal"/>
        <w:spacing w:after="160" w:before="0" w:line="259" w:lineRule="auto"/>
        <w:rPr>
          <w:rFonts w:cs="Calibri" w:cstheme="minorHAnsi"/>
          <w:sz w:val="24"/>
          <w:szCs w:val="24"/>
        </w:rPr>
      </w:pPr>
      <w:r>
        <w:rPr>
          <w:rFonts w:cs="Calibri" w:cstheme="minorHAnsi"/>
          <w:sz w:val="24"/>
          <w:szCs w:val="24"/>
        </w:rPr>
      </w:r>
      <w:r>
        <w:br w:type="page"/>
      </w:r>
    </w:p>
    <w:p>
      <w:pPr>
        <w:pStyle w:val="NormalWeb"/>
        <w:numPr>
          <w:ilvl w:val="0"/>
          <w:numId w:val="0"/>
        </w:numPr>
        <w:spacing w:after="280" w:before="280"/>
        <w:ind w:hanging="0" w:left="0"/>
        <w:jc w:val="both"/>
        <w:rPr>
          <w:rFonts w:ascii="Calibri" w:asciiTheme="minorHAnsi" w:cs="Calibri" w:cstheme="minorHAnsi" w:eastAsia="" w:eastAsiaTheme="minorEastAsia" w:hAnsi="Calibri" w:hAnsiTheme="minorHAnsi"/>
        </w:rPr>
      </w:pPr>
      <w:r>
        <w:rPr>
          <w:rFonts w:ascii="Calibri" w:cs="Calibri" w:cstheme="minorHAnsi" w:eastAsia="" w:eastAsiaTheme="minorEastAsia" w:hAnsi="Calibri"/>
        </w:rPr>
      </w:r>
    </w:p>
    <w:p>
      <w:pPr>
        <w:pStyle w:val="ListParagraph"/>
        <w:numPr>
          <w:ilvl w:val="1"/>
          <w:numId w:val="5"/>
        </w:numPr>
        <w:spacing w:line="240" w:lineRule="auto"/>
        <w:rPr>
          <w:b/>
          <w:b/>
          <w:bCs/>
          <w:sz w:val="24"/>
          <w:u w:val="single"/>
        </w:rPr>
      </w:pPr>
      <w:r>
        <w:rPr>
          <w:b/>
          <w:bCs/>
          <w:sz w:val="24"/>
          <w:u w:val="single"/>
        </w:rPr>
        <w:t xml:space="preserve">Prime </w:t>
      </w:r>
    </w:p>
    <w:p>
      <w:pPr>
        <w:pStyle w:val="ListParagraph"/>
        <w:numPr>
          <w:ilvl w:val="2"/>
          <w:numId w:val="5"/>
        </w:numPr>
        <w:spacing w:line="240" w:lineRule="auto"/>
        <w:rPr>
          <w:b/>
          <w:b/>
          <w:bCs/>
          <w:sz w:val="24"/>
          <w:u w:val="single"/>
        </w:rPr>
      </w:pPr>
      <w:r>
        <w:rPr>
          <w:b/>
          <w:bCs/>
          <w:sz w:val="24"/>
          <w:u w:val="single"/>
        </w:rPr>
        <w:t>Prime de Partage de la Valeur</w:t>
      </w:r>
    </w:p>
    <w:p>
      <w:pPr>
        <w:pStyle w:val="Normal"/>
        <w:spacing w:line="240" w:lineRule="auto"/>
        <w:rPr>
          <w:b/>
          <w:b/>
          <w:bCs/>
          <w:sz w:val="24"/>
          <w:u w:val="single"/>
        </w:rPr>
      </w:pPr>
      <w:r>
        <w:rPr>
          <w:b/>
          <w:bCs/>
          <w:sz w:val="24"/>
          <w:u w:val="single"/>
        </w:rPr>
      </w:r>
    </w:p>
    <w:p>
      <w:pPr>
        <w:pStyle w:val="Normal"/>
        <w:jc w:val="both"/>
        <w:rPr>
          <w:rFonts w:cs="Calibri" w:cstheme="minorHAnsi"/>
          <w:sz w:val="24"/>
          <w:szCs w:val="24"/>
        </w:rPr>
      </w:pPr>
      <w:r>
        <w:rPr>
          <w:rFonts w:cs="Calibri" w:cstheme="minorHAnsi"/>
          <w:sz w:val="24"/>
          <w:szCs w:val="24"/>
        </w:rPr>
        <w:t>Une prime de 2 000 € est versée à chaque salarié de l’entreprise lié par un contrat de travail au moment du versement de la première échéance de la prime.</w:t>
      </w:r>
    </w:p>
    <w:p>
      <w:pPr>
        <w:pStyle w:val="Normal"/>
        <w:jc w:val="both"/>
        <w:rPr>
          <w:rFonts w:cs="Calibri" w:cstheme="minorHAnsi"/>
          <w:sz w:val="24"/>
          <w:szCs w:val="24"/>
        </w:rPr>
      </w:pPr>
      <w:r>
        <w:rPr>
          <w:rFonts w:cs="Calibri" w:cstheme="minorHAnsi"/>
          <w:sz w:val="24"/>
          <w:szCs w:val="24"/>
        </w:rPr>
        <w:t>La prime sera versée en deux échéances d’un montant égal (1 000€) le 26 janvier 2023 et le 26 décembre 2023 au plus tard.</w:t>
      </w:r>
    </w:p>
    <w:p>
      <w:pPr>
        <w:pStyle w:val="Normal"/>
        <w:jc w:val="both"/>
        <w:rPr>
          <w:rFonts w:cs="Calibri" w:cstheme="minorHAnsi"/>
          <w:sz w:val="24"/>
          <w:szCs w:val="24"/>
        </w:rPr>
      </w:pPr>
      <w:r>
        <w:rPr>
          <w:rFonts w:cs="Calibri" w:cstheme="minorHAnsi"/>
          <w:sz w:val="24"/>
          <w:szCs w:val="24"/>
        </w:rPr>
        <w:t>La Direction s’engage à faire un point sur le mois d’avril afin d’évaluer la possibilité de verser la seconde échéance avant le 26 décembre 2023.</w:t>
      </w:r>
    </w:p>
    <w:p>
      <w:pPr>
        <w:pStyle w:val="Normal"/>
        <w:jc w:val="both"/>
        <w:rPr>
          <w:rFonts w:cs="Calibri" w:cstheme="minorHAnsi"/>
          <w:sz w:val="24"/>
          <w:szCs w:val="24"/>
        </w:rPr>
      </w:pPr>
      <w:r>
        <w:rPr>
          <w:rFonts w:cs="Calibri" w:cstheme="minorHAnsi"/>
          <w:sz w:val="24"/>
          <w:szCs w:val="24"/>
        </w:rPr>
      </w:r>
    </w:p>
    <w:p>
      <w:pPr>
        <w:pStyle w:val="Normal"/>
        <w:jc w:val="both"/>
        <w:rPr>
          <w:rFonts w:cs="Calibri" w:cstheme="minorHAnsi"/>
          <w:sz w:val="24"/>
          <w:szCs w:val="24"/>
        </w:rPr>
      </w:pPr>
      <w:r>
        <w:rPr>
          <w:rFonts w:cs="Calibri" w:cstheme="minorHAnsi"/>
          <w:sz w:val="24"/>
          <w:szCs w:val="24"/>
        </w:rPr>
        <w:t>Les parties, durant la négociation, ont convenu à l’unanimité que l’employeur pouvait attribuer unilatéralement cette prime afin que celle-ci puisse être versée le plus rapidement possible sans attendre la fin des négociations.</w:t>
      </w:r>
    </w:p>
    <w:p>
      <w:pPr>
        <w:pStyle w:val="Normal"/>
        <w:jc w:val="both"/>
        <w:rPr>
          <w:rFonts w:cs="Calibri" w:cstheme="minorHAnsi"/>
          <w:sz w:val="24"/>
          <w:szCs w:val="24"/>
        </w:rPr>
      </w:pPr>
      <w:r>
        <w:rPr>
          <w:rFonts w:cs="Calibri" w:cstheme="minorHAnsi"/>
          <w:sz w:val="24"/>
          <w:szCs w:val="24"/>
        </w:rPr>
        <w:t xml:space="preserve">Cette prime sera exonérée d'impôt sur le revenu ainsi que des contributions prévues à l'article L. 136-1 du code de la sécurité sociale et à l'article 14 de l'ordonnance n° 96-50 du 24 janvier 1996 relative au remboursement de la dette sociale, de toutes les cotisations sociales d'origine légale ou conventionnelle à la charge du salarié et de l'employeur ainsi que des participations, taxes et contributions prévues à l'article 235 bis du code général des impôts et à l'article L. 6131-1 du code du travail, dans leur rédaction en vigueur à la date de son versement, pour les salariés ayant perçu au cours des douze mois précédant son versement </w:t>
      </w:r>
      <w:bookmarkStart w:id="4" w:name="_Hlk125007534"/>
      <w:r>
        <w:rPr>
          <w:rFonts w:cs="Calibri" w:cstheme="minorHAnsi"/>
          <w:sz w:val="24"/>
          <w:szCs w:val="24"/>
        </w:rPr>
        <w:t>(1ère échéance)</w:t>
      </w:r>
      <w:bookmarkEnd w:id="4"/>
      <w:r>
        <w:rPr>
          <w:rFonts w:cs="Calibri" w:cstheme="minorHAnsi"/>
          <w:sz w:val="24"/>
          <w:szCs w:val="24"/>
        </w:rPr>
        <w:t xml:space="preserve"> une rémunération inférieure à trois fois la valeur annuelle du salaire minimum de croissance correspondant à la durée de travail prévue au contrat mentionnée à la dernière phrase du deuxième alinéa du III de l'article L. 241-13 du code de la sécurité sociale.</w:t>
      </w:r>
    </w:p>
    <w:p>
      <w:pPr>
        <w:pStyle w:val="Normal"/>
        <w:jc w:val="both"/>
        <w:rPr>
          <w:rFonts w:cs="Calibri" w:cstheme="minorHAnsi"/>
          <w:sz w:val="24"/>
          <w:szCs w:val="24"/>
        </w:rPr>
      </w:pPr>
      <w:r>
        <w:rPr>
          <w:rFonts w:cs="Calibri" w:cstheme="minorHAnsi"/>
          <w:sz w:val="24"/>
          <w:szCs w:val="24"/>
        </w:rPr>
        <w:t>Pour les salariés ayant perçu au cours des douze mois précédant son versement (1ère échéance) une rémunération égale ou supérieure à trois fois la valeur annuelle du salaire minimum de croissance correspondant à la durée de travail prévue au contrat mentionnée à la dernière phrase du deuxième alinéa du III de l'article L. 241-13 du code de la sécurité sociale, la prime sera exonérée dans les même conditions qu’énoncées ci-dessus à l’exception de l’impôt sur le revenu et des contributions prévues à l'article L. 136-1 du code de la sécurité sociale et à l'article 14 de l'ordonnance n° 96-50 du 24 janvier 1996 relative au remboursement de la dette sociale pour lesquels elle sera intégralement soumise.</w:t>
      </w:r>
    </w:p>
    <w:p>
      <w:pPr>
        <w:pStyle w:val="Normal"/>
        <w:spacing w:line="240" w:lineRule="auto"/>
        <w:rPr>
          <w:rFonts w:cs="Calibri" w:cstheme="minorHAnsi"/>
          <w:sz w:val="24"/>
          <w:szCs w:val="24"/>
        </w:rPr>
      </w:pPr>
      <w:r>
        <w:rPr>
          <w:rFonts w:cs="Calibri" w:cstheme="minorHAnsi"/>
          <w:sz w:val="24"/>
          <w:szCs w:val="24"/>
        </w:rPr>
        <w:t>Pour le calcul de l’exonération fiscale de la présente prime il est fait masse de la prime éventuellement versée en 2022 sur la base de l'article 4 de la loi n° 2021-953 du 19 juillet 2021 de finances rectificative pour 2021 dans les conditions et limites prévues à l’article 1 VI de la loi n° 2022-1158 du 16 août 2022.</w:t>
      </w:r>
    </w:p>
    <w:p>
      <w:pPr>
        <w:pStyle w:val="Normal"/>
        <w:spacing w:line="240" w:lineRule="auto"/>
        <w:rPr>
          <w:rFonts w:ascii="Arial" w:cs="Arial" w:eastAsia="Calibri" w:hAnsi="Arial"/>
          <w:sz w:val="20"/>
        </w:rPr>
      </w:pPr>
      <w:r>
        <w:rPr>
          <w:rFonts w:ascii="Arial" w:cs="Arial" w:eastAsia="Calibri" w:hAnsi="Arial"/>
          <w:sz w:val="20"/>
        </w:rPr>
      </w:r>
    </w:p>
    <w:p>
      <w:pPr>
        <w:pStyle w:val="Normal"/>
        <w:spacing w:line="240" w:lineRule="auto"/>
        <w:rPr>
          <w:b/>
          <w:b/>
          <w:bCs/>
          <w:sz w:val="24"/>
          <w:u w:val="single"/>
        </w:rPr>
      </w:pPr>
      <w:r>
        <w:rPr>
          <w:b/>
          <w:bCs/>
          <w:sz w:val="24"/>
          <w:u w:val="single"/>
        </w:rPr>
        <w:t>1.2.2 Comité de prime</w:t>
      </w:r>
    </w:p>
    <w:p>
      <w:pPr>
        <w:pStyle w:val="Normal"/>
        <w:spacing w:line="240" w:lineRule="auto"/>
        <w:rPr>
          <w:b/>
          <w:b/>
          <w:bCs/>
          <w:sz w:val="24"/>
          <w:u w:val="single"/>
        </w:rPr>
      </w:pPr>
      <w:r>
        <w:rPr>
          <w:b/>
          <w:bCs/>
          <w:sz w:val="24"/>
          <w:u w:val="single"/>
        </w:rPr>
      </w:r>
    </w:p>
    <w:p>
      <w:pPr>
        <w:pStyle w:val="Normal"/>
        <w:spacing w:line="240" w:lineRule="auto"/>
        <w:rPr>
          <w:rFonts w:cs="Calibri" w:cstheme="minorHAnsi"/>
          <w:sz w:val="24"/>
          <w:szCs w:val="24"/>
        </w:rPr>
      </w:pPr>
      <w:r>
        <w:rPr>
          <w:rFonts w:cs="Calibri" w:cstheme="minorHAnsi"/>
          <w:sz w:val="24"/>
          <w:szCs w:val="24"/>
        </w:rPr>
        <w:t>La politique salariale de l’entreprise valorise la performance individuelle et la contribution de chacun des salariés à l’atteinte des objectifs de la Société.</w:t>
      </w:r>
    </w:p>
    <w:p>
      <w:pPr>
        <w:pStyle w:val="Normal"/>
        <w:spacing w:line="240" w:lineRule="auto"/>
        <w:rPr>
          <w:sz w:val="24"/>
        </w:rPr>
      </w:pPr>
      <w:r>
        <w:rPr>
          <w:rFonts w:cs="Calibri" w:cstheme="minorHAnsi"/>
          <w:sz w:val="24"/>
          <w:szCs w:val="24"/>
        </w:rPr>
        <w:t xml:space="preserve">A ce titre, le comité de prime constitué par les membres du COMOP se verra attribuer une enveloppe de 15 000 </w:t>
      </w:r>
      <w:r>
        <w:rPr>
          <w:sz w:val="24"/>
        </w:rPr>
        <w:t xml:space="preserve">€ </w:t>
      </w:r>
      <w:r>
        <w:rPr>
          <w:rFonts w:cs="Calibri" w:cstheme="minorHAnsi"/>
          <w:sz w:val="24"/>
          <w:szCs w:val="24"/>
        </w:rPr>
        <w:t>charges incluses</w:t>
      </w:r>
      <w:r>
        <w:rPr>
          <w:sz w:val="24"/>
        </w:rPr>
        <w:t xml:space="preserve"> pour 2023. </w:t>
      </w:r>
    </w:p>
    <w:p>
      <w:pPr>
        <w:pStyle w:val="Normal"/>
        <w:spacing w:line="240" w:lineRule="auto"/>
        <w:jc w:val="both"/>
        <w:rPr>
          <w:sz w:val="24"/>
        </w:rPr>
      </w:pPr>
      <w:r>
        <w:rPr>
          <w:sz w:val="24"/>
        </w:rPr>
        <w:t xml:space="preserve">Ce comité de prime répartira ensuite cette somme entre les salariés, afin de pouvoir récompenser les actions les plus remarquables de nos collaborateurs, notamment sur les points suivants : </w:t>
      </w:r>
    </w:p>
    <w:p>
      <w:pPr>
        <w:pStyle w:val="ListParagraph"/>
        <w:numPr>
          <w:ilvl w:val="0"/>
          <w:numId w:val="1"/>
        </w:numPr>
        <w:spacing w:line="240" w:lineRule="auto"/>
        <w:jc w:val="both"/>
        <w:rPr>
          <w:sz w:val="24"/>
        </w:rPr>
      </w:pPr>
      <w:r>
        <w:rPr>
          <w:sz w:val="24"/>
        </w:rPr>
        <w:t>Le dépassement de fonction</w:t>
      </w:r>
    </w:p>
    <w:p>
      <w:pPr>
        <w:pStyle w:val="ListParagraph"/>
        <w:numPr>
          <w:ilvl w:val="0"/>
          <w:numId w:val="1"/>
        </w:numPr>
        <w:spacing w:line="240" w:lineRule="auto"/>
        <w:jc w:val="both"/>
        <w:rPr>
          <w:sz w:val="24"/>
        </w:rPr>
      </w:pPr>
      <w:r>
        <w:rPr>
          <w:sz w:val="24"/>
        </w:rPr>
        <w:t>Une initiative sur la vie d’entreprise</w:t>
      </w:r>
    </w:p>
    <w:p>
      <w:pPr>
        <w:pStyle w:val="Normal"/>
        <w:spacing w:line="240" w:lineRule="auto"/>
        <w:jc w:val="both"/>
        <w:rPr>
          <w:sz w:val="24"/>
        </w:rPr>
      </w:pPr>
      <w:r>
        <w:rPr>
          <w:sz w:val="24"/>
        </w:rPr>
      </w:r>
    </w:p>
    <w:p>
      <w:pPr>
        <w:pStyle w:val="Normal"/>
        <w:spacing w:line="240" w:lineRule="auto"/>
        <w:jc w:val="both"/>
        <w:rPr>
          <w:sz w:val="24"/>
        </w:rPr>
      </w:pPr>
      <w:r>
        <w:rPr>
          <w:sz w:val="24"/>
        </w:rPr>
        <w:t>La direction communiquera pour information au CSE la répartition par département des primes distribuées par trimestre.</w:t>
      </w:r>
    </w:p>
    <w:p>
      <w:pPr>
        <w:pStyle w:val="Normal"/>
        <w:spacing w:line="240" w:lineRule="auto"/>
        <w:jc w:val="both"/>
        <w:rPr>
          <w:b/>
          <w:b/>
          <w:bCs/>
          <w:sz w:val="24"/>
          <w:u w:val="single"/>
        </w:rPr>
      </w:pPr>
      <w:r>
        <w:rPr>
          <w:b/>
          <w:bCs/>
          <w:sz w:val="24"/>
          <w:u w:val="single"/>
        </w:rPr>
      </w:r>
    </w:p>
    <w:p>
      <w:pPr>
        <w:pStyle w:val="Normal"/>
        <w:spacing w:line="240" w:lineRule="auto"/>
        <w:jc w:val="both"/>
        <w:rPr>
          <w:b/>
          <w:b/>
          <w:bCs/>
          <w:sz w:val="24"/>
          <w:u w:val="single"/>
        </w:rPr>
      </w:pPr>
      <w:r>
        <w:rPr>
          <w:b/>
          <w:bCs/>
          <w:sz w:val="24"/>
          <w:u w:val="single"/>
        </w:rPr>
        <w:t xml:space="preserve">1.2.3 Primes contraintes / primes diverses </w:t>
      </w:r>
    </w:p>
    <w:p>
      <w:pPr>
        <w:pStyle w:val="Normal"/>
        <w:spacing w:line="240" w:lineRule="auto"/>
        <w:jc w:val="both"/>
        <w:rPr>
          <w:sz w:val="24"/>
        </w:rPr>
      </w:pPr>
      <w:r>
        <w:rPr>
          <w:sz w:val="24"/>
        </w:rPr>
        <w:t xml:space="preserve">Les parties conviennent du maintien des primes et indemnités liées aux conditions de travail et en vigueur au sein de l’entreprise à savoir : </w:t>
      </w:r>
    </w:p>
    <w:tbl>
      <w:tblPr>
        <w:tblStyle w:val="Grilledutableau1"/>
        <w:tblW w:type="dxa" w:w="9209"/>
        <w:jc w:val="left"/>
        <w:tblInd w:type="dxa" w:w="0"/>
        <w:tblLayout w:type="fixed"/>
        <w:tblCellMar>
          <w:top w:type="dxa" w:w="0"/>
          <w:left w:type="dxa" w:w="108"/>
          <w:bottom w:type="dxa" w:w="0"/>
          <w:right w:type="dxa" w:w="108"/>
        </w:tblCellMar>
        <w:tblLook w:firstColumn="1" w:firstRow="1" w:lastColumn="0" w:lastRow="0" w:noHBand="0" w:noVBand="1" w:val="04a0"/>
      </w:tblPr>
      <w:tblGrid>
        <w:gridCol w:w="3539"/>
        <w:gridCol w:w="5669"/>
      </w:tblGrid>
      <w:tr>
        <w:trPr/>
        <w:tc>
          <w:tcPr>
            <w:tcW w:type="dxa" w:w="3539"/>
            <w:tcBorders/>
            <w:vAlign w:val="center"/>
          </w:tcPr>
          <w:p>
            <w:pPr>
              <w:pStyle w:val="Normal"/>
              <w:widowControl/>
              <w:spacing w:after="200" w:before="0" w:line="240" w:lineRule="auto"/>
              <w:jc w:val="left"/>
              <w:rPr>
                <w:rFonts w:ascii="Calibri" w:asciiTheme="minorHAnsi" w:cs="" w:cstheme="minorBidi" w:hAnsi="Calibri" w:hAnsiTheme="minorHAnsi"/>
                <w:sz w:val="24"/>
                <w:szCs w:val="22"/>
              </w:rPr>
            </w:pPr>
            <w:r>
              <w:rPr>
                <w:rFonts w:cs="" w:cstheme="minorBidi"/>
                <w:kern w:val="0"/>
                <w:sz w:val="24"/>
                <w:szCs w:val="22"/>
                <w:lang w:bidi="ar-SA" w:val="fr-FR"/>
              </w:rPr>
              <w:t>Primes &amp; Indemnités</w:t>
            </w:r>
          </w:p>
        </w:tc>
        <w:tc>
          <w:tcPr>
            <w:tcW w:type="dxa" w:w="5669"/>
            <w:tcBorders/>
            <w:vAlign w:val="center"/>
          </w:tcPr>
          <w:p>
            <w:pPr>
              <w:pStyle w:val="Normal"/>
              <w:widowControl/>
              <w:spacing w:after="200" w:before="0" w:line="240" w:lineRule="auto"/>
              <w:jc w:val="left"/>
              <w:rPr>
                <w:rFonts w:ascii="Calibri" w:asciiTheme="minorHAnsi" w:cs="" w:cstheme="minorBidi" w:hAnsi="Calibri" w:hAnsiTheme="minorHAnsi"/>
                <w:sz w:val="24"/>
                <w:szCs w:val="22"/>
              </w:rPr>
            </w:pPr>
            <w:r>
              <w:rPr>
                <w:rFonts w:cs="" w:cstheme="minorBidi"/>
                <w:kern w:val="0"/>
                <w:sz w:val="24"/>
                <w:szCs w:val="22"/>
                <w:lang w:bidi="ar-SA" w:val="fr-FR"/>
              </w:rPr>
              <w:t>Montant</w:t>
            </w:r>
          </w:p>
        </w:tc>
      </w:tr>
      <w:tr>
        <w:trPr/>
        <w:tc>
          <w:tcPr>
            <w:tcW w:type="dxa" w:w="3539"/>
            <w:tcBorders/>
            <w:vAlign w:val="center"/>
          </w:tcPr>
          <w:p>
            <w:pPr>
              <w:pStyle w:val="Normal"/>
              <w:widowControl/>
              <w:spacing w:after="200" w:before="0" w:line="240" w:lineRule="auto"/>
              <w:jc w:val="left"/>
              <w:rPr>
                <w:rFonts w:ascii="Calibri" w:asciiTheme="minorHAnsi" w:cs="" w:cstheme="minorBidi" w:hAnsi="Calibri" w:hAnsiTheme="minorHAnsi"/>
                <w:sz w:val="24"/>
                <w:szCs w:val="22"/>
              </w:rPr>
            </w:pPr>
            <w:r>
              <w:rPr>
                <w:rFonts w:cs="" w:cstheme="minorBidi"/>
                <w:kern w:val="0"/>
                <w:sz w:val="24"/>
                <w:szCs w:val="22"/>
                <w:lang w:bidi="ar-SA" w:val="fr-FR"/>
              </w:rPr>
              <w:t>Prime EPI</w:t>
            </w:r>
          </w:p>
        </w:tc>
        <w:tc>
          <w:tcPr>
            <w:tcW w:type="dxa" w:w="5669"/>
            <w:tcBorders/>
            <w:vAlign w:val="center"/>
          </w:tcPr>
          <w:p>
            <w:pPr>
              <w:pStyle w:val="Normal"/>
              <w:widowControl/>
              <w:spacing w:after="200" w:before="0" w:line="240" w:lineRule="auto"/>
              <w:contextualSpacing/>
              <w:jc w:val="left"/>
              <w:rPr>
                <w:rFonts w:ascii="Calibri" w:asciiTheme="minorHAnsi" w:cs="" w:cstheme="minorBidi" w:hAnsi="Calibri" w:hAnsiTheme="minorHAnsi"/>
                <w:sz w:val="24"/>
                <w:szCs w:val="22"/>
              </w:rPr>
            </w:pPr>
            <w:r>
              <w:rPr>
                <w:rFonts w:cs="" w:cstheme="minorBidi"/>
                <w:kern w:val="0"/>
                <w:sz w:val="24"/>
                <w:szCs w:val="22"/>
                <w:lang w:bidi="ar-SA" w:val="fr-FR"/>
              </w:rPr>
              <w:t>3.00 € brut par jour</w:t>
            </w:r>
          </w:p>
        </w:tc>
      </w:tr>
      <w:tr>
        <w:trPr/>
        <w:tc>
          <w:tcPr>
            <w:tcW w:type="dxa" w:w="3539"/>
            <w:tcBorders/>
            <w:vAlign w:val="center"/>
          </w:tcPr>
          <w:p>
            <w:pPr>
              <w:pStyle w:val="Normal"/>
              <w:widowControl/>
              <w:spacing w:after="200" w:before="0" w:line="240" w:lineRule="auto"/>
              <w:jc w:val="left"/>
              <w:rPr>
                <w:rFonts w:ascii="Calibri" w:asciiTheme="minorHAnsi" w:cs="" w:cstheme="minorBidi" w:hAnsi="Calibri" w:hAnsiTheme="minorHAnsi"/>
                <w:sz w:val="24"/>
                <w:szCs w:val="22"/>
              </w:rPr>
            </w:pPr>
            <w:r>
              <w:rPr>
                <w:rFonts w:cs="" w:cstheme="minorBidi"/>
                <w:kern w:val="0"/>
                <w:sz w:val="24"/>
                <w:szCs w:val="22"/>
                <w:lang w:bidi="ar-SA" w:val="fr-FR"/>
              </w:rPr>
              <w:t>Indemnité Habillage/Déshabillage</w:t>
            </w:r>
          </w:p>
        </w:tc>
        <w:tc>
          <w:tcPr>
            <w:tcW w:type="dxa" w:w="5669"/>
            <w:tcBorders/>
            <w:vAlign w:val="center"/>
          </w:tcPr>
          <w:p>
            <w:pPr>
              <w:pStyle w:val="Normal"/>
              <w:widowControl/>
              <w:spacing w:after="200" w:before="0" w:line="240" w:lineRule="auto"/>
              <w:contextualSpacing/>
              <w:jc w:val="left"/>
              <w:rPr>
                <w:rFonts w:ascii="Calibri" w:asciiTheme="minorHAnsi" w:cs="" w:cstheme="minorBidi" w:hAnsi="Calibri" w:hAnsiTheme="minorHAnsi"/>
                <w:sz w:val="24"/>
                <w:szCs w:val="22"/>
              </w:rPr>
            </w:pPr>
            <w:r>
              <w:rPr>
                <w:rFonts w:cs="" w:cstheme="minorBidi"/>
                <w:kern w:val="0"/>
                <w:sz w:val="24"/>
                <w:szCs w:val="22"/>
                <w:lang w:bidi="ar-SA" w:val="fr-FR"/>
              </w:rPr>
              <w:t>0.93 € brut par jour</w:t>
            </w:r>
          </w:p>
        </w:tc>
      </w:tr>
      <w:tr>
        <w:trPr/>
        <w:tc>
          <w:tcPr>
            <w:tcW w:type="dxa" w:w="3539"/>
            <w:tcBorders/>
            <w:vAlign w:val="center"/>
          </w:tcPr>
          <w:p>
            <w:pPr>
              <w:pStyle w:val="Normal"/>
              <w:widowControl/>
              <w:spacing w:after="200" w:before="0" w:line="240" w:lineRule="auto"/>
              <w:jc w:val="left"/>
              <w:rPr>
                <w:rFonts w:ascii="Calibri" w:asciiTheme="minorHAnsi" w:cs="" w:cstheme="minorBidi" w:hAnsi="Calibri" w:hAnsiTheme="minorHAnsi"/>
                <w:sz w:val="24"/>
                <w:szCs w:val="22"/>
              </w:rPr>
            </w:pPr>
            <w:r>
              <w:rPr>
                <w:rFonts w:cs="" w:cstheme="minorBidi"/>
                <w:kern w:val="0"/>
                <w:sz w:val="24"/>
                <w:szCs w:val="22"/>
                <w:lang w:bidi="ar-SA" w:val="fr-FR"/>
              </w:rPr>
              <w:t>Prime Equipe Jour</w:t>
            </w:r>
          </w:p>
        </w:tc>
        <w:tc>
          <w:tcPr>
            <w:tcW w:type="dxa" w:w="5669"/>
            <w:tcBorders/>
            <w:vAlign w:val="center"/>
          </w:tcPr>
          <w:p>
            <w:pPr>
              <w:pStyle w:val="Normal"/>
              <w:widowControl/>
              <w:spacing w:after="200" w:before="0" w:line="240" w:lineRule="auto"/>
              <w:contextualSpacing/>
              <w:jc w:val="left"/>
              <w:rPr>
                <w:rFonts w:ascii="Calibri" w:asciiTheme="minorHAnsi" w:cs="" w:cstheme="minorBidi" w:hAnsi="Calibri" w:hAnsiTheme="minorHAnsi"/>
                <w:sz w:val="24"/>
                <w:szCs w:val="22"/>
              </w:rPr>
            </w:pPr>
            <w:r>
              <w:rPr>
                <w:rFonts w:cs="" w:cstheme="minorBidi"/>
                <w:kern w:val="0"/>
                <w:sz w:val="24"/>
                <w:szCs w:val="22"/>
                <w:lang w:bidi="ar-SA" w:val="fr-FR"/>
              </w:rPr>
              <w:t>6.80 € brut par jour</w:t>
            </w:r>
          </w:p>
        </w:tc>
      </w:tr>
      <w:tr>
        <w:trPr/>
        <w:tc>
          <w:tcPr>
            <w:tcW w:type="dxa" w:w="3539"/>
            <w:tcBorders/>
            <w:vAlign w:val="center"/>
          </w:tcPr>
          <w:p>
            <w:pPr>
              <w:pStyle w:val="Normal"/>
              <w:widowControl/>
              <w:spacing w:after="200" w:before="0" w:line="240" w:lineRule="auto"/>
              <w:jc w:val="left"/>
              <w:rPr>
                <w:rFonts w:ascii="Calibri" w:asciiTheme="minorHAnsi" w:cs="" w:cstheme="minorBidi" w:hAnsi="Calibri" w:hAnsiTheme="minorHAnsi"/>
                <w:sz w:val="24"/>
                <w:szCs w:val="22"/>
              </w:rPr>
            </w:pPr>
            <w:r>
              <w:rPr>
                <w:rFonts w:cs="" w:cstheme="minorBidi"/>
                <w:kern w:val="0"/>
                <w:sz w:val="24"/>
                <w:szCs w:val="22"/>
                <w:lang w:bidi="ar-SA" w:val="fr-FR"/>
              </w:rPr>
              <w:t>Prime Equipe Nuit</w:t>
            </w:r>
          </w:p>
        </w:tc>
        <w:tc>
          <w:tcPr>
            <w:tcW w:type="dxa" w:w="5669"/>
            <w:tcBorders/>
            <w:vAlign w:val="center"/>
          </w:tcPr>
          <w:p>
            <w:pPr>
              <w:pStyle w:val="Normal"/>
              <w:widowControl/>
              <w:spacing w:after="200" w:before="0" w:line="240" w:lineRule="auto"/>
              <w:contextualSpacing/>
              <w:jc w:val="left"/>
              <w:rPr>
                <w:rFonts w:ascii="Calibri" w:asciiTheme="minorHAnsi" w:cs="" w:cstheme="minorBidi" w:hAnsi="Calibri" w:hAnsiTheme="minorHAnsi"/>
                <w:sz w:val="24"/>
                <w:szCs w:val="22"/>
              </w:rPr>
            </w:pPr>
            <w:r>
              <w:rPr>
                <w:rFonts w:cs="" w:cstheme="minorBidi"/>
                <w:kern w:val="0"/>
                <w:sz w:val="24"/>
                <w:szCs w:val="22"/>
                <w:lang w:bidi="ar-SA" w:val="fr-FR"/>
              </w:rPr>
              <w:t>20.50 € brut par nuit</w:t>
            </w:r>
          </w:p>
        </w:tc>
      </w:tr>
      <w:tr>
        <w:trPr/>
        <w:tc>
          <w:tcPr>
            <w:tcW w:type="dxa" w:w="3539"/>
            <w:tcBorders/>
            <w:vAlign w:val="center"/>
          </w:tcPr>
          <w:p>
            <w:pPr>
              <w:pStyle w:val="Normal"/>
              <w:widowControl/>
              <w:spacing w:after="200" w:before="0" w:line="240" w:lineRule="auto"/>
              <w:jc w:val="left"/>
              <w:rPr>
                <w:rFonts w:ascii="Calibri" w:asciiTheme="minorHAnsi" w:cs="" w:cstheme="minorBidi" w:hAnsi="Calibri" w:hAnsiTheme="minorHAnsi"/>
                <w:sz w:val="24"/>
                <w:szCs w:val="22"/>
              </w:rPr>
            </w:pPr>
            <w:r>
              <w:rPr>
                <w:rFonts w:cs="" w:cstheme="minorBidi"/>
                <w:kern w:val="0"/>
                <w:sz w:val="24"/>
                <w:szCs w:val="22"/>
                <w:lang w:bidi="ar-SA" w:val="fr-FR"/>
              </w:rPr>
              <w:t>Indemnité Transport</w:t>
            </w:r>
          </w:p>
        </w:tc>
        <w:tc>
          <w:tcPr>
            <w:tcW w:type="dxa" w:w="5669"/>
            <w:tcBorders/>
            <w:vAlign w:val="center"/>
          </w:tcPr>
          <w:p>
            <w:pPr>
              <w:pStyle w:val="Normal"/>
              <w:widowControl/>
              <w:spacing w:after="200" w:before="0" w:line="240" w:lineRule="auto"/>
              <w:contextualSpacing/>
              <w:jc w:val="left"/>
              <w:rPr>
                <w:rFonts w:ascii="Calibri" w:asciiTheme="minorHAnsi" w:cs="" w:cstheme="minorBidi" w:hAnsi="Calibri" w:hAnsiTheme="minorHAnsi"/>
                <w:sz w:val="24"/>
                <w:szCs w:val="22"/>
              </w:rPr>
            </w:pPr>
            <w:r>
              <w:rPr>
                <w:rFonts w:cs="" w:cstheme="minorBidi"/>
                <w:kern w:val="0"/>
                <w:sz w:val="24"/>
                <w:szCs w:val="22"/>
                <w:lang w:bidi="ar-SA" w:val="fr-FR"/>
              </w:rPr>
              <w:t>- 2.75 € brut par jour (Distance « Domicile-Skyepharma » inférieure à 15km)</w:t>
            </w:r>
          </w:p>
          <w:p>
            <w:pPr>
              <w:pStyle w:val="Normal"/>
              <w:widowControl/>
              <w:spacing w:after="200" w:before="0" w:line="240" w:lineRule="auto"/>
              <w:contextualSpacing/>
              <w:jc w:val="left"/>
              <w:rPr>
                <w:rFonts w:ascii="Calibri" w:asciiTheme="minorHAnsi" w:cs="" w:cstheme="minorBidi" w:hAnsi="Calibri" w:hAnsiTheme="minorHAnsi"/>
                <w:sz w:val="24"/>
                <w:szCs w:val="22"/>
              </w:rPr>
            </w:pPr>
            <w:r>
              <w:rPr>
                <w:rFonts w:cs="" w:cstheme="minorBidi"/>
                <w:kern w:val="0"/>
                <w:sz w:val="20"/>
                <w:szCs w:val="20"/>
                <w:lang w:bidi="ar-SA" w:val="fr-FR"/>
              </w:rPr>
            </w:r>
          </w:p>
          <w:p>
            <w:pPr>
              <w:pStyle w:val="Normal"/>
              <w:widowControl/>
              <w:spacing w:after="200" w:before="0" w:line="240" w:lineRule="auto"/>
              <w:contextualSpacing/>
              <w:jc w:val="left"/>
              <w:rPr>
                <w:sz w:val="24"/>
              </w:rPr>
            </w:pPr>
            <w:r>
              <w:rPr>
                <w:rFonts w:cs="" w:cstheme="minorBidi"/>
                <w:kern w:val="0"/>
                <w:sz w:val="24"/>
                <w:szCs w:val="22"/>
                <w:lang w:bidi="ar-SA" w:val="fr-FR"/>
              </w:rPr>
              <w:t>- 6.27 € brut par jour (Distance « Domicile-Skyepharma » supérieure ou égale à 15km)</w:t>
            </w:r>
          </w:p>
        </w:tc>
      </w:tr>
      <w:tr>
        <w:trPr/>
        <w:tc>
          <w:tcPr>
            <w:tcW w:type="dxa" w:w="3539"/>
            <w:tcBorders/>
            <w:vAlign w:val="center"/>
          </w:tcPr>
          <w:p>
            <w:pPr>
              <w:pStyle w:val="Normal"/>
              <w:widowControl/>
              <w:spacing w:after="200" w:before="0" w:line="240" w:lineRule="auto"/>
              <w:jc w:val="left"/>
              <w:rPr>
                <w:rFonts w:ascii="Calibri" w:asciiTheme="minorHAnsi" w:cs="" w:cstheme="minorBidi" w:hAnsi="Calibri" w:hAnsiTheme="minorHAnsi"/>
                <w:sz w:val="24"/>
                <w:szCs w:val="22"/>
              </w:rPr>
            </w:pPr>
            <w:r>
              <w:rPr>
                <w:rFonts w:cs="" w:cstheme="minorBidi"/>
                <w:kern w:val="0"/>
                <w:sz w:val="24"/>
                <w:szCs w:val="22"/>
                <w:lang w:bidi="ar-SA" w:val="fr-FR"/>
              </w:rPr>
              <w:t>Prime Panier (Equipe Après-midi, Nuit ou Samedi)</w:t>
            </w:r>
          </w:p>
        </w:tc>
        <w:tc>
          <w:tcPr>
            <w:tcW w:type="dxa" w:w="5669"/>
            <w:tcBorders/>
            <w:vAlign w:val="center"/>
          </w:tcPr>
          <w:p>
            <w:pPr>
              <w:pStyle w:val="Normal"/>
              <w:widowControl/>
              <w:spacing w:after="200" w:before="0" w:line="240" w:lineRule="auto"/>
              <w:contextualSpacing/>
              <w:jc w:val="left"/>
              <w:rPr>
                <w:rFonts w:ascii="Calibri" w:asciiTheme="minorHAnsi" w:cs="" w:cstheme="minorBidi" w:hAnsi="Calibri" w:hAnsiTheme="minorHAnsi"/>
                <w:sz w:val="24"/>
                <w:szCs w:val="22"/>
              </w:rPr>
            </w:pPr>
            <w:r>
              <w:rPr>
                <w:rFonts w:cs="" w:cstheme="minorBidi"/>
                <w:kern w:val="0"/>
                <w:sz w:val="24"/>
                <w:szCs w:val="22"/>
                <w:lang w:bidi="ar-SA" w:val="fr-FR"/>
              </w:rPr>
              <w:t>6.50 € net par jour</w:t>
            </w:r>
          </w:p>
        </w:tc>
      </w:tr>
      <w:tr>
        <w:trPr/>
        <w:tc>
          <w:tcPr>
            <w:tcW w:type="dxa" w:w="3539"/>
            <w:tcBorders/>
            <w:vAlign w:val="center"/>
          </w:tcPr>
          <w:p>
            <w:pPr>
              <w:pStyle w:val="Normal"/>
              <w:widowControl/>
              <w:spacing w:after="200" w:before="0" w:line="240" w:lineRule="auto"/>
              <w:jc w:val="left"/>
              <w:rPr>
                <w:rFonts w:ascii="Calibri" w:asciiTheme="minorHAnsi" w:cs="Calibri" w:cstheme="minorHAnsi" w:hAnsi="Calibri" w:hAnsiTheme="minorHAnsi"/>
                <w:sz w:val="24"/>
              </w:rPr>
            </w:pPr>
            <w:r>
              <w:rPr>
                <w:rFonts w:cs="Calibri" w:cstheme="minorHAnsi"/>
                <w:kern w:val="0"/>
                <w:sz w:val="24"/>
                <w:szCs w:val="20"/>
                <w:lang w:bidi="ar-SA" w:val="fr-FR"/>
              </w:rPr>
              <w:t>Prime exceptionnelle du travail du samedi</w:t>
            </w:r>
          </w:p>
        </w:tc>
        <w:tc>
          <w:tcPr>
            <w:tcW w:type="dxa" w:w="5669"/>
            <w:tcBorders/>
            <w:vAlign w:val="center"/>
          </w:tcPr>
          <w:p>
            <w:pPr>
              <w:pStyle w:val="Normal"/>
              <w:widowControl/>
              <w:spacing w:after="200" w:before="0" w:line="240" w:lineRule="auto"/>
              <w:contextualSpacing/>
              <w:jc w:val="left"/>
              <w:rPr>
                <w:rFonts w:ascii="Calibri" w:asciiTheme="minorHAnsi" w:cs="Calibri" w:cstheme="minorHAnsi" w:hAnsi="Calibri" w:hAnsiTheme="minorHAnsi"/>
                <w:sz w:val="24"/>
              </w:rPr>
            </w:pPr>
            <w:r>
              <w:rPr>
                <w:rFonts w:cs="Calibri" w:cstheme="minorHAnsi"/>
                <w:kern w:val="0"/>
                <w:sz w:val="24"/>
                <w:szCs w:val="20"/>
                <w:lang w:bidi="ar-SA" w:val="fr-FR"/>
              </w:rPr>
              <w:t>100€ bruts par samedi travaillé</w:t>
            </w:r>
            <w:r>
              <w:rPr>
                <w:rFonts w:cs="Calibri" w:cstheme="minorHAnsi"/>
                <w:kern w:val="0"/>
                <w:sz w:val="24"/>
                <w:szCs w:val="20"/>
                <w:lang w:bidi="ar-SA" w:val="fr-FR"/>
              </w:rPr>
              <w:t xml:space="preserve"> (sur 2023)</w:t>
            </w:r>
          </w:p>
        </w:tc>
      </w:tr>
    </w:tbl>
    <w:p>
      <w:pPr>
        <w:pStyle w:val="Normal"/>
        <w:spacing w:line="240" w:lineRule="auto"/>
        <w:jc w:val="both"/>
        <w:rPr>
          <w:b/>
          <w:b/>
          <w:bCs/>
          <w:sz w:val="24"/>
        </w:rPr>
      </w:pPr>
      <w:r>
        <w:rPr>
          <w:b/>
          <w:bCs/>
          <w:sz w:val="24"/>
        </w:rPr>
      </w:r>
    </w:p>
    <w:p>
      <w:pPr>
        <w:pStyle w:val="Normal"/>
        <w:spacing w:line="240" w:lineRule="auto"/>
        <w:jc w:val="both"/>
        <w:rPr>
          <w:sz w:val="24"/>
        </w:rPr>
      </w:pPr>
      <w:r>
        <w:rPr>
          <w:sz w:val="24"/>
        </w:rPr>
        <w:t>La Société s’engage à discuter lors de la prochaine négociation annuelle obligatoire de la création d’une éventuelle indemnité pour le secteur HNS (Hormones Non Sexuelles) ou de réfléchir à de nouveaux équipements moins contraignants, en vertu des sujétions spéciales de ce secteur.</w:t>
      </w:r>
    </w:p>
    <w:p>
      <w:pPr>
        <w:pStyle w:val="Normal"/>
        <w:spacing w:line="240" w:lineRule="auto"/>
        <w:jc w:val="both"/>
        <w:rPr>
          <w:b/>
          <w:b/>
          <w:bCs/>
          <w:sz w:val="24"/>
        </w:rPr>
      </w:pPr>
      <w:r>
        <w:rPr>
          <w:b/>
          <w:bCs/>
          <w:sz w:val="24"/>
        </w:rPr>
      </w:r>
    </w:p>
    <w:p>
      <w:pPr>
        <w:pStyle w:val="Normal"/>
        <w:spacing w:line="240" w:lineRule="auto"/>
        <w:jc w:val="both"/>
        <w:rPr>
          <w:b/>
          <w:b/>
          <w:bCs/>
          <w:sz w:val="24"/>
          <w:u w:val="single"/>
        </w:rPr>
      </w:pPr>
      <w:r>
        <w:rPr>
          <w:b/>
          <w:bCs/>
          <w:sz w:val="24"/>
          <w:u w:val="single"/>
        </w:rPr>
        <w:t>1.3 Autres mesures</w:t>
      </w:r>
    </w:p>
    <w:p>
      <w:pPr>
        <w:pStyle w:val="Normal"/>
        <w:spacing w:line="240" w:lineRule="auto"/>
        <w:jc w:val="both"/>
        <w:rPr>
          <w:b/>
          <w:b/>
          <w:bCs/>
          <w:sz w:val="24"/>
          <w:u w:val="single"/>
        </w:rPr>
      </w:pPr>
      <w:r>
        <w:rPr>
          <w:b/>
          <w:bCs/>
          <w:sz w:val="24"/>
          <w:u w:val="single"/>
        </w:rPr>
        <w:t>1.3.1 La mutuelle</w:t>
      </w:r>
    </w:p>
    <w:p>
      <w:pPr>
        <w:pStyle w:val="ListParagraph"/>
        <w:spacing w:line="240" w:lineRule="auto"/>
        <w:ind w:hanging="0" w:left="360"/>
        <w:jc w:val="both"/>
        <w:rPr>
          <w:b/>
          <w:b/>
          <w:bCs/>
          <w:sz w:val="24"/>
        </w:rPr>
      </w:pPr>
      <w:r>
        <w:rPr>
          <w:b/>
          <w:bCs/>
          <w:sz w:val="24"/>
        </w:rPr>
      </w:r>
    </w:p>
    <w:p>
      <w:pPr>
        <w:pStyle w:val="ListParagraph"/>
        <w:spacing w:line="240" w:lineRule="auto"/>
        <w:ind w:hanging="0" w:left="0"/>
        <w:jc w:val="both"/>
        <w:rPr>
          <w:sz w:val="24"/>
        </w:rPr>
      </w:pPr>
      <w:r>
        <w:rPr>
          <w:sz w:val="24"/>
        </w:rPr>
        <w:t>Dans le cadre de l’augmentation de 3.6% des frais de mutuelle subie en raison de l’inflation, l’employeur prend en charge la totalité de la hausse. La part employeur passe ainsi à hauteur de 67,4% pour les salariés bénéficiant du régime collectif de mutuelle. Une rétroactivité se fera sur les mois de janvier et février 2023.</w:t>
      </w:r>
    </w:p>
    <w:p>
      <w:pPr>
        <w:pStyle w:val="ListParagraph"/>
        <w:spacing w:line="240" w:lineRule="auto"/>
        <w:ind w:hanging="0" w:left="360"/>
        <w:jc w:val="both"/>
        <w:rPr>
          <w:sz w:val="24"/>
          <w:highlight w:val="yellow"/>
        </w:rPr>
      </w:pPr>
      <w:r>
        <w:rPr>
          <w:sz w:val="24"/>
          <w:highlight w:val="yellow"/>
        </w:rPr>
      </w:r>
    </w:p>
    <w:p>
      <w:pPr>
        <w:pStyle w:val="ListParagraph"/>
        <w:spacing w:line="240" w:lineRule="auto"/>
        <w:ind w:hanging="0" w:left="360"/>
        <w:jc w:val="both"/>
        <w:rPr>
          <w:sz w:val="24"/>
          <w:highlight w:val="yellow"/>
        </w:rPr>
      </w:pPr>
      <w:r>
        <w:rPr>
          <w:sz w:val="24"/>
          <w:highlight w:val="yellow"/>
        </w:rPr>
      </w:r>
    </w:p>
    <w:p>
      <w:pPr>
        <w:pStyle w:val="ListParagraph"/>
        <w:numPr>
          <w:ilvl w:val="2"/>
          <w:numId w:val="6"/>
        </w:numPr>
        <w:spacing w:line="240" w:lineRule="auto"/>
        <w:jc w:val="both"/>
        <w:rPr>
          <w:b/>
          <w:b/>
          <w:bCs/>
          <w:sz w:val="24"/>
          <w:u w:val="single"/>
        </w:rPr>
      </w:pPr>
      <w:r>
        <w:rPr>
          <w:b/>
          <w:bCs/>
          <w:sz w:val="24"/>
          <w:u w:val="single"/>
        </w:rPr>
        <w:t>La cantine</w:t>
      </w:r>
    </w:p>
    <w:p>
      <w:pPr>
        <w:pStyle w:val="Normal"/>
        <w:spacing w:line="240" w:lineRule="auto"/>
        <w:jc w:val="both"/>
        <w:rPr>
          <w:b/>
          <w:b/>
          <w:bCs/>
          <w:sz w:val="24"/>
          <w:u w:val="single"/>
        </w:rPr>
      </w:pPr>
      <w:r>
        <w:rPr>
          <w:b/>
          <w:bCs/>
          <w:sz w:val="24"/>
          <w:u w:val="single"/>
        </w:rPr>
      </w:r>
    </w:p>
    <w:p>
      <w:pPr>
        <w:pStyle w:val="ListParagraph"/>
        <w:shd w:color="auto" w:fill="FFFFFF" w:val="clear"/>
        <w:spacing w:afterAutospacing="1" w:beforeAutospacing="1" w:line="240" w:lineRule="auto"/>
        <w:ind w:hanging="0" w:left="0"/>
        <w:contextualSpacing/>
        <w:jc w:val="both"/>
        <w:rPr>
          <w:sz w:val="24"/>
        </w:rPr>
      </w:pPr>
      <w:r>
        <w:rPr>
          <w:sz w:val="24"/>
        </w:rPr>
        <w:t>Le prestataire de restauration d’entreprise, 1001 Repas</w:t>
      </w:r>
      <w:r>
        <w:rPr>
          <w:strike/>
          <w:sz w:val="24"/>
        </w:rPr>
        <w:t xml:space="preserve"> </w:t>
      </w:r>
      <w:r>
        <w:rPr>
          <w:sz w:val="24"/>
        </w:rPr>
        <w:t>officie depuis le 2 janvier 2020.</w:t>
      </w:r>
    </w:p>
    <w:p>
      <w:pPr>
        <w:pStyle w:val="Normal"/>
        <w:spacing w:line="240" w:lineRule="auto"/>
        <w:jc w:val="both"/>
        <w:rPr>
          <w:sz w:val="24"/>
        </w:rPr>
      </w:pPr>
      <w:r>
        <w:rPr>
          <w:sz w:val="24"/>
        </w:rPr>
        <w:t>Les frais de cantine connaissent une hausse de 5% sur l’alimentaire et des frais fixes à hauteur de 11 057,22€HT à compter du 1</w:t>
      </w:r>
      <w:r>
        <w:rPr>
          <w:sz w:val="24"/>
          <w:vertAlign w:val="superscript"/>
        </w:rPr>
        <w:t>er</w:t>
      </w:r>
      <w:r>
        <w:rPr>
          <w:sz w:val="24"/>
        </w:rPr>
        <w:t xml:space="preserve"> janvier 2023. L’employeur prend en charge cette augmentation sur l’année 2023 à compter de la signature du présent accord.</w:t>
      </w:r>
    </w:p>
    <w:p>
      <w:pPr>
        <w:pStyle w:val="Normal"/>
        <w:spacing w:line="240" w:lineRule="auto"/>
        <w:jc w:val="both"/>
        <w:rPr>
          <w:b/>
          <w:b/>
          <w:bCs/>
          <w:sz w:val="24"/>
          <w:u w:val="single"/>
        </w:rPr>
      </w:pPr>
      <w:r>
        <w:rPr>
          <w:b/>
          <w:bCs/>
          <w:sz w:val="24"/>
          <w:u w:val="single"/>
        </w:rPr>
      </w:r>
    </w:p>
    <w:p>
      <w:pPr>
        <w:pStyle w:val="Titre2"/>
        <w:shd w:fill="D9E2F3" w:val="clear"/>
        <w:spacing w:line="240" w:lineRule="auto"/>
        <w:rPr/>
      </w:pPr>
      <w:bookmarkStart w:id="5" w:name="_Toc127534803"/>
      <w:r>
        <w:rPr/>
        <w:t>Article 2 – La durée effective et l’organisation du temps de travail, notamment la mise en place du travail à temps partiel, et éventuellement la réduction du temps de travail</w:t>
      </w:r>
      <w:bookmarkEnd w:id="5"/>
    </w:p>
    <w:p>
      <w:pPr>
        <w:pStyle w:val="Normal"/>
        <w:spacing w:line="240" w:lineRule="auto"/>
        <w:jc w:val="both"/>
        <w:rPr>
          <w:sz w:val="24"/>
        </w:rPr>
      </w:pPr>
      <w:r>
        <w:rPr>
          <w:sz w:val="24"/>
        </w:rPr>
      </w:r>
    </w:p>
    <w:p>
      <w:pPr>
        <w:pStyle w:val="Normal"/>
        <w:spacing w:line="240" w:lineRule="auto"/>
        <w:jc w:val="both"/>
        <w:rPr>
          <w:sz w:val="24"/>
        </w:rPr>
      </w:pPr>
      <w:r>
        <w:rPr>
          <w:sz w:val="24"/>
        </w:rPr>
        <w:t xml:space="preserve">La Société s’engage à étudier avec bienveillance toutes les demandes de travail à temps partiel, et toute demande de passage à temps plein. </w:t>
      </w:r>
    </w:p>
    <w:p>
      <w:pPr>
        <w:pStyle w:val="Normal"/>
        <w:spacing w:line="240" w:lineRule="auto"/>
        <w:jc w:val="both"/>
        <w:rPr>
          <w:sz w:val="24"/>
        </w:rPr>
      </w:pPr>
      <w:r>
        <w:rPr>
          <w:sz w:val="24"/>
        </w:rPr>
        <w:t>A titre informatif, aucun refus de modification de la durée individuelle de travail n’a été, pour l’heure, formulé depuis le 1</w:t>
      </w:r>
      <w:r>
        <w:rPr>
          <w:sz w:val="24"/>
          <w:vertAlign w:val="superscript"/>
        </w:rPr>
        <w:t>er</w:t>
      </w:r>
      <w:r>
        <w:rPr>
          <w:sz w:val="24"/>
        </w:rPr>
        <w:t xml:space="preserve"> juillet 2016.</w:t>
      </w:r>
    </w:p>
    <w:p>
      <w:pPr>
        <w:pStyle w:val="Normal"/>
        <w:spacing w:line="240" w:lineRule="auto"/>
        <w:jc w:val="both"/>
        <w:rPr>
          <w:sz w:val="24"/>
        </w:rPr>
      </w:pPr>
      <w:r>
        <w:rPr>
          <w:sz w:val="24"/>
        </w:rPr>
      </w:r>
    </w:p>
    <w:p>
      <w:pPr>
        <w:pStyle w:val="Normal"/>
        <w:spacing w:line="240" w:lineRule="auto"/>
        <w:jc w:val="both"/>
        <w:rPr>
          <w:sz w:val="24"/>
        </w:rPr>
      </w:pPr>
      <w:r>
        <w:rPr>
          <w:sz w:val="24"/>
        </w:rPr>
        <w:t>Les parties constatent une augmentation générale des heures écrêtées liée à un contexte particulier. La Direction s’engage à suivre cet indicateur et à rester vigilant.</w:t>
      </w:r>
    </w:p>
    <w:p>
      <w:pPr>
        <w:pStyle w:val="Normal"/>
        <w:spacing w:after="160" w:before="0" w:line="259" w:lineRule="auto"/>
        <w:rPr>
          <w:sz w:val="24"/>
        </w:rPr>
      </w:pPr>
      <w:r>
        <w:rPr>
          <w:sz w:val="24"/>
        </w:rPr>
      </w:r>
      <w:r>
        <w:br w:type="page"/>
      </w:r>
    </w:p>
    <w:p>
      <w:pPr>
        <w:pStyle w:val="Normal"/>
        <w:spacing w:line="240" w:lineRule="auto"/>
        <w:jc w:val="both"/>
        <w:rPr>
          <w:sz w:val="24"/>
        </w:rPr>
      </w:pPr>
      <w:r>
        <w:rPr>
          <w:sz w:val="24"/>
        </w:rPr>
      </w:r>
    </w:p>
    <w:p>
      <w:pPr>
        <w:pStyle w:val="Titre2"/>
        <w:shd w:fill="D9E2F3" w:val="clear"/>
        <w:spacing w:line="240" w:lineRule="auto"/>
        <w:rPr/>
      </w:pPr>
      <w:bookmarkStart w:id="6" w:name="_Toc127534804"/>
      <w:r>
        <w:rPr/>
        <w:t>Article 3 : Intéressement, participation et épargne salariale</w:t>
      </w:r>
      <w:bookmarkEnd w:id="6"/>
    </w:p>
    <w:p>
      <w:pPr>
        <w:pStyle w:val="Normal"/>
        <w:shd w:color="auto" w:fill="FFFFFF" w:val="clear"/>
        <w:spacing w:afterAutospacing="1" w:beforeAutospacing="1" w:line="240" w:lineRule="auto"/>
        <w:jc w:val="both"/>
        <w:rPr>
          <w:sz w:val="24"/>
        </w:rPr>
      </w:pPr>
      <w:r>
        <w:rPr>
          <w:sz w:val="24"/>
        </w:rPr>
        <w:t>Les parties constatent qu’un accord collectif d’entreprise portant sur l’accord d’intéressement signé par les organisations le 23 mars 2022 est toujours en vigueur. Il est relatif à l’intéressement pour les exercices 2022, 2023 et 2024.</w:t>
      </w:r>
    </w:p>
    <w:p>
      <w:pPr>
        <w:pStyle w:val="Normal"/>
        <w:shd w:color="auto" w:fill="FFFFFF" w:val="clear"/>
        <w:spacing w:afterAutospacing="1" w:beforeAutospacing="1" w:line="240" w:lineRule="auto"/>
        <w:jc w:val="both"/>
        <w:rPr>
          <w:sz w:val="24"/>
        </w:rPr>
      </w:pPr>
      <w:r>
        <w:rPr>
          <w:sz w:val="24"/>
        </w:rPr>
      </w:r>
    </w:p>
    <w:p>
      <w:pPr>
        <w:pStyle w:val="Titre2"/>
        <w:shd w:fill="D9E2F3" w:val="clear"/>
        <w:spacing w:line="240" w:lineRule="auto"/>
        <w:rPr/>
      </w:pPr>
      <w:bookmarkStart w:id="7" w:name="_Toc127534805"/>
      <w:r>
        <w:rPr/>
        <w:t>Article 4 : suivi de la mise en œuvre des mesures visant à supprimer les écarts de rémunération et les différences de déroulement de carrière entre les hommes et les femmes :</w:t>
      </w:r>
      <w:bookmarkEnd w:id="7"/>
    </w:p>
    <w:p>
      <w:pPr>
        <w:pStyle w:val="Normal"/>
        <w:shd w:color="auto" w:fill="FFFFFF" w:val="clear"/>
        <w:spacing w:afterAutospacing="1" w:beforeAutospacing="1" w:line="240" w:lineRule="auto"/>
        <w:jc w:val="both"/>
        <w:rPr>
          <w:sz w:val="24"/>
        </w:rPr>
      </w:pPr>
      <w:r>
        <w:rPr>
          <w:sz w:val="24"/>
        </w:rPr>
        <w:t xml:space="preserve">La mixité est une source de richesse et de performance dans une entreprise. Les parties entendent ainsi renouveler l’ensemble des engagements en matière d’égalité professionnelle entre les hommes et les femmes et la qualité de vie au travail. </w:t>
      </w:r>
    </w:p>
    <w:p>
      <w:pPr>
        <w:pStyle w:val="Normal"/>
        <w:shd w:color="auto" w:fill="FFFFFF" w:val="clear"/>
        <w:spacing w:afterAutospacing="1" w:beforeAutospacing="1" w:line="240" w:lineRule="auto"/>
        <w:jc w:val="both"/>
        <w:rPr>
          <w:sz w:val="24"/>
        </w:rPr>
      </w:pPr>
      <w:r>
        <w:rPr>
          <w:sz w:val="24"/>
        </w:rPr>
        <w:t>Elles constatent que, pour la Société :</w:t>
      </w:r>
    </w:p>
    <w:p>
      <w:pPr>
        <w:pStyle w:val="ListParagraph"/>
        <w:numPr>
          <w:ilvl w:val="0"/>
          <w:numId w:val="4"/>
        </w:numPr>
        <w:spacing w:line="240" w:lineRule="auto"/>
        <w:jc w:val="both"/>
        <w:rPr>
          <w:sz w:val="24"/>
        </w:rPr>
      </w:pPr>
      <w:r>
        <w:rPr>
          <w:sz w:val="24"/>
        </w:rPr>
        <w:t>Le CSE a nommé deux référents « lutte contre le harcèlement sexuel et les agissements sexistes » ;</w:t>
      </w:r>
    </w:p>
    <w:p>
      <w:pPr>
        <w:pStyle w:val="ListParagraph"/>
        <w:numPr>
          <w:ilvl w:val="0"/>
          <w:numId w:val="4"/>
        </w:numPr>
        <w:spacing w:line="240" w:lineRule="auto"/>
        <w:jc w:val="both"/>
        <w:rPr>
          <w:sz w:val="24"/>
        </w:rPr>
      </w:pPr>
      <w:r>
        <w:rPr>
          <w:sz w:val="24"/>
        </w:rPr>
        <w:t xml:space="preserve">Un affichage d’une note d'information sur la prévention du harcèlement sexuel et des agissements sexistes est en place ; </w:t>
      </w:r>
    </w:p>
    <w:p>
      <w:pPr>
        <w:pStyle w:val="ListParagraph"/>
        <w:numPr>
          <w:ilvl w:val="0"/>
          <w:numId w:val="4"/>
        </w:numPr>
        <w:spacing w:line="240" w:lineRule="auto"/>
        <w:jc w:val="both"/>
        <w:rPr>
          <w:sz w:val="24"/>
        </w:rPr>
      </w:pPr>
      <w:r>
        <w:rPr>
          <w:sz w:val="24"/>
        </w:rPr>
        <w:t>Lors de l’entretien annuel de collaboration, la charge de travail et les difficultés d’articulation entre l’activité professionnelle et la vie familiale sont évoquées.</w:t>
      </w:r>
    </w:p>
    <w:p>
      <w:pPr>
        <w:pStyle w:val="Normal"/>
        <w:shd w:color="auto" w:fill="FFFFFF" w:val="clear"/>
        <w:spacing w:afterAutospacing="1" w:beforeAutospacing="1" w:line="240" w:lineRule="auto"/>
        <w:jc w:val="both"/>
        <w:rPr>
          <w:sz w:val="24"/>
        </w:rPr>
      </w:pPr>
      <w:r>
        <w:rPr>
          <w:sz w:val="24"/>
        </w:rPr>
        <w:t xml:space="preserve">Par ailleurs, à l'issue de l'absence liée à la parentalité (congé de maternité, congé parental d'éducation à temps complet ou à temps partiel, congé d'adoption), la Société s’engage à proposer au salarié un entretien professionnel avec son responsable hiérarchique ou les RH, dans le mois suivant son retour, afin d'examiner les conditions de son retour à l'emploi et l'éventualité d'une formation adaptée à son retour.  </w:t>
      </w:r>
    </w:p>
    <w:p>
      <w:pPr>
        <w:pStyle w:val="Normal"/>
        <w:shd w:color="auto" w:fill="FFFFFF" w:val="clear"/>
        <w:spacing w:afterAutospacing="1" w:beforeAutospacing="1" w:line="240" w:lineRule="auto"/>
        <w:jc w:val="both"/>
        <w:rPr>
          <w:sz w:val="24"/>
        </w:rPr>
      </w:pPr>
      <w:r>
        <w:rPr>
          <w:sz w:val="24"/>
        </w:rPr>
        <w:t>Enfin, la Société s’engage à poursuivre le travail de la Commission définition de fonction et à suivre le nombre de définitions de fonction revues en CSE.</w:t>
      </w:r>
    </w:p>
    <w:p>
      <w:pPr>
        <w:pStyle w:val="Normal"/>
        <w:spacing w:after="160" w:before="0" w:line="259" w:lineRule="auto"/>
        <w:rPr>
          <w:sz w:val="24"/>
        </w:rPr>
      </w:pPr>
      <w:r>
        <w:rPr>
          <w:sz w:val="24"/>
        </w:rPr>
      </w:r>
      <w:r>
        <w:br w:type="page"/>
      </w:r>
    </w:p>
    <w:p>
      <w:pPr>
        <w:pStyle w:val="Normal"/>
        <w:shd w:color="auto" w:fill="FFFFFF" w:val="clear"/>
        <w:spacing w:afterAutospacing="1" w:beforeAutospacing="1" w:line="240" w:lineRule="auto"/>
        <w:jc w:val="both"/>
        <w:rPr>
          <w:sz w:val="24"/>
        </w:rPr>
      </w:pPr>
      <w:r>
        <w:rPr>
          <w:sz w:val="24"/>
        </w:rPr>
      </w:r>
    </w:p>
    <w:p>
      <w:pPr>
        <w:pStyle w:val="Titre1"/>
        <w:shd w:fill="4472C4" w:val="clear"/>
        <w:spacing w:line="240" w:lineRule="auto"/>
        <w:jc w:val="both"/>
        <w:rPr>
          <w:color w:val="auto"/>
        </w:rPr>
      </w:pPr>
      <w:bookmarkStart w:id="8" w:name="_Toc127534806"/>
      <w:r>
        <w:rPr>
          <w:color w:val="auto"/>
        </w:rPr>
        <w:t>Partie 2 : Négociation annuelle sur l’égalité professionnelle entre les femmes et les hommes et la qualité de vie au travail</w:t>
      </w:r>
      <w:bookmarkEnd w:id="8"/>
    </w:p>
    <w:p>
      <w:pPr>
        <w:pStyle w:val="Titre2"/>
        <w:shd w:fill="D9E2F3" w:val="clear"/>
        <w:spacing w:line="240" w:lineRule="auto"/>
        <w:jc w:val="both"/>
        <w:rPr/>
      </w:pPr>
      <w:bookmarkStart w:id="9" w:name="_Toc127534807"/>
      <w:r>
        <w:rPr/>
        <w:t>Article 1 : L'articulation entre la vie personnelle et la vie professionnelle pour les salariés :</w:t>
      </w:r>
      <w:bookmarkEnd w:id="9"/>
    </w:p>
    <w:p>
      <w:pPr>
        <w:pStyle w:val="ListParagraph"/>
        <w:numPr>
          <w:ilvl w:val="1"/>
          <w:numId w:val="3"/>
        </w:numPr>
        <w:shd w:color="auto" w:fill="FFFFFF" w:val="clear"/>
        <w:spacing w:afterAutospacing="1" w:beforeAutospacing="1" w:line="240" w:lineRule="auto"/>
        <w:contextualSpacing/>
        <w:jc w:val="both"/>
        <w:rPr>
          <w:sz w:val="24"/>
        </w:rPr>
      </w:pPr>
      <w:r>
        <w:rPr>
          <w:sz w:val="24"/>
        </w:rPr>
        <w:t xml:space="preserve">Articulation vie personnelle et professionnelle </w:t>
      </w:r>
    </w:p>
    <w:p>
      <w:pPr>
        <w:pStyle w:val="Normal"/>
        <w:shd w:color="auto" w:fill="FFFFFF" w:val="clear"/>
        <w:spacing w:afterAutospacing="1" w:beforeAutospacing="1" w:line="240" w:lineRule="auto"/>
        <w:jc w:val="both"/>
        <w:rPr>
          <w:sz w:val="24"/>
        </w:rPr>
      </w:pPr>
      <w:r>
        <w:rPr>
          <w:sz w:val="24"/>
        </w:rPr>
        <w:t xml:space="preserve">La Direction s’engage à étudier toutes les solutions organisationnelles pour continuer à accueillir favorablement, dans la mesure du possible, les demandes de temps partiels selon les contraintes dans les services (voir article 2 ci-dessus). </w:t>
      </w:r>
    </w:p>
    <w:p>
      <w:pPr>
        <w:pStyle w:val="Normal"/>
        <w:shd w:color="auto" w:fill="FFFFFF" w:val="clear"/>
        <w:spacing w:afterAutospacing="1" w:beforeAutospacing="1" w:line="240" w:lineRule="auto"/>
        <w:jc w:val="both"/>
        <w:rPr>
          <w:sz w:val="24"/>
        </w:rPr>
      </w:pPr>
      <w:r>
        <w:rPr>
          <w:sz w:val="24"/>
        </w:rPr>
        <w:t>La Société poursuit son engagement à respecter les temps de vie familiale de ses salariés, et s’engage à ne pas planifier de réunions en dehors de la plage horaire 8h30 – 17h.</w:t>
      </w:r>
    </w:p>
    <w:p>
      <w:pPr>
        <w:pStyle w:val="Normal"/>
        <w:shd w:color="auto" w:fill="FFFFFF" w:val="clear"/>
        <w:spacing w:afterAutospacing="1" w:beforeAutospacing="1" w:line="240" w:lineRule="auto"/>
        <w:jc w:val="both"/>
        <w:rPr>
          <w:sz w:val="24"/>
        </w:rPr>
      </w:pPr>
      <w:r>
        <w:rPr>
          <w:sz w:val="24"/>
        </w:rPr>
        <w:t>Toutefois, des réunions pourront être planifiées en dehors de cette plage définie, pour les personnes travaillant en horaire d’équipe, dont les plannings ne recouvrent pas cette dernière.</w:t>
      </w:r>
    </w:p>
    <w:p>
      <w:pPr>
        <w:pStyle w:val="ListParagraph"/>
        <w:numPr>
          <w:ilvl w:val="1"/>
          <w:numId w:val="3"/>
        </w:numPr>
        <w:shd w:color="auto" w:fill="FFFFFF" w:val="clear"/>
        <w:spacing w:afterAutospacing="1" w:beforeAutospacing="1" w:line="240" w:lineRule="auto"/>
        <w:contextualSpacing/>
        <w:jc w:val="both"/>
        <w:rPr>
          <w:sz w:val="24"/>
        </w:rPr>
      </w:pPr>
      <w:r>
        <w:rPr>
          <w:sz w:val="24"/>
        </w:rPr>
        <w:t xml:space="preserve">La qualité de vie au travail </w:t>
      </w:r>
    </w:p>
    <w:p>
      <w:pPr>
        <w:pStyle w:val="ListParagraph"/>
        <w:shd w:color="auto" w:fill="FFFFFF" w:val="clear"/>
        <w:spacing w:afterAutospacing="1" w:beforeAutospacing="1" w:line="240" w:lineRule="auto"/>
        <w:ind w:hanging="0" w:left="1440"/>
        <w:contextualSpacing/>
        <w:jc w:val="both"/>
        <w:rPr>
          <w:sz w:val="24"/>
        </w:rPr>
      </w:pPr>
      <w:r>
        <w:rPr>
          <w:sz w:val="24"/>
        </w:rPr>
      </w:r>
    </w:p>
    <w:p>
      <w:pPr>
        <w:pStyle w:val="ListParagraph"/>
        <w:shd w:color="auto" w:fill="FFFFFF" w:val="clear"/>
        <w:spacing w:afterAutospacing="1" w:beforeAutospacing="1" w:line="240" w:lineRule="auto"/>
        <w:ind w:hanging="0" w:left="0"/>
        <w:contextualSpacing/>
        <w:jc w:val="both"/>
        <w:rPr>
          <w:sz w:val="24"/>
        </w:rPr>
      </w:pPr>
      <w:r>
        <w:rPr>
          <w:sz w:val="24"/>
        </w:rPr>
        <w:t>Depuis 2019, la Société a mis en place des séances d’ostéopathie 4 fois par an dans les locaux de l’entreprise, ce qui a pour objet de contribuer à l'amélioration de la qualité de vie au travail des salariés.</w:t>
      </w:r>
    </w:p>
    <w:p>
      <w:pPr>
        <w:pStyle w:val="Normal"/>
        <w:spacing w:line="240" w:lineRule="auto"/>
        <w:jc w:val="both"/>
        <w:rPr>
          <w:sz w:val="24"/>
        </w:rPr>
      </w:pPr>
      <w:r>
        <w:rPr>
          <w:sz w:val="24"/>
        </w:rPr>
        <w:t>La Société s’engage à poursuivre les séances d’ostéopathie dans les locaux de l’entreprise (budget 330€ par an), pour l’année 2023.</w:t>
      </w:r>
    </w:p>
    <w:p>
      <w:pPr>
        <w:pStyle w:val="Normal"/>
        <w:spacing w:line="240" w:lineRule="auto"/>
        <w:jc w:val="both"/>
        <w:rPr>
          <w:sz w:val="24"/>
        </w:rPr>
      </w:pPr>
      <w:r>
        <w:rPr>
          <w:sz w:val="24"/>
        </w:rPr>
      </w:r>
    </w:p>
    <w:p>
      <w:pPr>
        <w:pStyle w:val="Titre2"/>
        <w:shd w:fill="D9E2F3" w:val="clear"/>
        <w:spacing w:line="240" w:lineRule="auto"/>
        <w:rPr/>
      </w:pPr>
      <w:bookmarkStart w:id="10" w:name="_Toc127534808"/>
      <w:r>
        <w:rPr/>
        <w:t>Article 2 : Les mesures permettant de lutter contre toute discrimination en matière de recrutement, d'emploi et d'accès à la formation professionnelle</w:t>
      </w:r>
      <w:bookmarkEnd w:id="10"/>
      <w:r>
        <w:rPr/>
        <w:t xml:space="preserve"> </w:t>
      </w:r>
    </w:p>
    <w:p>
      <w:pPr>
        <w:pStyle w:val="Normal"/>
        <w:shd w:color="auto" w:fill="FFFFFF" w:val="clear"/>
        <w:spacing w:afterAutospacing="1" w:beforeAutospacing="1" w:line="240" w:lineRule="auto"/>
        <w:jc w:val="both"/>
        <w:rPr>
          <w:sz w:val="24"/>
        </w:rPr>
      </w:pPr>
      <w:r>
        <w:rPr>
          <w:sz w:val="24"/>
        </w:rPr>
        <w:t>Conformément aux dispositions légales en vigueur, la Direction s'engage à ne pas prendre en considération, en matière de recrutement, de conduite ou de répartition du travail, d'accès à la formation, de mesures disciplinaires ou de licenciement, de rémunération, de promotion, d'évolution professionnelle ou d'attribution d'avantages sociaux, les éléments discriminants listés part l’article L 1132-1 du code du travail.</w:t>
      </w:r>
    </w:p>
    <w:p>
      <w:pPr>
        <w:pStyle w:val="Normal"/>
        <w:shd w:color="auto" w:fill="FFFFFF" w:val="clear"/>
        <w:spacing w:afterAutospacing="1" w:beforeAutospacing="1" w:line="240" w:lineRule="auto"/>
        <w:jc w:val="both"/>
        <w:rPr>
          <w:rFonts w:cs="Calibri" w:cstheme="minorHAnsi"/>
          <w:sz w:val="24"/>
          <w:szCs w:val="24"/>
        </w:rPr>
      </w:pPr>
      <w:r>
        <w:rPr>
          <w:sz w:val="24"/>
        </w:rPr>
        <w:t>Les salariés de retour de congé maternité, d’adoption ou parental retrouveront leur poste antérieur ou un poste similaire. En cas d'évolution de leur poste de travail, ces salariés bénéficieront de la formation nécessaire à leur adaptation.</w:t>
      </w:r>
      <w:r>
        <w:rPr>
          <w:rFonts w:ascii="Arial" w:cs="Arial" w:hAnsi="Arial"/>
          <w:shd w:fill="FFFFFF" w:val="clear"/>
        </w:rPr>
        <w:t xml:space="preserve"> </w:t>
      </w:r>
    </w:p>
    <w:p>
      <w:pPr>
        <w:pStyle w:val="Normal"/>
        <w:spacing w:line="240" w:lineRule="auto"/>
        <w:jc w:val="both"/>
        <w:rPr>
          <w:sz w:val="24"/>
        </w:rPr>
      </w:pPr>
      <w:r>
        <w:rPr>
          <w:sz w:val="24"/>
        </w:rPr>
        <w:t>Les offres d’emplois externes ou internes continueront d’être rédigées de manière qu’elles s’adressent indifféremment aux femmes et aux hommes. La totalité des offres d’emploi diffusées doivent préciser que le poste est accessible aussi bien aux hommes qu’aux femmes.</w:t>
      </w:r>
    </w:p>
    <w:p>
      <w:pPr>
        <w:pStyle w:val="Normal"/>
        <w:spacing w:line="240" w:lineRule="auto"/>
        <w:jc w:val="both"/>
        <w:rPr>
          <w:sz w:val="24"/>
        </w:rPr>
      </w:pPr>
      <w:r>
        <w:rPr>
          <w:sz w:val="24"/>
        </w:rPr>
        <w:t>La Société garantira l'égalité d'accès des femmes et des hommes à la formation professionnelle, quel que soit le type de formation, tant pour le développement professionnel de chacun que pour l'adaptation aux évolutions de l'entreprise.</w:t>
      </w:r>
    </w:p>
    <w:p>
      <w:pPr>
        <w:pStyle w:val="Normal"/>
        <w:spacing w:line="240" w:lineRule="auto"/>
        <w:jc w:val="both"/>
        <w:rPr>
          <w:sz w:val="24"/>
        </w:rPr>
      </w:pPr>
      <w:r>
        <w:rPr>
          <w:sz w:val="24"/>
        </w:rPr>
        <w:t>Dans le cas où des écarts en matière d'accès à la formation seraient identifiés par la Société, elle s’engage à mettre en œuvre des mesures correctrices adaptées.</w:t>
      </w:r>
    </w:p>
    <w:p>
      <w:pPr>
        <w:pStyle w:val="Normal"/>
        <w:spacing w:afterAutospacing="1" w:before="0" w:line="240" w:lineRule="auto"/>
        <w:jc w:val="both"/>
        <w:rPr>
          <w:rFonts w:ascii="Calibri" w:cs="Calibri" w:hAnsi="Calibri"/>
          <w:sz w:val="24"/>
          <w:szCs w:val="24"/>
        </w:rPr>
      </w:pPr>
      <w:r>
        <w:rPr>
          <w:rFonts w:cs="Calibri"/>
          <w:sz w:val="24"/>
          <w:szCs w:val="24"/>
        </w:rPr>
        <w:t>La mise en place des parcours de professionnalisation donne à nos collaborateurs des perspectives d’évolution en fonction de leurs compétences, de leur expérience, de leurs souhaits et des opportunités : La Société s’engage à mettre en place des parcours de professionnalisation et/ou plan de développement pour 100% des collaborateurs.</w:t>
      </w:r>
    </w:p>
    <w:p>
      <w:pPr>
        <w:pStyle w:val="Normal"/>
        <w:spacing w:afterAutospacing="1" w:before="0" w:line="240" w:lineRule="auto"/>
        <w:jc w:val="both"/>
        <w:rPr>
          <w:rFonts w:ascii="Calibri" w:cs="Calibri" w:hAnsi="Calibri"/>
          <w:sz w:val="24"/>
          <w:szCs w:val="24"/>
        </w:rPr>
      </w:pPr>
      <w:r>
        <w:rPr>
          <w:rFonts w:cs="Calibri"/>
          <w:sz w:val="24"/>
          <w:szCs w:val="24"/>
        </w:rPr>
      </w:r>
    </w:p>
    <w:p>
      <w:pPr>
        <w:pStyle w:val="Normal"/>
        <w:spacing w:afterAutospacing="1" w:before="0" w:line="240" w:lineRule="auto"/>
        <w:jc w:val="both"/>
        <w:rPr>
          <w:rFonts w:ascii="Calibri" w:cs="Calibri" w:hAnsi="Calibri"/>
          <w:sz w:val="24"/>
          <w:szCs w:val="24"/>
        </w:rPr>
      </w:pPr>
      <w:r>
        <w:rPr>
          <w:rFonts w:cs="Calibri"/>
          <w:sz w:val="24"/>
          <w:szCs w:val="24"/>
        </w:rPr>
        <w:t>SKYEPHARMA s’engage à poursuivre sa politique de non-discrimination.</w:t>
      </w:r>
    </w:p>
    <w:p>
      <w:pPr>
        <w:pStyle w:val="Normal"/>
        <w:spacing w:afterAutospacing="1" w:before="0" w:line="240" w:lineRule="auto"/>
        <w:jc w:val="both"/>
        <w:rPr>
          <w:rFonts w:ascii="Calibri" w:cs="Calibri" w:hAnsi="Calibri"/>
          <w:sz w:val="24"/>
          <w:szCs w:val="24"/>
        </w:rPr>
      </w:pPr>
      <w:r>
        <w:rPr>
          <w:rFonts w:cs="Calibri"/>
          <w:sz w:val="24"/>
          <w:szCs w:val="24"/>
        </w:rPr>
      </w:r>
    </w:p>
    <w:p>
      <w:pPr>
        <w:pStyle w:val="Titre2"/>
        <w:shd w:fill="D9E2F3" w:val="clear"/>
        <w:spacing w:line="240" w:lineRule="auto"/>
        <w:rPr/>
      </w:pPr>
      <w:bookmarkStart w:id="11" w:name="_Toc127534809"/>
      <w:r>
        <w:rPr/>
        <w:t>Article 3 : Les mesures relatives à l’insertion et au maintien dans l’emploi des travailleurs handicapés (conditions d'accès à l'emploi, à la formation et à la promotion professionnelles, et les actions de sensibilisation de l'ensemble du personnel au handicap) :</w:t>
      </w:r>
      <w:bookmarkEnd w:id="11"/>
    </w:p>
    <w:p>
      <w:pPr>
        <w:pStyle w:val="Normal"/>
        <w:spacing w:afterAutospacing="1" w:before="0" w:line="240" w:lineRule="auto"/>
        <w:jc w:val="both"/>
        <w:rPr>
          <w:rFonts w:ascii="Calibri" w:cs="Calibri" w:hAnsi="Calibri"/>
          <w:sz w:val="24"/>
          <w:szCs w:val="24"/>
        </w:rPr>
      </w:pPr>
      <w:r>
        <w:rPr>
          <w:rFonts w:cs="Calibri"/>
          <w:sz w:val="24"/>
          <w:szCs w:val="24"/>
        </w:rPr>
      </w:r>
    </w:p>
    <w:p>
      <w:pPr>
        <w:pStyle w:val="Normal"/>
        <w:spacing w:afterAutospacing="1" w:before="0" w:line="240" w:lineRule="auto"/>
        <w:jc w:val="both"/>
        <w:rPr>
          <w:sz w:val="24"/>
        </w:rPr>
      </w:pPr>
      <w:r>
        <w:rPr>
          <w:sz w:val="24"/>
        </w:rPr>
        <w:t>La société s’engage à développer l’emploi pour les personnes en situation de handicap et à traiter leurs candidatures avec la même impartialité que toute autre candidature. Elle s’engage également à mettre en œuvre toute recherche de reclassement d’un salarié déclaré médicalement inapte à son poste de travail, sauf dispense de recherche de reclassement.</w:t>
      </w:r>
    </w:p>
    <w:p>
      <w:pPr>
        <w:pStyle w:val="Normal"/>
        <w:shd w:color="auto" w:fill="FFFFFF" w:val="clear"/>
        <w:spacing w:afterAutospacing="1" w:beforeAutospacing="1" w:line="240" w:lineRule="auto"/>
        <w:jc w:val="both"/>
        <w:rPr>
          <w:sz w:val="24"/>
        </w:rPr>
      </w:pPr>
      <w:r>
        <w:rPr>
          <w:sz w:val="24"/>
        </w:rPr>
        <w:t>La société pratique également une politique engagée en matière de maintien dans l’emploi des salariés placés en situation de handicap.</w:t>
      </w:r>
    </w:p>
    <w:p>
      <w:pPr>
        <w:pStyle w:val="Normal"/>
        <w:shd w:color="auto" w:fill="FFFFFF" w:val="clear"/>
        <w:spacing w:afterAutospacing="1" w:beforeAutospacing="1" w:line="240" w:lineRule="auto"/>
        <w:jc w:val="both"/>
        <w:rPr>
          <w:sz w:val="24"/>
        </w:rPr>
      </w:pPr>
      <w:r>
        <w:rPr>
          <w:sz w:val="24"/>
        </w:rPr>
        <w:t>La société s’engage à sensibiliser ses équipes et à communiquer auprès des collaborateurs de l’entreprise, en faveur de l’intégration professionnelle des travailleurs handicapés.</w:t>
      </w:r>
    </w:p>
    <w:p>
      <w:pPr>
        <w:pStyle w:val="Normal"/>
        <w:shd w:color="auto" w:fill="FFFFFF" w:val="clear"/>
        <w:spacing w:afterAutospacing="1" w:beforeAutospacing="1" w:line="240" w:lineRule="auto"/>
        <w:jc w:val="both"/>
        <w:rPr>
          <w:sz w:val="24"/>
        </w:rPr>
      </w:pPr>
      <w:r>
        <w:rPr>
          <w:sz w:val="24"/>
        </w:rPr>
        <w:t xml:space="preserve">Elle s’engage également à : </w:t>
      </w:r>
    </w:p>
    <w:p>
      <w:pPr>
        <w:pStyle w:val="ListParagraph"/>
        <w:numPr>
          <w:ilvl w:val="0"/>
          <w:numId w:val="1"/>
        </w:numPr>
        <w:shd w:color="auto" w:fill="FFFFFF" w:val="clear"/>
        <w:spacing w:after="0" w:beforeAutospacing="1" w:line="240" w:lineRule="auto"/>
        <w:contextualSpacing/>
        <w:jc w:val="both"/>
        <w:rPr>
          <w:sz w:val="24"/>
        </w:rPr>
      </w:pPr>
      <w:r>
        <w:rPr>
          <w:sz w:val="24"/>
        </w:rPr>
        <w:t xml:space="preserve">Accroître les relations avec le secteur protégé et adapté, </w:t>
      </w:r>
    </w:p>
    <w:p>
      <w:pPr>
        <w:pStyle w:val="ListParagraph"/>
        <w:numPr>
          <w:ilvl w:val="0"/>
          <w:numId w:val="1"/>
        </w:numPr>
        <w:shd w:color="auto" w:fill="FFFFFF" w:val="clear"/>
        <w:spacing w:after="0" w:before="0" w:line="240" w:lineRule="auto"/>
        <w:contextualSpacing/>
        <w:jc w:val="both"/>
        <w:rPr>
          <w:sz w:val="24"/>
        </w:rPr>
      </w:pPr>
      <w:r>
        <w:rPr>
          <w:sz w:val="24"/>
        </w:rPr>
        <w:t xml:space="preserve">Accroître les achats responsables, </w:t>
      </w:r>
    </w:p>
    <w:p>
      <w:pPr>
        <w:pStyle w:val="ListParagraph"/>
        <w:numPr>
          <w:ilvl w:val="0"/>
          <w:numId w:val="1"/>
        </w:numPr>
        <w:shd w:color="auto" w:fill="FFFFFF" w:val="clear"/>
        <w:spacing w:afterAutospacing="1" w:before="0" w:line="240" w:lineRule="auto"/>
        <w:contextualSpacing/>
        <w:jc w:val="both"/>
        <w:rPr>
          <w:sz w:val="24"/>
        </w:rPr>
      </w:pPr>
      <w:r>
        <w:rPr>
          <w:sz w:val="24"/>
        </w:rPr>
        <w:t xml:space="preserve">Développer des partenariats et à accompagner la mise en œuvre d’actions en faveur des travailleurs handicapés.  </w:t>
      </w:r>
    </w:p>
    <w:p>
      <w:pPr>
        <w:pStyle w:val="Titre2"/>
        <w:shd w:fill="D9E2F3" w:val="clear"/>
        <w:spacing w:line="240" w:lineRule="auto"/>
        <w:jc w:val="both"/>
        <w:rPr/>
      </w:pPr>
      <w:bookmarkStart w:id="12" w:name="_Toc127534810"/>
      <w:r>
        <w:rPr/>
        <w:t>Article 4 : Les modalités de définition d'un régime de prévoyance et d'un régime de remboursements complémentaires de frais de santé (mutuelle)</w:t>
      </w:r>
      <w:bookmarkEnd w:id="12"/>
    </w:p>
    <w:p>
      <w:pPr>
        <w:pStyle w:val="Normal"/>
        <w:shd w:color="auto" w:fill="FFFFFF" w:val="clear"/>
        <w:spacing w:afterAutospacing="1" w:beforeAutospacing="1" w:line="240" w:lineRule="auto"/>
        <w:jc w:val="both"/>
        <w:rPr>
          <w:sz w:val="24"/>
        </w:rPr>
      </w:pPr>
      <w:r>
        <w:rPr>
          <w:sz w:val="24"/>
        </w:rPr>
        <w:t>Les parties constatent qu’un régime collectif de prévoyance complémentaire « incapacité-invalidité-décès » d’entreprise pour ses salariés est en place. La société prend en charge 65% du montant de la cotisation de prévoyance complémentaire.</w:t>
      </w:r>
    </w:p>
    <w:p>
      <w:pPr>
        <w:pStyle w:val="Normal"/>
        <w:shd w:color="auto" w:fill="FFFFFF" w:val="clear"/>
        <w:spacing w:afterAutospacing="1" w:beforeAutospacing="1" w:line="240" w:lineRule="auto"/>
        <w:jc w:val="both"/>
        <w:rPr>
          <w:sz w:val="24"/>
        </w:rPr>
      </w:pPr>
      <w:r>
        <w:rPr>
          <w:sz w:val="24"/>
        </w:rPr>
        <w:t>Un accord sur la Mutuelle - Frais de Santé a été signé le 20 mars 2017, avec une prise en charge de l’employeur à 67,4%.</w:t>
      </w:r>
    </w:p>
    <w:p>
      <w:pPr>
        <w:pStyle w:val="Normal"/>
        <w:shd w:color="auto" w:fill="FFFFFF" w:val="clear"/>
        <w:spacing w:afterAutospacing="1" w:beforeAutospacing="1" w:line="240" w:lineRule="auto"/>
        <w:jc w:val="both"/>
        <w:rPr>
          <w:sz w:val="24"/>
        </w:rPr>
      </w:pPr>
      <w:r>
        <w:rPr>
          <w:sz w:val="24"/>
        </w:rPr>
        <w:t xml:space="preserve"> </w:t>
      </w:r>
      <w:r>
        <w:rPr>
          <w:sz w:val="24"/>
        </w:rPr>
        <w:t>Les parties s’accordent pour maintenir la situation sur 2023.</w:t>
      </w:r>
    </w:p>
    <w:p>
      <w:pPr>
        <w:pStyle w:val="Normal"/>
        <w:shd w:color="auto" w:fill="FFFFFF" w:val="clear"/>
        <w:spacing w:afterAutospacing="1" w:beforeAutospacing="1" w:line="240" w:lineRule="auto"/>
        <w:jc w:val="both"/>
        <w:rPr>
          <w:sz w:val="24"/>
        </w:rPr>
      </w:pPr>
      <w:r>
        <w:rPr>
          <w:sz w:val="24"/>
        </w:rPr>
      </w:r>
    </w:p>
    <w:p>
      <w:pPr>
        <w:pStyle w:val="Titre2"/>
        <w:shd w:fill="D9E2F3" w:val="clear"/>
        <w:spacing w:line="240" w:lineRule="auto"/>
        <w:rPr/>
      </w:pPr>
      <w:bookmarkStart w:id="13" w:name="_Toc127534811"/>
      <w:r>
        <w:rPr/>
        <w:t>Article 5 : L'exercice du droit d'expression directe et collective des salariés notamment au moyen des outils numériques disponibles dans l’entreprise</w:t>
      </w:r>
      <w:bookmarkEnd w:id="13"/>
      <w:r>
        <w:rPr/>
        <w:t xml:space="preserve"> </w:t>
      </w:r>
    </w:p>
    <w:p>
      <w:pPr>
        <w:pStyle w:val="Normal"/>
        <w:shd w:color="auto" w:fill="FFFFFF" w:val="clear"/>
        <w:spacing w:afterAutospacing="1" w:beforeAutospacing="1" w:line="240" w:lineRule="auto"/>
        <w:jc w:val="both"/>
        <w:rPr>
          <w:sz w:val="24"/>
        </w:rPr>
      </w:pPr>
      <w:r>
        <w:rPr>
          <w:sz w:val="24"/>
        </w:rPr>
        <w:t xml:space="preserve">Conformément aux articles L.2281-1 et suivants du Code du Travail, chaque salarié bénéficie du droit d'avoir une expression directe, individuelle et collective, sur le contenu, les conditions d'exercice et l'organisation de son travail. </w:t>
      </w:r>
    </w:p>
    <w:p>
      <w:pPr>
        <w:pStyle w:val="Normal"/>
        <w:shd w:color="auto" w:fill="FFFFFF" w:val="clear"/>
        <w:spacing w:afterAutospacing="1" w:beforeAutospacing="1" w:line="240" w:lineRule="auto"/>
        <w:jc w:val="both"/>
        <w:rPr>
          <w:sz w:val="24"/>
        </w:rPr>
      </w:pPr>
      <w:r>
        <w:rPr>
          <w:sz w:val="24"/>
        </w:rPr>
        <w:t>La Société a mis en place un tableau des gouvernances du site, en 2020, afin de permettre aux salariés de savoir quelles sont les réunions des gouvernances du site, la date et le lieu où elles se déroulent pour pouvoir y participer s’ils le souhaitent.</w:t>
      </w:r>
    </w:p>
    <w:p>
      <w:pPr>
        <w:pStyle w:val="Normal"/>
        <w:spacing w:line="240" w:lineRule="auto"/>
        <w:jc w:val="both"/>
        <w:rPr>
          <w:sz w:val="24"/>
        </w:rPr>
      </w:pPr>
      <w:r>
        <w:rPr>
          <w:sz w:val="24"/>
        </w:rPr>
        <w:t>La Direction s’engage et encourage les managers à rester accessibles à leurs collaborateurs.</w:t>
      </w:r>
    </w:p>
    <w:p>
      <w:pPr>
        <w:pStyle w:val="Normal"/>
        <w:spacing w:line="240" w:lineRule="auto"/>
        <w:jc w:val="both"/>
        <w:rPr>
          <w:sz w:val="24"/>
        </w:rPr>
      </w:pPr>
      <w:r>
        <w:rPr>
          <w:sz w:val="24"/>
        </w:rPr>
      </w:r>
    </w:p>
    <w:p>
      <w:pPr>
        <w:pStyle w:val="Titre2"/>
        <w:shd w:fill="D9E2F3" w:val="clear"/>
        <w:spacing w:line="240" w:lineRule="auto"/>
        <w:jc w:val="both"/>
        <w:rPr>
          <w:sz w:val="24"/>
        </w:rPr>
      </w:pPr>
      <w:bookmarkStart w:id="14" w:name="_Toc127534812"/>
      <w:r>
        <w:rPr/>
        <w:t>Article 6 : droit à la déconnexion des salariés</w:t>
      </w:r>
      <w:bookmarkEnd w:id="14"/>
      <w:r>
        <w:rPr/>
        <w:t xml:space="preserve"> </w:t>
      </w:r>
    </w:p>
    <w:p>
      <w:pPr>
        <w:pStyle w:val="Normal"/>
        <w:shd w:color="auto" w:fill="FFFFFF" w:val="clear"/>
        <w:spacing w:afterAutospacing="1" w:beforeAutospacing="1" w:line="240" w:lineRule="auto"/>
        <w:jc w:val="both"/>
        <w:rPr>
          <w:sz w:val="24"/>
          <w:szCs w:val="24"/>
        </w:rPr>
      </w:pPr>
      <w:r>
        <w:rPr>
          <w:sz w:val="24"/>
          <w:szCs w:val="24"/>
        </w:rPr>
        <w:t>Les parties constatent qu’une charte en faveur du bon usage des outils numériques incluant l’exercice du droit à la déconnexion a été mis en place le 28 mars 2018. Les parties considèrent que cette charte est suffisante et ne voient pas la nécessité de la modifier par accord.</w:t>
      </w:r>
    </w:p>
    <w:p>
      <w:pPr>
        <w:pStyle w:val="Titre2"/>
        <w:shd w:fill="D9E2F3" w:val="clear"/>
        <w:spacing w:line="240" w:lineRule="auto"/>
        <w:rPr/>
      </w:pPr>
      <w:bookmarkStart w:id="15" w:name="_Toc127534813"/>
      <w:r>
        <w:rPr/>
        <w:t>Article 7 : mesures visant à améliorer la mobilité des salariés entre leur lieu de résidence habituelle et leur lieu de travail :</w:t>
      </w:r>
      <w:bookmarkEnd w:id="15"/>
    </w:p>
    <w:p>
      <w:pPr>
        <w:pStyle w:val="Normal"/>
        <w:shd w:color="auto" w:fill="FFFFFF" w:val="clear"/>
        <w:spacing w:afterAutospacing="1" w:beforeAutospacing="1" w:line="240" w:lineRule="auto"/>
        <w:jc w:val="both"/>
        <w:rPr>
          <w:sz w:val="24"/>
        </w:rPr>
      </w:pPr>
      <w:r>
        <w:rPr>
          <w:sz w:val="24"/>
        </w:rPr>
        <w:t>Les parties constatent qu’une indemnité de transport est en vigueur sur le site. Elle sera maintenue pour l’année 2023, selon les dispositions de l’article 2.4 du présent accord.</w:t>
      </w:r>
    </w:p>
    <w:p>
      <w:pPr>
        <w:pStyle w:val="Normal"/>
        <w:shd w:color="auto" w:fill="FFFFFF" w:val="clear"/>
        <w:spacing w:afterAutospacing="1" w:beforeAutospacing="1" w:line="240" w:lineRule="auto"/>
        <w:jc w:val="both"/>
        <w:rPr>
          <w:sz w:val="24"/>
        </w:rPr>
      </w:pPr>
      <w:r>
        <w:rPr>
          <w:sz w:val="24"/>
        </w:rPr>
      </w:r>
    </w:p>
    <w:p>
      <w:pPr>
        <w:pStyle w:val="Titre2"/>
        <w:shd w:fill="D9E2F3" w:val="clear"/>
        <w:spacing w:line="240" w:lineRule="auto"/>
        <w:rPr/>
      </w:pPr>
      <w:bookmarkStart w:id="16" w:name="_Toc127534814"/>
      <w:r>
        <w:rPr/>
        <w:t>Article 8 : mesures visant à améliorer EGALITE HOMME/FEMME :</w:t>
      </w:r>
      <w:bookmarkEnd w:id="16"/>
    </w:p>
    <w:p>
      <w:pPr>
        <w:pStyle w:val="Normal"/>
        <w:shd w:color="auto" w:fill="FFFFFF" w:val="clear"/>
        <w:spacing w:afterAutospacing="1" w:beforeAutospacing="1" w:line="240" w:lineRule="auto"/>
        <w:jc w:val="both"/>
        <w:rPr>
          <w:sz w:val="24"/>
        </w:rPr>
      </w:pPr>
      <w:r>
        <w:rPr>
          <w:sz w:val="24"/>
        </w:rPr>
        <w:t>Les parties s’accordent à être vigilant quant à l’indice qui est actuellement à 76/100.</w:t>
      </w:r>
    </w:p>
    <w:p>
      <w:pPr>
        <w:pStyle w:val="Normal"/>
        <w:shd w:color="auto" w:fill="FFFFFF" w:val="clear"/>
        <w:spacing w:afterAutospacing="1" w:beforeAutospacing="1" w:line="240" w:lineRule="auto"/>
        <w:jc w:val="both"/>
        <w:rPr>
          <w:sz w:val="24"/>
        </w:rPr>
      </w:pPr>
      <w:r>
        <w:rPr>
          <w:sz w:val="24"/>
        </w:rPr>
      </w:r>
    </w:p>
    <w:p>
      <w:pPr>
        <w:pStyle w:val="Normal"/>
        <w:spacing w:after="160" w:before="0" w:line="259" w:lineRule="auto"/>
        <w:rPr>
          <w:sz w:val="24"/>
        </w:rPr>
      </w:pPr>
      <w:r>
        <w:rPr>
          <w:sz w:val="24"/>
        </w:rPr>
      </w:r>
      <w:r>
        <w:br w:type="page"/>
      </w:r>
    </w:p>
    <w:p>
      <w:pPr>
        <w:pStyle w:val="Normal"/>
        <w:shd w:color="auto" w:fill="FFFFFF" w:val="clear"/>
        <w:spacing w:afterAutospacing="1" w:beforeAutospacing="1" w:line="240" w:lineRule="auto"/>
        <w:jc w:val="both"/>
        <w:rPr>
          <w:sz w:val="24"/>
        </w:rPr>
      </w:pPr>
      <w:r>
        <w:rPr>
          <w:sz w:val="24"/>
        </w:rPr>
      </w:r>
    </w:p>
    <w:p>
      <w:pPr>
        <w:pStyle w:val="Titre1"/>
        <w:shd w:fill="4472C4" w:val="clear"/>
        <w:spacing w:line="240" w:lineRule="auto"/>
        <w:jc w:val="both"/>
        <w:rPr>
          <w:color w:val="auto"/>
        </w:rPr>
      </w:pPr>
      <w:bookmarkStart w:id="17" w:name="_Toc127534815"/>
      <w:r>
        <w:rPr>
          <w:color w:val="auto"/>
        </w:rPr>
        <w:t>Engagement réciproque de bonne foi</w:t>
      </w:r>
      <w:bookmarkEnd w:id="17"/>
    </w:p>
    <w:p>
      <w:pPr>
        <w:pStyle w:val="Normal"/>
        <w:shd w:color="auto" w:fill="FFFFFF" w:val="clear"/>
        <w:spacing w:afterAutospacing="1" w:beforeAutospacing="1" w:line="240" w:lineRule="auto"/>
        <w:jc w:val="both"/>
        <w:rPr>
          <w:sz w:val="24"/>
        </w:rPr>
      </w:pPr>
      <w:r>
        <w:rPr>
          <w:sz w:val="24"/>
        </w:rPr>
        <w:t>Les Parties s’engagent à respecter le présent accord et à l’appliquer de bonne foi.</w:t>
      </w:r>
    </w:p>
    <w:p>
      <w:pPr>
        <w:pStyle w:val="Normal"/>
        <w:spacing w:line="240" w:lineRule="auto"/>
        <w:jc w:val="both"/>
        <w:rPr>
          <w:sz w:val="24"/>
        </w:rPr>
      </w:pPr>
      <w:r>
        <w:rPr>
          <w:sz w:val="24"/>
        </w:rPr>
        <w:t xml:space="preserve">En cas de difficulté d'interprétation ou d'application du présent accord, les Parties signataires conviennent de se rencontrer à la demande de l’une d'entre elles. </w:t>
      </w:r>
    </w:p>
    <w:p>
      <w:pPr>
        <w:pStyle w:val="Normal"/>
        <w:spacing w:line="240" w:lineRule="auto"/>
        <w:jc w:val="both"/>
        <w:rPr>
          <w:sz w:val="24"/>
        </w:rPr>
      </w:pPr>
      <w:r>
        <w:rPr>
          <w:sz w:val="24"/>
        </w:rPr>
        <w:t>Cette demande devra être formulée par courrier et les parties devront se réunir dans les huit jours ouvrés suivants la réception de ce courrier afin de tenter de régler cette difficulté.</w:t>
      </w:r>
    </w:p>
    <w:p>
      <w:pPr>
        <w:pStyle w:val="Normal"/>
        <w:spacing w:line="240" w:lineRule="auto"/>
        <w:jc w:val="both"/>
        <w:rPr>
          <w:sz w:val="24"/>
        </w:rPr>
      </w:pPr>
      <w:r>
        <w:rPr>
          <w:sz w:val="24"/>
        </w:rPr>
        <w:t>La demande de réunion devra présenter les motifs du différend. La position retenue en fin de réunion fera l'objet d'un procès-verbal. Le document sera remis à chacune des Parties signataires et à la DREETS (Directions régionales de l’économie, de l’emploi, du travail et des solidarités) désignée compétente pour la procédure.</w:t>
      </w:r>
    </w:p>
    <w:p>
      <w:pPr>
        <w:pStyle w:val="Normal"/>
        <w:spacing w:line="240" w:lineRule="auto"/>
        <w:jc w:val="both"/>
        <w:rPr>
          <w:sz w:val="24"/>
        </w:rPr>
      </w:pPr>
      <w:r>
        <w:rPr>
          <w:sz w:val="24"/>
        </w:rPr>
        <w:t>Jusqu'à l'expiration de cette procédure amiable, les Parties signataires renoncent à toute forme d'action contentieuse liée au différend d'interprétation ou d’application du présent accord.</w:t>
      </w:r>
    </w:p>
    <w:p>
      <w:pPr>
        <w:pStyle w:val="Normal"/>
        <w:spacing w:line="240" w:lineRule="auto"/>
        <w:jc w:val="both"/>
        <w:rPr>
          <w:sz w:val="24"/>
        </w:rPr>
      </w:pPr>
      <w:r>
        <w:rPr>
          <w:sz w:val="24"/>
        </w:rPr>
      </w:r>
    </w:p>
    <w:p>
      <w:pPr>
        <w:pStyle w:val="Titre1"/>
        <w:shd w:fill="4472C4" w:val="clear"/>
        <w:spacing w:line="240" w:lineRule="auto"/>
        <w:jc w:val="both"/>
        <w:rPr>
          <w:color w:val="auto"/>
        </w:rPr>
      </w:pPr>
      <w:bookmarkStart w:id="18" w:name="_Toc127534816"/>
      <w:r>
        <w:rPr>
          <w:color w:val="auto"/>
        </w:rPr>
        <w:t>Durée de l’accord</w:t>
      </w:r>
      <w:bookmarkEnd w:id="18"/>
    </w:p>
    <w:p>
      <w:pPr>
        <w:pStyle w:val="Normal"/>
        <w:shd w:color="auto" w:fill="FFFFFF" w:val="clear"/>
        <w:spacing w:afterAutospacing="1" w:beforeAutospacing="1" w:line="240" w:lineRule="auto"/>
        <w:jc w:val="both"/>
        <w:rPr>
          <w:sz w:val="24"/>
        </w:rPr>
      </w:pPr>
      <w:r>
        <w:rPr>
          <w:sz w:val="24"/>
        </w:rPr>
        <w:t>Le présent accord est valable et entre en vigueur dès le lendemain du dépôt.</w:t>
      </w:r>
    </w:p>
    <w:p>
      <w:pPr>
        <w:pStyle w:val="Normal"/>
        <w:spacing w:line="240" w:lineRule="auto"/>
        <w:jc w:val="both"/>
        <w:rPr>
          <w:sz w:val="24"/>
        </w:rPr>
      </w:pPr>
      <w:r>
        <w:rPr>
          <w:sz w:val="24"/>
        </w:rPr>
        <w:t>Le présent accord est conclu pour une durée déterminée d’une année.</w:t>
      </w:r>
    </w:p>
    <w:p>
      <w:pPr>
        <w:pStyle w:val="Normal"/>
        <w:spacing w:line="240" w:lineRule="auto"/>
        <w:jc w:val="both"/>
        <w:rPr>
          <w:sz w:val="24"/>
        </w:rPr>
      </w:pPr>
      <w:r>
        <w:rPr>
          <w:sz w:val="24"/>
        </w:rPr>
      </w:r>
    </w:p>
    <w:p>
      <w:pPr>
        <w:pStyle w:val="Titre1"/>
        <w:shd w:fill="4472C4" w:val="clear"/>
        <w:spacing w:line="240" w:lineRule="auto"/>
        <w:jc w:val="both"/>
        <w:rPr>
          <w:color w:val="auto"/>
        </w:rPr>
      </w:pPr>
      <w:bookmarkStart w:id="19" w:name="_Toc127534817"/>
      <w:r>
        <w:rPr>
          <w:color w:val="auto"/>
        </w:rPr>
        <w:t>Suivi de l’accord</w:t>
      </w:r>
      <w:bookmarkEnd w:id="19"/>
    </w:p>
    <w:p>
      <w:pPr>
        <w:pStyle w:val="Normal"/>
        <w:shd w:color="auto" w:fill="FFFFFF" w:val="clear"/>
        <w:spacing w:afterAutospacing="1" w:beforeAutospacing="1" w:line="240" w:lineRule="auto"/>
        <w:jc w:val="both"/>
        <w:rPr>
          <w:sz w:val="24"/>
        </w:rPr>
      </w:pPr>
      <w:r>
        <w:rPr>
          <w:sz w:val="24"/>
        </w:rPr>
        <w:t>Un suivi de l’accord sera réalisé, à l’initiative de l’entreprise, lundi 04 septembre 2023. A cette occasion, la direction fera notamment un bilan des éventuelles difficultés d’application ou d’interprétation rencontrées dans sa mise en œuvre. Une réunion pourra être organisée à la demande d’une partie si elle estime nécessaire de faire évoluer certaines des dispositions du présent accord.</w:t>
      </w:r>
    </w:p>
    <w:p>
      <w:pPr>
        <w:pStyle w:val="Normal"/>
        <w:shd w:color="auto" w:fill="FFFFFF" w:val="clear"/>
        <w:spacing w:afterAutospacing="1" w:beforeAutospacing="1" w:line="240" w:lineRule="auto"/>
        <w:jc w:val="both"/>
        <w:rPr>
          <w:sz w:val="24"/>
        </w:rPr>
      </w:pPr>
      <w:r>
        <w:rPr>
          <w:sz w:val="24"/>
        </w:rPr>
      </w:r>
    </w:p>
    <w:p>
      <w:pPr>
        <w:pStyle w:val="Titre1"/>
        <w:shd w:fill="4472C4" w:val="clear"/>
        <w:spacing w:line="240" w:lineRule="auto"/>
        <w:jc w:val="both"/>
        <w:rPr>
          <w:color w:val="auto"/>
        </w:rPr>
      </w:pPr>
      <w:bookmarkStart w:id="20" w:name="_Toc127534818"/>
      <w:r>
        <w:rPr>
          <w:color w:val="auto"/>
        </w:rPr>
        <w:t>Dénonciation - Révision</w:t>
      </w:r>
      <w:bookmarkEnd w:id="20"/>
      <w:r>
        <w:rPr>
          <w:color w:val="auto"/>
        </w:rPr>
        <w:t xml:space="preserve"> </w:t>
      </w:r>
    </w:p>
    <w:p>
      <w:pPr>
        <w:pStyle w:val="Normal"/>
        <w:shd w:color="auto" w:fill="FFFFFF" w:val="clear"/>
        <w:spacing w:afterAutospacing="1" w:beforeAutospacing="1" w:line="240" w:lineRule="auto"/>
        <w:jc w:val="both"/>
        <w:rPr>
          <w:sz w:val="24"/>
        </w:rPr>
      </w:pPr>
      <w:r>
        <w:rPr>
          <w:sz w:val="24"/>
        </w:rPr>
        <w:t>Le présent accord pourra être révisé, à tout moment, par les parties signataires en respectant un délai de préavis de 3 mois. Elle se fera dans les conditions prévues par les articles L2261-9 à L.2261-11 du Code du travail.</w:t>
      </w:r>
    </w:p>
    <w:p>
      <w:pPr>
        <w:pStyle w:val="Normal"/>
        <w:spacing w:line="240" w:lineRule="auto"/>
        <w:jc w:val="both"/>
        <w:rPr>
          <w:sz w:val="24"/>
        </w:rPr>
      </w:pPr>
      <w:r>
        <w:rPr>
          <w:sz w:val="24"/>
        </w:rPr>
        <w:t>Dans une telle hypothèse, la dénonciation devra faire l’objet des mêmes formalités de publicité et de dépôt que celles accomplies lors de la signature du présent accord.</w:t>
      </w:r>
    </w:p>
    <w:p>
      <w:pPr>
        <w:pStyle w:val="Normal"/>
        <w:spacing w:line="240" w:lineRule="auto"/>
        <w:jc w:val="both"/>
        <w:rPr>
          <w:sz w:val="24"/>
        </w:rPr>
      </w:pPr>
      <w:r>
        <w:rPr>
          <w:sz w:val="24"/>
        </w:rPr>
        <w:t>Durant sa période d’application, les dispositions du présent accord pourront également être révisées par les parties selon les modalités prévues par les articles L.2261-7 et suivants du Code du travail, la demande de révision devant être portée à la connaissance des autres parties moyennant un délai de prévenance de 8 jours calendaires.</w:t>
      </w:r>
    </w:p>
    <w:p>
      <w:pPr>
        <w:pStyle w:val="Normal"/>
        <w:spacing w:line="240" w:lineRule="auto"/>
        <w:jc w:val="both"/>
        <w:rPr>
          <w:sz w:val="24"/>
        </w:rPr>
      </w:pPr>
      <w:r>
        <w:rPr>
          <w:sz w:val="24"/>
        </w:rPr>
        <w:t>Toute modification fera l'objet d'un avenant dans les conditions et délais prévus par la loi.</w:t>
      </w:r>
    </w:p>
    <w:p>
      <w:pPr>
        <w:pStyle w:val="Normal"/>
        <w:spacing w:line="240" w:lineRule="auto"/>
        <w:jc w:val="both"/>
        <w:rPr>
          <w:sz w:val="24"/>
        </w:rPr>
      </w:pPr>
      <w:r>
        <w:rPr>
          <w:sz w:val="24"/>
        </w:rPr>
        <w:t>Cet avenant donnera lieu aux mêmes formalités de publicité et de dépôt que celles accomplies lors de la signature du présent accord.</w:t>
      </w:r>
    </w:p>
    <w:p>
      <w:pPr>
        <w:pStyle w:val="Normal"/>
        <w:spacing w:line="240" w:lineRule="auto"/>
        <w:jc w:val="both"/>
        <w:rPr>
          <w:sz w:val="24"/>
        </w:rPr>
      </w:pPr>
      <w:r>
        <w:rPr>
          <w:sz w:val="24"/>
        </w:rPr>
      </w:r>
    </w:p>
    <w:p>
      <w:pPr>
        <w:pStyle w:val="Titre1"/>
        <w:shd w:fill="4472C4" w:val="clear"/>
        <w:spacing w:line="240" w:lineRule="auto"/>
        <w:jc w:val="both"/>
        <w:rPr>
          <w:color w:val="auto"/>
        </w:rPr>
      </w:pPr>
      <w:bookmarkStart w:id="21" w:name="_Toc127534819"/>
      <w:bookmarkStart w:id="22" w:name="_Toc472949410"/>
      <w:r>
        <w:rPr>
          <w:color w:val="auto"/>
        </w:rPr>
        <w:t>Dépôt et publicité</w:t>
      </w:r>
      <w:bookmarkEnd w:id="21"/>
      <w:bookmarkEnd w:id="22"/>
    </w:p>
    <w:p>
      <w:pPr>
        <w:pStyle w:val="Normal"/>
        <w:shd w:color="auto" w:fill="FFFFFF" w:val="clear"/>
        <w:spacing w:afterAutospacing="1" w:beforeAutospacing="1" w:line="240" w:lineRule="auto"/>
        <w:jc w:val="both"/>
        <w:rPr>
          <w:sz w:val="24"/>
        </w:rPr>
      </w:pPr>
      <w:r>
        <w:rPr>
          <w:sz w:val="24"/>
        </w:rPr>
        <w:t>Le présent accord sera notifié à l’ensemble des organisations syndicales représentatives et déposé auprès des services compétents, conformément aux dispositions des articles L.2231-5 et suivants et R.2231-2 et suivants du Code du travail.</w:t>
      </w:r>
    </w:p>
    <w:p>
      <w:pPr>
        <w:pStyle w:val="Normal"/>
        <w:spacing w:line="240" w:lineRule="auto"/>
        <w:jc w:val="both"/>
        <w:rPr>
          <w:sz w:val="24"/>
        </w:rPr>
      </w:pPr>
      <w:r>
        <w:rPr>
          <w:sz w:val="24"/>
        </w:rPr>
        <w:t>Le présent protocole d’accord sera déposé :</w:t>
      </w:r>
    </w:p>
    <w:p>
      <w:pPr>
        <w:pStyle w:val="ListParagraph"/>
        <w:numPr>
          <w:ilvl w:val="0"/>
          <w:numId w:val="1"/>
        </w:numPr>
        <w:spacing w:line="240" w:lineRule="auto"/>
        <w:jc w:val="both"/>
        <w:rPr>
          <w:sz w:val="24"/>
        </w:rPr>
      </w:pPr>
      <w:r>
        <w:rPr>
          <w:sz w:val="24"/>
        </w:rPr>
        <w:t xml:space="preserve">En version numérique sur la plateforme du ministère du travail </w:t>
      </w:r>
      <w:hyperlink r:id="rId4">
        <w:r>
          <w:rPr>
            <w:rStyle w:val="LienInternet"/>
            <w:color w:val="auto"/>
            <w:sz w:val="24"/>
          </w:rPr>
          <w:t>www.teleaccords.travail-emploi.gouv.fr</w:t>
        </w:r>
      </w:hyperlink>
      <w:r>
        <w:rPr>
          <w:sz w:val="24"/>
        </w:rPr>
        <w:t xml:space="preserve"> . Ce dépôt sur la plateforme vaut dépôt auprès de la DREETS et donne lieu à un récépissé de dépôt.</w:t>
      </w:r>
    </w:p>
    <w:p>
      <w:pPr>
        <w:pStyle w:val="ListParagraph"/>
        <w:numPr>
          <w:ilvl w:val="0"/>
          <w:numId w:val="1"/>
        </w:numPr>
        <w:spacing w:line="240" w:lineRule="auto"/>
        <w:jc w:val="both"/>
        <w:rPr>
          <w:sz w:val="24"/>
        </w:rPr>
      </w:pPr>
      <w:r>
        <w:rPr>
          <w:sz w:val="24"/>
        </w:rPr>
        <w:t>En un exemplaire original signé des parties au greffe du Conseil de Prud’hommes de Vienne ;</w:t>
      </w:r>
    </w:p>
    <w:p>
      <w:pPr>
        <w:pStyle w:val="Normal"/>
        <w:spacing w:line="240" w:lineRule="auto"/>
        <w:jc w:val="both"/>
        <w:rPr>
          <w:sz w:val="24"/>
        </w:rPr>
      </w:pPr>
      <w:r>
        <w:rPr>
          <w:sz w:val="24"/>
        </w:rPr>
        <w:t>Le dépôt de l’accord à la DREETS sera accompagné des pièces suivantes :</w:t>
      </w:r>
    </w:p>
    <w:p>
      <w:pPr>
        <w:pStyle w:val="Normal"/>
        <w:spacing w:line="240" w:lineRule="auto"/>
        <w:jc w:val="both"/>
        <w:rPr>
          <w:sz w:val="24"/>
        </w:rPr>
      </w:pPr>
      <w:r>
        <w:rPr>
          <w:sz w:val="24"/>
        </w:rPr>
        <w:t>-</w:t>
        <w:tab/>
        <w:t>La copie du PV des résultats du 1er tour des dernières élections professionnelles</w:t>
      </w:r>
    </w:p>
    <w:p>
      <w:pPr>
        <w:pStyle w:val="Normal"/>
        <w:spacing w:line="240" w:lineRule="auto"/>
        <w:jc w:val="both"/>
        <w:rPr>
          <w:sz w:val="24"/>
        </w:rPr>
      </w:pPr>
      <w:r>
        <w:rPr>
          <w:sz w:val="24"/>
        </w:rPr>
        <w:t>-</w:t>
        <w:tab/>
        <w:t>Un bordereau de dépôt</w:t>
      </w:r>
    </w:p>
    <w:p>
      <w:pPr>
        <w:pStyle w:val="Normal"/>
        <w:spacing w:line="240" w:lineRule="auto"/>
        <w:jc w:val="both"/>
        <w:rPr>
          <w:sz w:val="24"/>
        </w:rPr>
      </w:pPr>
      <w:r>
        <w:rPr>
          <w:sz w:val="24"/>
        </w:rPr>
        <w:t xml:space="preserve">Conformément à l’article L. 2231-5-1 du Code du travail, le présent accord sera rendu public et versé dans une base de données nationale. </w:t>
      </w:r>
    </w:p>
    <w:p>
      <w:pPr>
        <w:pStyle w:val="Normal"/>
        <w:spacing w:line="240" w:lineRule="auto"/>
        <w:jc w:val="both"/>
        <w:rPr>
          <w:sz w:val="24"/>
        </w:rPr>
      </w:pPr>
      <w:r>
        <w:rPr>
          <w:sz w:val="24"/>
        </w:rPr>
        <w:t xml:space="preserve">Ce procès-verbal sera affiché sur le tableau d’affichage de la Direction et une copie sera remise aux représentants du personnel. </w:t>
      </w:r>
    </w:p>
    <w:p>
      <w:pPr>
        <w:pStyle w:val="Normal"/>
        <w:spacing w:line="240" w:lineRule="auto"/>
        <w:jc w:val="both"/>
        <w:rPr>
          <w:sz w:val="24"/>
        </w:rPr>
      </w:pPr>
      <w:r>
        <w:rPr>
          <w:sz w:val="24"/>
        </w:rPr>
        <w:t>En outre, un exemplaire sera établi pour chaque partie signataire.</w:t>
      </w:r>
    </w:p>
    <w:p>
      <w:pPr>
        <w:pStyle w:val="Normal"/>
        <w:spacing w:line="240" w:lineRule="auto"/>
        <w:jc w:val="both"/>
        <w:rPr>
          <w:sz w:val="24"/>
        </w:rPr>
      </w:pPr>
      <w:r>
        <w:rPr>
          <w:sz w:val="24"/>
        </w:rPr>
      </w:r>
    </w:p>
    <w:p>
      <w:pPr>
        <w:pStyle w:val="Normal"/>
        <w:spacing w:line="240" w:lineRule="auto"/>
        <w:jc w:val="both"/>
        <w:rPr>
          <w:sz w:val="24"/>
        </w:rPr>
      </w:pPr>
      <w:r>
        <w:rPr>
          <w:sz w:val="24"/>
        </w:rPr>
        <w:t>Fait à Saint Quentin-Fallavier</w:t>
      </w:r>
    </w:p>
    <w:p>
      <w:pPr>
        <w:pStyle w:val="Normal"/>
        <w:spacing w:line="240" w:lineRule="auto"/>
        <w:jc w:val="both"/>
        <w:rPr>
          <w:sz w:val="24"/>
        </w:rPr>
      </w:pPr>
      <w:r>
        <w:rPr>
          <w:sz w:val="24"/>
        </w:rPr>
        <w:t>Le 17 février 2023</w:t>
      </w:r>
    </w:p>
    <w:tbl>
      <w:tblPr>
        <w:tblStyle w:val="Grilledutableau"/>
        <w:tblW w:type="dxa" w:w="9072"/>
        <w:jc w:val="center"/>
        <w:tblInd w:type="dxa" w:w="0"/>
        <w:tblLayout w:type="fixed"/>
        <w:tblCellMar>
          <w:top w:type="dxa" w:w="0"/>
          <w:left w:type="dxa" w:w="108"/>
          <w:bottom w:type="dxa" w:w="0"/>
          <w:right w:type="dxa" w:w="108"/>
        </w:tblCellMar>
        <w:tblLook w:firstColumn="1" w:firstRow="1" w:lastColumn="0" w:lastRow="0" w:noHBand="0" w:noVBand="1" w:val="04a0"/>
      </w:tblPr>
      <w:tblGrid>
        <w:gridCol w:w="4538"/>
        <w:gridCol w:w="4533"/>
      </w:tblGrid>
      <w:tr>
        <w:trPr/>
        <w:tc>
          <w:tcPr>
            <w:tcW w:type="dxa" w:w="4538"/>
            <w:tcBorders>
              <w:top w:val="nil"/>
              <w:left w:val="nil"/>
              <w:bottom w:val="nil"/>
              <w:right w:val="nil"/>
            </w:tcBorders>
          </w:tcPr>
          <w:p>
            <w:pPr>
              <w:pStyle w:val="Normal"/>
              <w:widowControl/>
              <w:spacing w:after="200" w:before="0" w:line="240" w:lineRule="auto"/>
              <w:jc w:val="both"/>
              <w:rPr>
                <w:rFonts w:ascii="Calibri" w:asciiTheme="minorHAnsi" w:cs="Arial" w:hAnsi="Calibri" w:hAnsiTheme="minorHAnsi"/>
                <w:sz w:val="24"/>
                <w:szCs w:val="24"/>
              </w:rPr>
            </w:pPr>
            <w:r>
              <w:rPr>
                <w:rFonts w:cs="Arial"/>
                <w:kern w:val="0"/>
                <w:sz w:val="24"/>
                <w:szCs w:val="24"/>
                <w:lang w:bidi="ar-SA" w:val="fr-FR"/>
              </w:rPr>
              <w:t>Pour la société SKYEPHARMA PRODUCTION</w:t>
            </w:r>
          </w:p>
          <w:p>
            <w:pPr>
              <w:pStyle w:val="Normal"/>
              <w:widowControl/>
              <w:spacing w:after="200" w:before="0" w:line="240" w:lineRule="auto"/>
              <w:jc w:val="both"/>
              <w:rPr>
                <w:rFonts w:ascii="Calibri" w:asciiTheme="minorHAnsi" w:cs="Arial" w:hAnsi="Calibri" w:hAnsiTheme="minorHAnsi"/>
                <w:sz w:val="24"/>
                <w:szCs w:val="24"/>
              </w:rPr>
            </w:pPr>
            <w:r>
              <w:rPr>
                <w:rFonts w:cs="Calibri" w:cstheme="minorHAnsi" w:eastAsia="Times New Roman"/>
                <w:kern w:val="0"/>
                <w:sz w:val="24"/>
                <w:szCs w:val="24"/>
                <w:lang w:bidi="ar-SA" w:val="fr-FR"/>
              </w:rPr>
              <w:t>………</w:t>
            </w:r>
            <w:r>
              <w:rPr>
                <w:rFonts w:cs="Calibri" w:cstheme="minorHAnsi" w:eastAsia="Times New Roman"/>
                <w:kern w:val="0"/>
                <w:sz w:val="24"/>
                <w:szCs w:val="24"/>
                <w:lang w:bidi="ar-SA" w:val="fr-FR"/>
              </w:rPr>
              <w:t>..</w:t>
            </w:r>
          </w:p>
        </w:tc>
        <w:tc>
          <w:tcPr>
            <w:tcW w:type="dxa" w:w="4533"/>
            <w:tcBorders>
              <w:top w:val="nil"/>
              <w:left w:val="nil"/>
              <w:bottom w:val="nil"/>
              <w:right w:val="nil"/>
            </w:tcBorders>
          </w:tcPr>
          <w:p>
            <w:pPr>
              <w:pStyle w:val="Normal"/>
              <w:widowControl/>
              <w:spacing w:after="200" w:before="0" w:line="240" w:lineRule="auto"/>
              <w:jc w:val="both"/>
              <w:rPr>
                <w:rFonts w:ascii="Calibri" w:asciiTheme="minorHAnsi" w:cs="Arial" w:hAnsi="Calibri" w:hAnsiTheme="minorHAnsi"/>
                <w:sz w:val="24"/>
                <w:szCs w:val="24"/>
              </w:rPr>
            </w:pPr>
            <w:r>
              <w:rPr>
                <w:rFonts w:cs="Arial"/>
                <w:kern w:val="0"/>
                <w:sz w:val="24"/>
                <w:szCs w:val="24"/>
                <w:lang w:bidi="ar-SA" w:val="fr-FR"/>
              </w:rPr>
              <w:t xml:space="preserve">Pour la Délégation Syndicale </w:t>
            </w:r>
            <w:r>
              <w:rPr>
                <w:rFonts w:cs="Arial"/>
                <w:kern w:val="0"/>
                <w:sz w:val="24"/>
                <w:szCs w:val="24"/>
                <w:lang w:bidi="ar-SA" w:val="fr-FR"/>
              </w:rPr>
              <w:t>F</w:t>
            </w:r>
            <w:r>
              <w:rPr>
                <w:rFonts w:cs="Calibri" w:cstheme="minorHAnsi" w:eastAsia="Times New Roman"/>
                <w:kern w:val="0"/>
                <w:sz w:val="24"/>
                <w:szCs w:val="24"/>
                <w:lang w:bidi="ar-SA" w:val="fr-FR"/>
              </w:rPr>
              <w:t>O</w:t>
            </w:r>
          </w:p>
          <w:p>
            <w:pPr>
              <w:pStyle w:val="Normal"/>
              <w:widowControl/>
              <w:spacing w:after="200" w:before="0" w:line="240" w:lineRule="auto"/>
              <w:jc w:val="both"/>
              <w:rPr>
                <w:rFonts w:ascii="Calibri" w:asciiTheme="minorHAnsi" w:cs="Arial" w:hAnsi="Calibri" w:hAnsiTheme="minorHAnsi"/>
                <w:sz w:val="24"/>
                <w:szCs w:val="24"/>
              </w:rPr>
            </w:pPr>
            <w:r>
              <w:rPr>
                <w:rFonts w:cs="Calibri" w:cstheme="minorHAnsi" w:eastAsia="Times New Roman"/>
                <w:kern w:val="0"/>
                <w:sz w:val="24"/>
                <w:szCs w:val="24"/>
                <w:lang w:bidi="ar-SA" w:val="fr-FR"/>
              </w:rPr>
              <w:t>………</w:t>
            </w:r>
            <w:r>
              <w:rPr>
                <w:rFonts w:cs="Calibri" w:cstheme="minorHAnsi" w:eastAsia="Times New Roman"/>
                <w:kern w:val="0"/>
                <w:sz w:val="24"/>
                <w:szCs w:val="24"/>
                <w:lang w:bidi="ar-SA" w:val="fr-FR"/>
              </w:rPr>
              <w:t>..</w:t>
            </w:r>
            <w:bookmarkStart w:id="23" w:name="_Hlk36414601"/>
            <w:bookmarkEnd w:id="23"/>
          </w:p>
        </w:tc>
      </w:tr>
    </w:tbl>
    <w:p>
      <w:pPr>
        <w:pStyle w:val="Normal"/>
        <w:rPr/>
      </w:pPr>
      <w:r>
        <w:rPr/>
      </w:r>
    </w:p>
    <w:p>
      <w:pPr>
        <w:pStyle w:val="Normal"/>
        <w:widowControl/>
        <w:bidi w:val="0"/>
        <w:spacing w:after="200" w:before="0" w:line="276" w:lineRule="auto"/>
        <w:jc w:val="left"/>
        <w:rPr/>
      </w:pPr>
      <w:r>
        <w:rPr/>
      </w:r>
    </w:p>
    <w:sectPr>
      <w:headerReference r:id="rId5" w:type="default"/>
      <w:footerReference r:id="rId6" w:type="default"/>
      <w:type w:val="nextPage"/>
      <w:pgSz w:h="16838" w:w="11906"/>
      <w:pgMar w:bottom="1135" w:footer="708" w:gutter="0" w:header="708" w:left="1417" w:right="1417" w:top="1417"/>
      <w:pgNumType w:fmt="decimal"/>
      <w:formProt w:val="false"/>
      <w:textDirection w:val="lrTb"/>
      <w:docGrid w:charSpace="4096" w:linePitch="360" w:type="default"/>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Arial">
    <w:charset w:val="00"/>
    <w:family w:val="roman"/>
    <w:pitch w:val="variable"/>
  </w:font>
  <w:font w:name="Arial">
    <w:charset w:val="01"/>
    <w:family w:val="swiss"/>
    <w:pitch w:val="variable"/>
  </w:font>
  <w:font w:name="Wingdings">
    <w:charset w:val="02"/>
    <w:family w:val="auto"/>
    <w:pitch w:val="variable"/>
  </w:font>
  <w:font w:name="Courier New">
    <w:charset w:val="01"/>
    <w:family w:val="modern"/>
    <w:pitch w:val="fixed"/>
  </w:font>
</w:fonts>
</file>

<file path=word/footer1.xml><?xml version="1.0" encoding="utf-8"?>
<w:ft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sdt>
    <w:sdtPr>
      <w:docPartObj>
        <w:docPartGallery w:val="Page Numbers (Bottom of Page)"/>
        <w:docPartUnique w:val="true"/>
      </w:docPartObj>
      <w:id w:val="734345776"/>
    </w:sdtPr>
    <w:sdtContent>
      <w:p>
        <w:pPr>
          <w:pStyle w:val="Pieddepage"/>
          <w:jc w:val="center"/>
          <w:rPr/>
        </w:pPr>
        <w:r>
          <w:rPr/>
          <w:fldChar w:fldCharType="begin"/>
        </w:r>
        <w:r>
          <w:rPr/>
          <w:instrText> PAGE </w:instrText>
        </w:r>
        <w:r>
          <w:rPr/>
          <w:fldChar w:fldCharType="separate"/>
        </w:r>
        <w:r>
          <w:rPr/>
          <w:t>13</w:t>
        </w:r>
        <w:r>
          <w:rPr/>
          <w:fldChar w:fldCharType="end"/>
        </w:r>
        <w:r>
          <w:rPr/>
          <w:t>/</w:t>
        </w:r>
        <w:r>
          <w:rPr/>
          <w:fldChar w:fldCharType="begin"/>
        </w:r>
        <w:r>
          <w:rPr/>
          <w:instrText> NUMPAGES </w:instrText>
        </w:r>
        <w:r>
          <w:rPr/>
          <w:fldChar w:fldCharType="separate"/>
        </w:r>
        <w:r>
          <w:rPr/>
          <w:t>13</w:t>
        </w:r>
        <w:r>
          <w:rPr/>
          <w:fldChar w:fldCharType="end"/>
        </w:r>
      </w:p>
    </w:sdtContent>
  </w:sdt>
</w:ftr>
</file>

<file path=word/header1.xml><?xml version="1.0" encoding="utf-8"?>
<w:hdr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p="http://schemas.openxmlformats.org/drawingml/2006/wordprocessingDrawing" xmlns:wp14="http://schemas.microsoft.com/office/word/2010/wordprocessingDrawing" xmlns:wpg="http://schemas.microsoft.com/office/word/2010/wordprocessingGroup" xmlns:wps="http://schemas.microsoft.com/office/word/2010/wordprocessingShape" mc:Ignorable="w14 wp14">
  <w:p>
    <w:pPr>
      <w:pStyle w:val="Entte"/>
      <w:rPr/>
    </w:pPr>
    <w:r>
      <w:rPr/>
    </w:r>
  </w:p>
</w:hdr>
</file>

<file path=word/numbering.xml><?xml version="1.0" encoding="utf-8"?>
<w:numbering xmlns:mc="http://schemas.openxmlformats.org/markup-compatibility/2006" xmlns:o="urn:schemas-microsoft-com:office:office" xmlns:r="http://schemas.openxmlformats.org/officeDocument/2006/relationships" xmlns:v="urn:schemas-microsoft-com:vml" xmlns:w="http://schemas.openxmlformats.org/wordprocessingml/2006/main" xmlns:w14="http://schemas.microsoft.com/office/word/2010/wordml" mc:Ignorable="w14">
  <w:abstractNum w:abstractNumId="1">
    <w:lvl w:ilvl="0">
      <w:numFmt w:val="bullet"/>
      <w:lvlText w:val="-"/>
      <w:lvlJc w:val="left"/>
      <w:pPr>
        <w:tabs>
          <w:tab w:pos="644" w:val="num"/>
        </w:tabs>
        <w:ind w:hanging="360" w:left="644"/>
      </w:pPr>
      <w:rPr>
        <w:rFonts w:ascii="Arial" w:cs="Arial" w:hAnsi="Arial" w:hint="default"/>
      </w:rPr>
    </w:lvl>
    <w:lvl w:ilvl="1">
      <w:start w:val="0"/>
      <w:numFmt w:val="bullet"/>
      <w:lvlText w:val="-"/>
      <w:lvlJc w:val="left"/>
      <w:pPr>
        <w:tabs>
          <w:tab w:pos="1364" w:val="num"/>
        </w:tabs>
        <w:ind w:hanging="360" w:left="1364"/>
      </w:pPr>
      <w:rPr>
        <w:rFonts w:ascii="Arial" w:cs="Arial" w:hAnsi="Arial" w:hint="default"/>
      </w:rPr>
    </w:lvl>
    <w:lvl w:ilvl="2">
      <w:start w:val="1"/>
      <w:numFmt w:val="bullet"/>
      <w:lvlText w:val=""/>
      <w:lvlJc w:val="left"/>
      <w:pPr>
        <w:tabs>
          <w:tab w:pos="2084" w:val="num"/>
        </w:tabs>
        <w:ind w:hanging="360" w:left="2084"/>
      </w:pPr>
      <w:rPr>
        <w:rFonts w:ascii="Wingdings" w:cs="Wingdings" w:hAnsi="Wingdings" w:hint="default"/>
      </w:rPr>
    </w:lvl>
    <w:lvl w:ilvl="3">
      <w:start w:val="1"/>
      <w:numFmt w:val="bullet"/>
      <w:lvlText w:val=""/>
      <w:lvlJc w:val="left"/>
      <w:pPr>
        <w:tabs>
          <w:tab w:pos="2804" w:val="num"/>
        </w:tabs>
        <w:ind w:hanging="360" w:left="2804"/>
      </w:pPr>
      <w:rPr>
        <w:rFonts w:ascii="Symbol" w:cs="Symbol" w:hAnsi="Symbol" w:hint="default"/>
      </w:rPr>
    </w:lvl>
    <w:lvl w:ilvl="4">
      <w:start w:val="1"/>
      <w:numFmt w:val="bullet"/>
      <w:lvlText w:val="o"/>
      <w:lvlJc w:val="left"/>
      <w:pPr>
        <w:tabs>
          <w:tab w:pos="3524" w:val="num"/>
        </w:tabs>
        <w:ind w:hanging="360" w:left="3524"/>
      </w:pPr>
      <w:rPr>
        <w:rFonts w:ascii="Courier New" w:cs="Courier New" w:hAnsi="Courier New" w:hint="default"/>
      </w:rPr>
    </w:lvl>
    <w:lvl w:ilvl="5">
      <w:start w:val="1"/>
      <w:numFmt w:val="bullet"/>
      <w:lvlText w:val=""/>
      <w:lvlJc w:val="left"/>
      <w:pPr>
        <w:tabs>
          <w:tab w:pos="4244" w:val="num"/>
        </w:tabs>
        <w:ind w:hanging="360" w:left="4244"/>
      </w:pPr>
      <w:rPr>
        <w:rFonts w:ascii="Wingdings" w:cs="Wingdings" w:hAnsi="Wingdings" w:hint="default"/>
      </w:rPr>
    </w:lvl>
    <w:lvl w:ilvl="6">
      <w:start w:val="1"/>
      <w:numFmt w:val="bullet"/>
      <w:lvlText w:val=""/>
      <w:lvlJc w:val="left"/>
      <w:pPr>
        <w:tabs>
          <w:tab w:pos="4964" w:val="num"/>
        </w:tabs>
        <w:ind w:hanging="360" w:left="4964"/>
      </w:pPr>
      <w:rPr>
        <w:rFonts w:ascii="Symbol" w:cs="Symbol" w:hAnsi="Symbol" w:hint="default"/>
      </w:rPr>
    </w:lvl>
    <w:lvl w:ilvl="7">
      <w:start w:val="1"/>
      <w:numFmt w:val="bullet"/>
      <w:lvlText w:val="o"/>
      <w:lvlJc w:val="left"/>
      <w:pPr>
        <w:tabs>
          <w:tab w:pos="5684" w:val="num"/>
        </w:tabs>
        <w:ind w:hanging="360" w:left="5684"/>
      </w:pPr>
      <w:rPr>
        <w:rFonts w:ascii="Courier New" w:cs="Courier New" w:hAnsi="Courier New" w:hint="default"/>
      </w:rPr>
    </w:lvl>
    <w:lvl w:ilvl="8">
      <w:start w:val="1"/>
      <w:numFmt w:val="bullet"/>
      <w:lvlText w:val=""/>
      <w:lvlJc w:val="left"/>
      <w:pPr>
        <w:tabs>
          <w:tab w:pos="6404" w:val="num"/>
        </w:tabs>
        <w:ind w:hanging="360" w:left="6404"/>
      </w:pPr>
      <w:rPr>
        <w:rFonts w:ascii="Wingdings" w:cs="Wingdings" w:hAnsi="Wingdings" w:hint="default"/>
      </w:rPr>
    </w:lvl>
  </w:abstractNum>
  <w:abstractNum w:abstractNumId="2">
    <w:lvl w:ilvl="0">
      <w:start w:val="1"/>
      <w:numFmt w:val="bullet"/>
      <w:lvlText w:val=""/>
      <w:lvlJc w:val="left"/>
      <w:pPr>
        <w:tabs>
          <w:tab w:pos="0" w:val="num"/>
        </w:tabs>
        <w:ind w:hanging="360" w:left="360"/>
      </w:pPr>
      <w:rPr>
        <w:rFonts w:ascii="Symbol" w:cs="Symbol" w:hAnsi="Symbol" w:hint="default"/>
      </w:rPr>
    </w:lvl>
    <w:lvl w:ilvl="1">
      <w:start w:val="1"/>
      <w:numFmt w:val="bullet"/>
      <w:lvlText w:val="o"/>
      <w:lvlJc w:val="left"/>
      <w:pPr>
        <w:tabs>
          <w:tab w:pos="0" w:val="num"/>
        </w:tabs>
        <w:ind w:hanging="360" w:left="1080"/>
      </w:pPr>
      <w:rPr>
        <w:rFonts w:ascii="Courier New" w:cs="Courier New" w:hAnsi="Courier New" w:hint="default"/>
      </w:rPr>
    </w:lvl>
    <w:lvl w:ilvl="2">
      <w:start w:val="1"/>
      <w:numFmt w:val="bullet"/>
      <w:lvlText w:val=""/>
      <w:lvlJc w:val="left"/>
      <w:pPr>
        <w:tabs>
          <w:tab w:pos="0" w:val="num"/>
        </w:tabs>
        <w:ind w:hanging="360" w:left="1800"/>
      </w:pPr>
      <w:rPr>
        <w:rFonts w:ascii="Wingdings" w:cs="Wingdings" w:hAnsi="Wingdings" w:hint="default"/>
      </w:rPr>
    </w:lvl>
    <w:lvl w:ilvl="3">
      <w:start w:val="1"/>
      <w:numFmt w:val="bullet"/>
      <w:lvlText w:val=""/>
      <w:lvlJc w:val="left"/>
      <w:pPr>
        <w:tabs>
          <w:tab w:pos="0" w:val="num"/>
        </w:tabs>
        <w:ind w:hanging="360" w:left="2520"/>
      </w:pPr>
      <w:rPr>
        <w:rFonts w:ascii="Symbol" w:cs="Symbol" w:hAnsi="Symbol" w:hint="default"/>
      </w:rPr>
    </w:lvl>
    <w:lvl w:ilvl="4">
      <w:start w:val="1"/>
      <w:numFmt w:val="bullet"/>
      <w:lvlText w:val="o"/>
      <w:lvlJc w:val="left"/>
      <w:pPr>
        <w:tabs>
          <w:tab w:pos="0" w:val="num"/>
        </w:tabs>
        <w:ind w:hanging="360" w:left="3240"/>
      </w:pPr>
      <w:rPr>
        <w:rFonts w:ascii="Courier New" w:cs="Courier New" w:hAnsi="Courier New" w:hint="default"/>
      </w:rPr>
    </w:lvl>
    <w:lvl w:ilvl="5">
      <w:start w:val="1"/>
      <w:numFmt w:val="bullet"/>
      <w:lvlText w:val=""/>
      <w:lvlJc w:val="left"/>
      <w:pPr>
        <w:tabs>
          <w:tab w:pos="0" w:val="num"/>
        </w:tabs>
        <w:ind w:hanging="360" w:left="3960"/>
      </w:pPr>
      <w:rPr>
        <w:rFonts w:ascii="Wingdings" w:cs="Wingdings" w:hAnsi="Wingdings" w:hint="default"/>
      </w:rPr>
    </w:lvl>
    <w:lvl w:ilvl="6">
      <w:start w:val="1"/>
      <w:numFmt w:val="bullet"/>
      <w:lvlText w:val=""/>
      <w:lvlJc w:val="left"/>
      <w:pPr>
        <w:tabs>
          <w:tab w:pos="0" w:val="num"/>
        </w:tabs>
        <w:ind w:hanging="360" w:left="4680"/>
      </w:pPr>
      <w:rPr>
        <w:rFonts w:ascii="Symbol" w:cs="Symbol" w:hAnsi="Symbol" w:hint="default"/>
      </w:rPr>
    </w:lvl>
    <w:lvl w:ilvl="7">
      <w:start w:val="1"/>
      <w:numFmt w:val="bullet"/>
      <w:lvlText w:val="o"/>
      <w:lvlJc w:val="left"/>
      <w:pPr>
        <w:tabs>
          <w:tab w:pos="0" w:val="num"/>
        </w:tabs>
        <w:ind w:hanging="360" w:left="5400"/>
      </w:pPr>
      <w:rPr>
        <w:rFonts w:ascii="Courier New" w:cs="Courier New" w:hAnsi="Courier New" w:hint="default"/>
      </w:rPr>
    </w:lvl>
    <w:lvl w:ilvl="8">
      <w:start w:val="1"/>
      <w:numFmt w:val="bullet"/>
      <w:lvlText w:val=""/>
      <w:lvlJc w:val="left"/>
      <w:pPr>
        <w:tabs>
          <w:tab w:pos="0" w:val="num"/>
        </w:tabs>
        <w:ind w:hanging="360" w:left="6120"/>
      </w:pPr>
      <w:rPr>
        <w:rFonts w:ascii="Wingdings" w:cs="Wingdings" w:hAnsi="Wingdings" w:hint="default"/>
      </w:rPr>
    </w:lvl>
  </w:abstractNum>
  <w:abstractNum w:abstractNumId="3">
    <w:lvl w:ilvl="0">
      <w:start w:val="1"/>
      <w:numFmt w:val="bullet"/>
      <w:lvlText w:val=""/>
      <w:lvlJc w:val="left"/>
      <w:pPr>
        <w:tabs>
          <w:tab w:pos="0" w:val="num"/>
        </w:tabs>
        <w:ind w:hanging="360" w:left="720"/>
      </w:pPr>
      <w:rPr>
        <w:rFonts w:ascii="Symbol" w:cs="Symbol" w:hAnsi="Symbol" w:hint="default"/>
      </w:rPr>
    </w:lvl>
    <w:lvl w:ilvl="1">
      <w:start w:val="1"/>
      <w:numFmt w:val="bullet"/>
      <w:lvlText w:val=""/>
      <w:lvlJc w:val="left"/>
      <w:pPr>
        <w:tabs>
          <w:tab w:pos="0" w:val="num"/>
        </w:tabs>
        <w:ind w:hanging="360" w:left="1440"/>
      </w:pPr>
      <w:rPr>
        <w:rFonts w:ascii="Symbol" w:cs="Symbol" w:hAnsi="Symbol" w:hint="default"/>
      </w:rPr>
    </w:lvl>
    <w:lvl w:ilvl="2">
      <w:start w:val="1"/>
      <w:numFmt w:val="bullet"/>
      <w:lvlText w:val=""/>
      <w:lvlJc w:val="left"/>
      <w:pPr>
        <w:tabs>
          <w:tab w:pos="0" w:val="num"/>
        </w:tabs>
        <w:ind w:hanging="360" w:left="2160"/>
      </w:pPr>
      <w:rPr>
        <w:rFonts w:ascii="Wingdings" w:cs="Wingdings" w:hAnsi="Wingdings" w:hint="default"/>
      </w:rPr>
    </w:lvl>
    <w:lvl w:ilvl="3">
      <w:start w:val="1"/>
      <w:numFmt w:val="bullet"/>
      <w:lvlText w:val=""/>
      <w:lvlJc w:val="left"/>
      <w:pPr>
        <w:tabs>
          <w:tab w:pos="0" w:val="num"/>
        </w:tabs>
        <w:ind w:hanging="360" w:left="2880"/>
      </w:pPr>
      <w:rPr>
        <w:rFonts w:ascii="Symbol" w:cs="Symbol" w:hAnsi="Symbol" w:hint="default"/>
      </w:rPr>
    </w:lvl>
    <w:lvl w:ilvl="4">
      <w:start w:val="1"/>
      <w:numFmt w:val="bullet"/>
      <w:lvlText w:val="o"/>
      <w:lvlJc w:val="left"/>
      <w:pPr>
        <w:tabs>
          <w:tab w:pos="0" w:val="num"/>
        </w:tabs>
        <w:ind w:hanging="360" w:left="3600"/>
      </w:pPr>
      <w:rPr>
        <w:rFonts w:ascii="Courier New" w:cs="Courier New" w:hAnsi="Courier New" w:hint="default"/>
      </w:rPr>
    </w:lvl>
    <w:lvl w:ilvl="5">
      <w:start w:val="1"/>
      <w:numFmt w:val="bullet"/>
      <w:lvlText w:val=""/>
      <w:lvlJc w:val="left"/>
      <w:pPr>
        <w:tabs>
          <w:tab w:pos="0" w:val="num"/>
        </w:tabs>
        <w:ind w:hanging="360" w:left="4320"/>
      </w:pPr>
      <w:rPr>
        <w:rFonts w:ascii="Wingdings" w:cs="Wingdings" w:hAnsi="Wingdings" w:hint="default"/>
      </w:rPr>
    </w:lvl>
    <w:lvl w:ilvl="6">
      <w:start w:val="1"/>
      <w:numFmt w:val="bullet"/>
      <w:lvlText w:val=""/>
      <w:lvlJc w:val="left"/>
      <w:pPr>
        <w:tabs>
          <w:tab w:pos="0" w:val="num"/>
        </w:tabs>
        <w:ind w:hanging="360" w:left="5040"/>
      </w:pPr>
      <w:rPr>
        <w:rFonts w:ascii="Symbol" w:cs="Symbol" w:hAnsi="Symbol" w:hint="default"/>
      </w:rPr>
    </w:lvl>
    <w:lvl w:ilvl="7">
      <w:start w:val="1"/>
      <w:numFmt w:val="bullet"/>
      <w:lvlText w:val="o"/>
      <w:lvlJc w:val="left"/>
      <w:pPr>
        <w:tabs>
          <w:tab w:pos="0" w:val="num"/>
        </w:tabs>
        <w:ind w:hanging="360" w:left="5760"/>
      </w:pPr>
      <w:rPr>
        <w:rFonts w:ascii="Courier New" w:cs="Courier New" w:hAnsi="Courier New" w:hint="default"/>
      </w:rPr>
    </w:lvl>
    <w:lvl w:ilvl="8">
      <w:start w:val="1"/>
      <w:numFmt w:val="bullet"/>
      <w:lvlText w:val=""/>
      <w:lvlJc w:val="left"/>
      <w:pPr>
        <w:tabs>
          <w:tab w:pos="0" w:val="num"/>
        </w:tabs>
        <w:ind w:hanging="360" w:left="6480"/>
      </w:pPr>
      <w:rPr>
        <w:rFonts w:ascii="Wingdings" w:cs="Wingdings" w:hAnsi="Wingdings" w:hint="default"/>
      </w:rPr>
    </w:lvl>
  </w:abstractNum>
  <w:abstractNum w:abstractNumId="4">
    <w:lvl w:ilvl="0">
      <w:start w:val="1"/>
      <w:numFmt w:val="bullet"/>
      <w:lvlText w:val=""/>
      <w:lvlJc w:val="left"/>
      <w:pPr>
        <w:tabs>
          <w:tab w:pos="0" w:val="num"/>
        </w:tabs>
        <w:ind w:hanging="360" w:left="780"/>
      </w:pPr>
      <w:rPr>
        <w:rFonts w:ascii="Symbol" w:cs="Symbol" w:hAnsi="Symbol" w:hint="default"/>
      </w:rPr>
    </w:lvl>
    <w:lvl w:ilvl="1">
      <w:start w:val="1"/>
      <w:numFmt w:val="bullet"/>
      <w:lvlText w:val="o"/>
      <w:lvlJc w:val="left"/>
      <w:pPr>
        <w:tabs>
          <w:tab w:pos="0" w:val="num"/>
        </w:tabs>
        <w:ind w:hanging="360" w:left="1500"/>
      </w:pPr>
      <w:rPr>
        <w:rFonts w:ascii="Courier New" w:cs="Courier New" w:hAnsi="Courier New" w:hint="default"/>
      </w:rPr>
    </w:lvl>
    <w:lvl w:ilvl="2">
      <w:start w:val="1"/>
      <w:numFmt w:val="bullet"/>
      <w:lvlText w:val=""/>
      <w:lvlJc w:val="left"/>
      <w:pPr>
        <w:tabs>
          <w:tab w:pos="0" w:val="num"/>
        </w:tabs>
        <w:ind w:hanging="360" w:left="2220"/>
      </w:pPr>
      <w:rPr>
        <w:rFonts w:ascii="Wingdings" w:cs="Wingdings" w:hAnsi="Wingdings" w:hint="default"/>
      </w:rPr>
    </w:lvl>
    <w:lvl w:ilvl="3">
      <w:start w:val="1"/>
      <w:numFmt w:val="bullet"/>
      <w:lvlText w:val=""/>
      <w:lvlJc w:val="left"/>
      <w:pPr>
        <w:tabs>
          <w:tab w:pos="0" w:val="num"/>
        </w:tabs>
        <w:ind w:hanging="360" w:left="2940"/>
      </w:pPr>
      <w:rPr>
        <w:rFonts w:ascii="Symbol" w:cs="Symbol" w:hAnsi="Symbol" w:hint="default"/>
      </w:rPr>
    </w:lvl>
    <w:lvl w:ilvl="4">
      <w:start w:val="1"/>
      <w:numFmt w:val="bullet"/>
      <w:lvlText w:val="o"/>
      <w:lvlJc w:val="left"/>
      <w:pPr>
        <w:tabs>
          <w:tab w:pos="0" w:val="num"/>
        </w:tabs>
        <w:ind w:hanging="360" w:left="3660"/>
      </w:pPr>
      <w:rPr>
        <w:rFonts w:ascii="Courier New" w:cs="Courier New" w:hAnsi="Courier New" w:hint="default"/>
      </w:rPr>
    </w:lvl>
    <w:lvl w:ilvl="5">
      <w:start w:val="1"/>
      <w:numFmt w:val="bullet"/>
      <w:lvlText w:val=""/>
      <w:lvlJc w:val="left"/>
      <w:pPr>
        <w:tabs>
          <w:tab w:pos="0" w:val="num"/>
        </w:tabs>
        <w:ind w:hanging="360" w:left="4380"/>
      </w:pPr>
      <w:rPr>
        <w:rFonts w:ascii="Wingdings" w:cs="Wingdings" w:hAnsi="Wingdings" w:hint="default"/>
      </w:rPr>
    </w:lvl>
    <w:lvl w:ilvl="6">
      <w:start w:val="1"/>
      <w:numFmt w:val="bullet"/>
      <w:lvlText w:val=""/>
      <w:lvlJc w:val="left"/>
      <w:pPr>
        <w:tabs>
          <w:tab w:pos="0" w:val="num"/>
        </w:tabs>
        <w:ind w:hanging="360" w:left="5100"/>
      </w:pPr>
      <w:rPr>
        <w:rFonts w:ascii="Symbol" w:cs="Symbol" w:hAnsi="Symbol" w:hint="default"/>
      </w:rPr>
    </w:lvl>
    <w:lvl w:ilvl="7">
      <w:start w:val="1"/>
      <w:numFmt w:val="bullet"/>
      <w:lvlText w:val="o"/>
      <w:lvlJc w:val="left"/>
      <w:pPr>
        <w:tabs>
          <w:tab w:pos="0" w:val="num"/>
        </w:tabs>
        <w:ind w:hanging="360" w:left="5820"/>
      </w:pPr>
      <w:rPr>
        <w:rFonts w:ascii="Courier New" w:cs="Courier New" w:hAnsi="Courier New" w:hint="default"/>
      </w:rPr>
    </w:lvl>
    <w:lvl w:ilvl="8">
      <w:start w:val="1"/>
      <w:numFmt w:val="bullet"/>
      <w:lvlText w:val=""/>
      <w:lvlJc w:val="left"/>
      <w:pPr>
        <w:tabs>
          <w:tab w:pos="0" w:val="num"/>
        </w:tabs>
        <w:ind w:hanging="360" w:left="6540"/>
      </w:pPr>
      <w:rPr>
        <w:rFonts w:ascii="Wingdings" w:cs="Wingdings" w:hAnsi="Wingdings" w:hint="default"/>
      </w:rPr>
    </w:lvl>
  </w:abstractNum>
  <w:abstractNum w:abstractNumId="5">
    <w:lvl w:ilvl="0">
      <w:start w:val="1"/>
      <w:numFmt w:val="decimal"/>
      <w:lvlText w:val="%1"/>
      <w:lvlJc w:val="left"/>
      <w:pPr>
        <w:tabs>
          <w:tab w:pos="0" w:val="num"/>
        </w:tabs>
        <w:ind w:hanging="360" w:left="360"/>
      </w:pPr>
    </w:lvl>
    <w:lvl w:ilvl="1">
      <w:start w:val="1"/>
      <w:numFmt w:val="decimal"/>
      <w:lvlText w:val="%1.%2"/>
      <w:lvlJc w:val="left"/>
      <w:pPr>
        <w:tabs>
          <w:tab w:pos="0" w:val="num"/>
        </w:tabs>
        <w:ind w:hanging="360" w:left="360"/>
      </w:pPr>
    </w:lvl>
    <w:lvl w:ilvl="2">
      <w:start w:val="1"/>
      <w:numFmt w:val="decimal"/>
      <w:lvlText w:val="%1.%2.%3"/>
      <w:lvlJc w:val="left"/>
      <w:pPr>
        <w:tabs>
          <w:tab w:pos="0" w:val="num"/>
        </w:tabs>
        <w:ind w:hanging="720" w:left="720"/>
      </w:pPr>
    </w:lvl>
    <w:lvl w:ilvl="3">
      <w:start w:val="1"/>
      <w:numFmt w:val="decimal"/>
      <w:lvlText w:val="%1.%2.%3.%4"/>
      <w:lvlJc w:val="left"/>
      <w:pPr>
        <w:tabs>
          <w:tab w:pos="0" w:val="num"/>
        </w:tabs>
        <w:ind w:hanging="720" w:left="720"/>
      </w:pPr>
    </w:lvl>
    <w:lvl w:ilvl="4">
      <w:start w:val="1"/>
      <w:numFmt w:val="decimal"/>
      <w:lvlText w:val="%1.%2.%3.%4.%5"/>
      <w:lvlJc w:val="left"/>
      <w:pPr>
        <w:tabs>
          <w:tab w:pos="0" w:val="num"/>
        </w:tabs>
        <w:ind w:hanging="1080" w:left="1080"/>
      </w:pPr>
    </w:lvl>
    <w:lvl w:ilvl="5">
      <w:start w:val="1"/>
      <w:numFmt w:val="decimal"/>
      <w:lvlText w:val="%1.%2.%3.%4.%5.%6"/>
      <w:lvlJc w:val="left"/>
      <w:pPr>
        <w:tabs>
          <w:tab w:pos="0" w:val="num"/>
        </w:tabs>
        <w:ind w:hanging="1080" w:left="1080"/>
      </w:pPr>
    </w:lvl>
    <w:lvl w:ilvl="6">
      <w:start w:val="1"/>
      <w:numFmt w:val="decimal"/>
      <w:lvlText w:val="%1.%2.%3.%4.%5.%6.%7"/>
      <w:lvlJc w:val="left"/>
      <w:pPr>
        <w:tabs>
          <w:tab w:pos="0" w:val="num"/>
        </w:tabs>
        <w:ind w:hanging="1440" w:left="1440"/>
      </w:pPr>
    </w:lvl>
    <w:lvl w:ilvl="7">
      <w:start w:val="1"/>
      <w:numFmt w:val="decimal"/>
      <w:lvlText w:val="%1.%2.%3.%4.%5.%6.%7.%8"/>
      <w:lvlJc w:val="left"/>
      <w:pPr>
        <w:tabs>
          <w:tab w:pos="0" w:val="num"/>
        </w:tabs>
        <w:ind w:hanging="1440" w:left="1440"/>
      </w:pPr>
    </w:lvl>
    <w:lvl w:ilvl="8">
      <w:start w:val="1"/>
      <w:numFmt w:val="decimal"/>
      <w:lvlText w:val="%1.%2.%3.%4.%5.%6.%7.%8.%9"/>
      <w:lvlJc w:val="left"/>
      <w:pPr>
        <w:tabs>
          <w:tab w:pos="0" w:val="num"/>
        </w:tabs>
        <w:ind w:hanging="1800" w:left="1800"/>
      </w:pPr>
    </w:lvl>
  </w:abstractNum>
  <w:abstractNum w:abstractNumId="6">
    <w:lvl w:ilvl="0">
      <w:start w:val="1"/>
      <w:numFmt w:val="decimal"/>
      <w:lvlText w:val="%1"/>
      <w:lvlJc w:val="left"/>
      <w:pPr>
        <w:tabs>
          <w:tab w:pos="0" w:val="num"/>
        </w:tabs>
        <w:ind w:hanging="480" w:left="480"/>
      </w:pPr>
    </w:lvl>
    <w:lvl w:ilvl="1">
      <w:start w:val="3"/>
      <w:numFmt w:val="decimal"/>
      <w:lvlText w:val="%1.%2"/>
      <w:lvlJc w:val="left"/>
      <w:pPr>
        <w:tabs>
          <w:tab w:pos="0" w:val="num"/>
        </w:tabs>
        <w:ind w:hanging="480" w:left="480"/>
      </w:pPr>
    </w:lvl>
    <w:lvl w:ilvl="2">
      <w:start w:val="2"/>
      <w:numFmt w:val="decimal"/>
      <w:lvlText w:val="%1.%2.%3"/>
      <w:lvlJc w:val="left"/>
      <w:pPr>
        <w:tabs>
          <w:tab w:pos="0" w:val="num"/>
        </w:tabs>
        <w:ind w:hanging="720" w:left="720"/>
      </w:pPr>
    </w:lvl>
    <w:lvl w:ilvl="3">
      <w:start w:val="1"/>
      <w:numFmt w:val="decimal"/>
      <w:lvlText w:val="%1.%2.%3.%4"/>
      <w:lvlJc w:val="left"/>
      <w:pPr>
        <w:tabs>
          <w:tab w:pos="0" w:val="num"/>
        </w:tabs>
        <w:ind w:hanging="720" w:left="720"/>
      </w:pPr>
    </w:lvl>
    <w:lvl w:ilvl="4">
      <w:start w:val="1"/>
      <w:numFmt w:val="decimal"/>
      <w:lvlText w:val="%1.%2.%3.%4.%5"/>
      <w:lvlJc w:val="left"/>
      <w:pPr>
        <w:tabs>
          <w:tab w:pos="0" w:val="num"/>
        </w:tabs>
        <w:ind w:hanging="1080" w:left="1080"/>
      </w:pPr>
    </w:lvl>
    <w:lvl w:ilvl="5">
      <w:start w:val="1"/>
      <w:numFmt w:val="decimal"/>
      <w:lvlText w:val="%1.%2.%3.%4.%5.%6"/>
      <w:lvlJc w:val="left"/>
      <w:pPr>
        <w:tabs>
          <w:tab w:pos="0" w:val="num"/>
        </w:tabs>
        <w:ind w:hanging="1080" w:left="1080"/>
      </w:pPr>
    </w:lvl>
    <w:lvl w:ilvl="6">
      <w:start w:val="1"/>
      <w:numFmt w:val="decimal"/>
      <w:lvlText w:val="%1.%2.%3.%4.%5.%6.%7"/>
      <w:lvlJc w:val="left"/>
      <w:pPr>
        <w:tabs>
          <w:tab w:pos="0" w:val="num"/>
        </w:tabs>
        <w:ind w:hanging="1440" w:left="1440"/>
      </w:pPr>
    </w:lvl>
    <w:lvl w:ilvl="7">
      <w:start w:val="1"/>
      <w:numFmt w:val="decimal"/>
      <w:lvlText w:val="%1.%2.%3.%4.%5.%6.%7.%8"/>
      <w:lvlJc w:val="left"/>
      <w:pPr>
        <w:tabs>
          <w:tab w:pos="0" w:val="num"/>
        </w:tabs>
        <w:ind w:hanging="1440" w:left="1440"/>
      </w:pPr>
    </w:lvl>
    <w:lvl w:ilvl="8">
      <w:start w:val="1"/>
      <w:numFmt w:val="decimal"/>
      <w:lvlText w:val="%1.%2.%3.%4.%5.%6.%7.%8.%9"/>
      <w:lvlJc w:val="left"/>
      <w:pPr>
        <w:tabs>
          <w:tab w:pos="0" w:val="num"/>
        </w:tabs>
        <w:ind w:hanging="1800" w:left="1800"/>
      </w:pPr>
    </w:lvl>
  </w:abstractNum>
  <w:abstractNum w:abstractNumId="7">
    <w:lvl w:ilvl="0">
      <w:start w:val="1"/>
      <w:numFmt w:val="none"/>
      <w:suff w:val="nothing"/>
      <w:lvlText w:val=""/>
      <w:lvlJc w:val="left"/>
      <w:pPr>
        <w:tabs>
          <w:tab w:pos="0" w:val="num"/>
        </w:tabs>
        <w:ind w:hanging="0" w:left="0"/>
      </w:pPr>
    </w:lvl>
    <w:lvl w:ilvl="1">
      <w:start w:val="1"/>
      <w:numFmt w:val="none"/>
      <w:suff w:val="nothing"/>
      <w:lvlText w:val=""/>
      <w:lvlJc w:val="left"/>
      <w:pPr>
        <w:tabs>
          <w:tab w:pos="0" w:val="num"/>
        </w:tabs>
        <w:ind w:hanging="0" w:left="0"/>
      </w:pPr>
    </w:lvl>
    <w:lvl w:ilvl="2">
      <w:start w:val="1"/>
      <w:numFmt w:val="none"/>
      <w:suff w:val="nothing"/>
      <w:lvlText w:val=""/>
      <w:lvlJc w:val="left"/>
      <w:pPr>
        <w:tabs>
          <w:tab w:pos="0" w:val="num"/>
        </w:tabs>
        <w:ind w:hanging="0" w:left="0"/>
      </w:pPr>
    </w:lvl>
    <w:lvl w:ilvl="3">
      <w:start w:val="1"/>
      <w:numFmt w:val="none"/>
      <w:suff w:val="nothing"/>
      <w:lvlText w:val=""/>
      <w:lvlJc w:val="left"/>
      <w:pPr>
        <w:tabs>
          <w:tab w:pos="0" w:val="num"/>
        </w:tabs>
        <w:ind w:hanging="0" w:left="0"/>
      </w:pPr>
    </w:lvl>
    <w:lvl w:ilvl="4">
      <w:start w:val="1"/>
      <w:numFmt w:val="none"/>
      <w:suff w:val="nothing"/>
      <w:lvlText w:val=""/>
      <w:lvlJc w:val="left"/>
      <w:pPr>
        <w:tabs>
          <w:tab w:pos="0" w:val="num"/>
        </w:tabs>
        <w:ind w:hanging="0" w:left="0"/>
      </w:pPr>
    </w:lvl>
    <w:lvl w:ilvl="5">
      <w:start w:val="1"/>
      <w:numFmt w:val="none"/>
      <w:suff w:val="nothing"/>
      <w:lvlText w:val=""/>
      <w:lvlJc w:val="left"/>
      <w:pPr>
        <w:tabs>
          <w:tab w:pos="0" w:val="num"/>
        </w:tabs>
        <w:ind w:hanging="0" w:left="0"/>
      </w:pPr>
    </w:lvl>
    <w:lvl w:ilvl="6">
      <w:start w:val="1"/>
      <w:numFmt w:val="none"/>
      <w:suff w:val="nothing"/>
      <w:lvlText w:val=""/>
      <w:lvlJc w:val="left"/>
      <w:pPr>
        <w:tabs>
          <w:tab w:pos="0" w:val="num"/>
        </w:tabs>
        <w:ind w:hanging="0" w:left="0"/>
      </w:pPr>
    </w:lvl>
    <w:lvl w:ilvl="7">
      <w:start w:val="1"/>
      <w:numFmt w:val="none"/>
      <w:suff w:val="nothing"/>
      <w:lvlText w:val=""/>
      <w:lvlJc w:val="left"/>
      <w:pPr>
        <w:tabs>
          <w:tab w:pos="0" w:val="num"/>
        </w:tabs>
        <w:ind w:hanging="0" w:left="0"/>
      </w:pPr>
    </w:lvl>
    <w:lvl w:ilvl="8">
      <w:start w:val="1"/>
      <w:numFmt w:val="none"/>
      <w:suff w:val="nothing"/>
      <w:lvlText w:val=""/>
      <w:lvlJc w:val="left"/>
      <w:pPr>
        <w:tabs>
          <w:tab w:pos="0" w:val="num"/>
        </w:tabs>
        <w:ind w:hanging="0" w:left="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bidi="" w:eastAsia="" w:val="fr-FR"/>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asciiTheme="minorHAnsi" w:cs="" w:cstheme="minorBidi" w:eastAsia="Calibri" w:eastAsiaTheme="minorHAnsi" w:hAnsi="Calibri" w:hAnsiTheme="minorHAnsi"/>
        <w:sz w:val="22"/>
        <w:szCs w:val="22"/>
        <w:lang w:bidi="ar-SA" w:eastAsia="en-US" w:val="fr-FR"/>
      </w:rPr>
    </w:rPrDefault>
    <w:pPrDefault>
      <w:pPr>
        <w:suppressAutoHyphens w:val="true"/>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cd06e8"/>
    <w:pPr>
      <w:widowControl/>
      <w:bidi w:val="0"/>
      <w:spacing w:after="200" w:before="0" w:line="276" w:lineRule="auto"/>
      <w:jc w:val="left"/>
    </w:pPr>
    <w:rPr>
      <w:rFonts w:ascii="Calibri" w:cs="" w:eastAsia="" w:eastAsiaTheme="minorEastAsia" w:hAnsi="Calibri"/>
      <w:color w:val="auto"/>
      <w:kern w:val="0"/>
      <w:sz w:val="22"/>
      <w:szCs w:val="22"/>
      <w:lang w:bidi="ar-SA" w:eastAsia="fr-FR" w:val="fr-FR"/>
    </w:rPr>
  </w:style>
  <w:style w:styleId="Titre1" w:type="paragraph">
    <w:name w:val="Heading 1"/>
    <w:basedOn w:val="Normal"/>
    <w:next w:val="Normal"/>
    <w:link w:val="Titre1Car"/>
    <w:uiPriority w:val="9"/>
    <w:qFormat/>
    <w:rsid w:val="00cd06e8"/>
    <w:pPr>
      <w:pBdr>
        <w:top w:color="4472C4" w:space="0" w:sz="24" w:val="single"/>
        <w:left w:color="4472C4" w:space="0" w:sz="24" w:val="single"/>
        <w:bottom w:color="4472C4" w:space="0" w:sz="24" w:val="single"/>
        <w:right w:color="4472C4" w:space="0" w:sz="24" w:val="single"/>
      </w:pBdr>
      <w:shd w:color="auto" w:fill="4472C4" w:themeFill="accent1" w:val="clear"/>
      <w:spacing w:after="0" w:before="200"/>
      <w:outlineLvl w:val="0"/>
    </w:pPr>
    <w:rPr>
      <w:b/>
      <w:bCs/>
      <w:caps/>
      <w:color w:themeColor="background1" w:val="FFFFFF"/>
      <w:spacing w:val="15"/>
      <w:lang w:eastAsia="en-US"/>
    </w:rPr>
  </w:style>
  <w:style w:styleId="Titre2" w:type="paragraph">
    <w:name w:val="Heading 2"/>
    <w:basedOn w:val="Normal"/>
    <w:next w:val="Normal"/>
    <w:link w:val="Titre2Car"/>
    <w:uiPriority w:val="9"/>
    <w:unhideWhenUsed/>
    <w:qFormat/>
    <w:rsid w:val="00cd06e8"/>
    <w:pPr>
      <w:pBdr>
        <w:top w:color="D9E2F3" w:space="0" w:sz="24" w:val="single"/>
        <w:left w:color="D9E2F3" w:space="0" w:sz="24" w:val="single"/>
        <w:bottom w:color="D9E2F3" w:space="0" w:sz="24" w:val="single"/>
        <w:right w:color="D9E2F3" w:space="0" w:sz="24" w:val="single"/>
      </w:pBdr>
      <w:shd w:color="auto" w:fill="D9E2F3" w:themeFill="accent1" w:themeFillTint="33" w:val="clear"/>
      <w:spacing w:after="0" w:before="200"/>
      <w:outlineLvl w:val="1"/>
    </w:pPr>
    <w:rPr>
      <w:caps/>
      <w:spacing w:val="15"/>
      <w:lang w:eastAsia="en-US"/>
    </w:rPr>
  </w:style>
  <w:style w:default="1" w:styleId="DefaultParagraphFont" w:type="character">
    <w:name w:val="Default Paragraph Font"/>
    <w:uiPriority w:val="1"/>
    <w:semiHidden/>
    <w:unhideWhenUsed/>
    <w:qFormat/>
    <w:rPr/>
  </w:style>
  <w:style w:customStyle="1" w:styleId="Titre1Car" w:type="character">
    <w:name w:val="Titre 1 Car"/>
    <w:basedOn w:val="DefaultParagraphFont"/>
    <w:link w:val="Titre1"/>
    <w:uiPriority w:val="9"/>
    <w:qFormat/>
    <w:rsid w:val="00cd06e8"/>
    <w:rPr>
      <w:rFonts w:eastAsia="" w:eastAsiaTheme="minorEastAsia"/>
      <w:b/>
      <w:bCs/>
      <w:caps/>
      <w:color w:themeColor="background1" w:val="FFFFFF"/>
      <w:spacing w:val="15"/>
      <w:shd w:fill="4472C4" w:val="clear"/>
    </w:rPr>
  </w:style>
  <w:style w:customStyle="1" w:styleId="Titre2Car" w:type="character">
    <w:name w:val="Titre 2 Car"/>
    <w:basedOn w:val="DefaultParagraphFont"/>
    <w:link w:val="Titre2"/>
    <w:uiPriority w:val="9"/>
    <w:qFormat/>
    <w:rsid w:val="00cd06e8"/>
    <w:rPr>
      <w:rFonts w:eastAsia="" w:eastAsiaTheme="minorEastAsia"/>
      <w:caps/>
      <w:spacing w:val="15"/>
      <w:shd w:fill="D9E2F3" w:val="clear"/>
    </w:rPr>
  </w:style>
  <w:style w:customStyle="1" w:styleId="EntteCar" w:type="character">
    <w:name w:val="En-tête Car"/>
    <w:basedOn w:val="DefaultParagraphFont"/>
    <w:link w:val="En-tte"/>
    <w:uiPriority w:val="99"/>
    <w:qFormat/>
    <w:rsid w:val="00cd06e8"/>
    <w:rPr>
      <w:rFonts w:eastAsia="" w:eastAsiaTheme="minorEastAsia"/>
      <w:lang w:eastAsia="fr-FR"/>
    </w:rPr>
  </w:style>
  <w:style w:customStyle="1" w:styleId="PieddepageCar" w:type="character">
    <w:name w:val="Pied de page Car"/>
    <w:basedOn w:val="DefaultParagraphFont"/>
    <w:link w:val="Pieddepage"/>
    <w:qFormat/>
    <w:rsid w:val="00cd06e8"/>
    <w:rPr>
      <w:rFonts w:eastAsia="" w:eastAsiaTheme="minorEastAsia"/>
      <w:lang w:eastAsia="fr-FR"/>
    </w:rPr>
  </w:style>
  <w:style w:customStyle="1" w:styleId="TitreCar" w:type="character">
    <w:name w:val="Titre Car"/>
    <w:basedOn w:val="DefaultParagraphFont"/>
    <w:link w:val="Titre"/>
    <w:uiPriority w:val="10"/>
    <w:qFormat/>
    <w:rsid w:val="00cd06e8"/>
    <w:rPr>
      <w:rFonts w:ascii="Calibri Light" w:asciiTheme="majorHAnsi" w:cs="" w:cstheme="majorBidi" w:eastAsia="" w:eastAsiaTheme="majorEastAsia" w:hAnsi="Calibri Light" w:hAnsiTheme="majorHAnsi"/>
      <w:color w:themeColor="text2" w:themeShade="bf" w:val="323E4F"/>
      <w:spacing w:val="5"/>
      <w:kern w:val="2"/>
      <w:sz w:val="52"/>
      <w:szCs w:val="52"/>
      <w:lang w:eastAsia="fr-FR"/>
    </w:rPr>
  </w:style>
  <w:style w:styleId="LienInternet" w:type="character">
    <w:name w:val="Lien Internet"/>
    <w:basedOn w:val="DefaultParagraphFont"/>
    <w:uiPriority w:val="99"/>
    <w:unhideWhenUsed/>
    <w:rsid w:val="00cd06e8"/>
    <w:rPr>
      <w:color w:themeColor="hyperlink" w:val="0563C1"/>
      <w:u w:val="single"/>
    </w:rPr>
  </w:style>
  <w:style w:styleId="Annotationreference" w:type="character">
    <w:name w:val="annotation reference"/>
    <w:basedOn w:val="DefaultParagraphFont"/>
    <w:uiPriority w:val="99"/>
    <w:semiHidden/>
    <w:unhideWhenUsed/>
    <w:qFormat/>
    <w:rsid w:val="00cd06e8"/>
    <w:rPr>
      <w:sz w:val="16"/>
      <w:szCs w:val="16"/>
    </w:rPr>
  </w:style>
  <w:style w:customStyle="1" w:styleId="CommentaireCar" w:type="character">
    <w:name w:val="Commentaire Car"/>
    <w:basedOn w:val="DefaultParagraphFont"/>
    <w:link w:val="Commentaire"/>
    <w:uiPriority w:val="99"/>
    <w:qFormat/>
    <w:rsid w:val="00cd06e8"/>
    <w:rPr>
      <w:rFonts w:eastAsia="" w:eastAsiaTheme="minorEastAsia"/>
      <w:sz w:val="20"/>
      <w:szCs w:val="20"/>
      <w:lang w:eastAsia="fr-FR"/>
    </w:rPr>
  </w:style>
  <w:style w:customStyle="1" w:styleId="ObjetducommentaireCar" w:type="character">
    <w:name w:val="Objet du commentaire Car"/>
    <w:basedOn w:val="CommentaireCar"/>
    <w:link w:val="Objetducommentaire"/>
    <w:uiPriority w:val="99"/>
    <w:semiHidden/>
    <w:qFormat/>
    <w:rsid w:val="006507bc"/>
    <w:rPr>
      <w:rFonts w:eastAsia="" w:eastAsiaTheme="minorEastAsia"/>
      <w:b/>
      <w:bCs/>
      <w:sz w:val="20"/>
      <w:szCs w:val="20"/>
      <w:lang w:eastAsia="fr-FR"/>
    </w:rPr>
  </w:style>
  <w:style w:styleId="Titre" w:type="paragraph">
    <w:name w:val="Titre"/>
    <w:basedOn w:val="Normal"/>
    <w:next w:val="Corpsdetexte"/>
    <w:qFormat/>
    <w:pPr>
      <w:keepNext w:val="true"/>
      <w:spacing w:after="120" w:before="240"/>
    </w:pPr>
    <w:rPr>
      <w:rFonts w:ascii="Liberation Sans" w:cs="Lucida Sans" w:eastAsia="Microsoft YaHei" w:hAnsi="Liberation Sans"/>
      <w:sz w:val="28"/>
      <w:szCs w:val="28"/>
    </w:rPr>
  </w:style>
  <w:style w:styleId="Corpsdetexte" w:type="paragraph">
    <w:name w:val="Body Text"/>
    <w:basedOn w:val="Normal"/>
    <w:pPr>
      <w:spacing w:after="140" w:before="0" w:line="276" w:lineRule="auto"/>
    </w:pPr>
    <w:rPr/>
  </w:style>
  <w:style w:styleId="Liste" w:type="paragraph">
    <w:name w:val="List"/>
    <w:basedOn w:val="Corpsdetexte"/>
    <w:pPr/>
    <w:rPr>
      <w:rFonts w:cs="Lucida Sans"/>
    </w:rPr>
  </w:style>
  <w:style w:styleId="Lgende" w:type="paragraph">
    <w:name w:val="Caption"/>
    <w:basedOn w:val="Normal"/>
    <w:qFormat/>
    <w:pPr>
      <w:suppressLineNumbers/>
      <w:spacing w:after="120" w:before="120"/>
    </w:pPr>
    <w:rPr>
      <w:rFonts w:cs="Lucida Sans"/>
      <w:i/>
      <w:iCs/>
      <w:sz w:val="24"/>
      <w:szCs w:val="24"/>
    </w:rPr>
  </w:style>
  <w:style w:styleId="Index" w:type="paragraph">
    <w:name w:val="Index"/>
    <w:basedOn w:val="Normal"/>
    <w:qFormat/>
    <w:pPr>
      <w:suppressLineNumbers/>
    </w:pPr>
    <w:rPr>
      <w:rFonts w:cs="Lucida Sans"/>
    </w:rPr>
  </w:style>
  <w:style w:styleId="NormalWeb" w:type="paragraph">
    <w:name w:val="Normal (Web)"/>
    <w:basedOn w:val="Normal"/>
    <w:uiPriority w:val="99"/>
    <w:unhideWhenUsed/>
    <w:qFormat/>
    <w:rsid w:val="00cd06e8"/>
    <w:pPr>
      <w:numPr>
        <w:ilvl w:val="0"/>
        <w:numId w:val="2"/>
      </w:numPr>
      <w:spacing w:afterAutospacing="1" w:beforeAutospacing="1" w:line="240" w:lineRule="auto"/>
    </w:pPr>
    <w:rPr>
      <w:rFonts w:ascii="Times New Roman" w:cs="Times New Roman" w:eastAsia="Times New Roman" w:hAnsi="Times New Roman"/>
      <w:sz w:val="24"/>
      <w:szCs w:val="24"/>
    </w:rPr>
  </w:style>
  <w:style w:styleId="ListParagraph" w:type="paragraph">
    <w:name w:val="List Paragraph"/>
    <w:basedOn w:val="Normal"/>
    <w:uiPriority w:val="34"/>
    <w:qFormat/>
    <w:rsid w:val="00cd06e8"/>
    <w:pPr>
      <w:spacing w:after="200" w:before="0"/>
      <w:ind w:hanging="0" w:left="720"/>
      <w:contextualSpacing/>
    </w:pPr>
    <w:rPr/>
  </w:style>
  <w:style w:styleId="NoSpacing" w:type="paragraph">
    <w:name w:val="No Spacing"/>
    <w:uiPriority w:val="1"/>
    <w:qFormat/>
    <w:rsid w:val="00cd06e8"/>
    <w:pPr>
      <w:widowControl/>
      <w:bidi w:val="0"/>
      <w:spacing w:after="0" w:before="0" w:line="240" w:lineRule="auto"/>
      <w:jc w:val="left"/>
    </w:pPr>
    <w:rPr>
      <w:rFonts w:ascii="Calibri" w:cs="" w:eastAsia="" w:eastAsiaTheme="minorEastAsia" w:hAnsi="Calibri"/>
      <w:color w:val="auto"/>
      <w:kern w:val="0"/>
      <w:sz w:val="22"/>
      <w:szCs w:val="22"/>
      <w:lang w:bidi="ar-SA" w:eastAsia="fr-FR" w:val="fr-FR"/>
    </w:rPr>
  </w:style>
  <w:style w:styleId="Entteetpieddepage" w:type="paragraph">
    <w:name w:val="En-tête et pied de page"/>
    <w:basedOn w:val="Normal"/>
    <w:qFormat/>
    <w:pPr/>
    <w:rPr/>
  </w:style>
  <w:style w:styleId="Entte" w:type="paragraph">
    <w:name w:val="Header"/>
    <w:basedOn w:val="Normal"/>
    <w:link w:val="En-tteCar"/>
    <w:uiPriority w:val="99"/>
    <w:unhideWhenUsed/>
    <w:rsid w:val="00cd06e8"/>
    <w:pPr>
      <w:tabs>
        <w:tab w:pos="708" w:val="clear"/>
        <w:tab w:leader="none" w:pos="4536" w:val="center"/>
        <w:tab w:leader="none" w:pos="9072" w:val="right"/>
      </w:tabs>
      <w:spacing w:after="0" w:before="0" w:line="240" w:lineRule="auto"/>
    </w:pPr>
    <w:rPr/>
  </w:style>
  <w:style w:styleId="Pieddepage" w:type="paragraph">
    <w:name w:val="Footer"/>
    <w:basedOn w:val="Normal"/>
    <w:link w:val="PieddepageCar"/>
    <w:unhideWhenUsed/>
    <w:rsid w:val="00cd06e8"/>
    <w:pPr>
      <w:tabs>
        <w:tab w:pos="708" w:val="clear"/>
        <w:tab w:leader="none" w:pos="4536" w:val="center"/>
        <w:tab w:leader="none" w:pos="9072" w:val="right"/>
      </w:tabs>
      <w:spacing w:after="0" w:before="0" w:line="240" w:lineRule="auto"/>
    </w:pPr>
    <w:rPr/>
  </w:style>
  <w:style w:styleId="Titreprincipal" w:type="paragraph">
    <w:name w:val="Title"/>
    <w:basedOn w:val="Normal"/>
    <w:next w:val="Normal"/>
    <w:link w:val="TitreCar"/>
    <w:uiPriority w:val="10"/>
    <w:qFormat/>
    <w:rsid w:val="00cd06e8"/>
    <w:pPr>
      <w:pBdr>
        <w:bottom w:color="4472C4" w:space="4" w:sz="8" w:val="single"/>
      </w:pBdr>
      <w:spacing w:after="300" w:before="0" w:line="240" w:lineRule="auto"/>
      <w:contextualSpacing/>
    </w:pPr>
    <w:rPr>
      <w:rFonts w:ascii="Calibri Light" w:asciiTheme="majorHAnsi" w:cs="" w:cstheme="majorBidi" w:eastAsia="" w:eastAsiaTheme="majorEastAsia" w:hAnsi="Calibri Light" w:hAnsiTheme="majorHAnsi"/>
      <w:color w:themeColor="text2" w:themeShade="bf" w:val="323E4F"/>
      <w:spacing w:val="5"/>
      <w:kern w:val="2"/>
      <w:sz w:val="52"/>
      <w:szCs w:val="52"/>
    </w:rPr>
  </w:style>
  <w:style w:styleId="Tabledesmatiresniveau1" w:type="paragraph">
    <w:name w:val="TOC 1"/>
    <w:basedOn w:val="Normal"/>
    <w:next w:val="Normal"/>
    <w:autoRedefine/>
    <w:uiPriority w:val="39"/>
    <w:unhideWhenUsed/>
    <w:rsid w:val="00cd06e8"/>
    <w:pPr>
      <w:spacing w:after="100" w:before="0"/>
    </w:pPr>
    <w:rPr/>
  </w:style>
  <w:style w:styleId="Tabledesmatiresniveau2" w:type="paragraph">
    <w:name w:val="TOC 2"/>
    <w:basedOn w:val="Normal"/>
    <w:next w:val="Normal"/>
    <w:autoRedefine/>
    <w:uiPriority w:val="39"/>
    <w:unhideWhenUsed/>
    <w:rsid w:val="00cd06e8"/>
    <w:pPr>
      <w:spacing w:after="100" w:before="0"/>
      <w:ind w:hanging="0" w:left="220"/>
    </w:pPr>
    <w:rPr/>
  </w:style>
  <w:style w:styleId="Annotationtext" w:type="paragraph">
    <w:name w:val="annotation text"/>
    <w:basedOn w:val="Normal"/>
    <w:link w:val="CommentaireCar"/>
    <w:uiPriority w:val="99"/>
    <w:unhideWhenUsed/>
    <w:qFormat/>
    <w:rsid w:val="00cd06e8"/>
    <w:pPr>
      <w:spacing w:line="240" w:lineRule="auto"/>
    </w:pPr>
    <w:rPr>
      <w:sz w:val="20"/>
      <w:szCs w:val="20"/>
    </w:rPr>
  </w:style>
  <w:style w:styleId="Annotationsubject" w:type="paragraph">
    <w:name w:val="annotation subject"/>
    <w:basedOn w:val="Annotationtext"/>
    <w:next w:val="Annotationtext"/>
    <w:link w:val="ObjetducommentaireCar"/>
    <w:uiPriority w:val="99"/>
    <w:semiHidden/>
    <w:unhideWhenUsed/>
    <w:qFormat/>
    <w:rsid w:val="006507bc"/>
    <w:pPr/>
    <w:rPr>
      <w:b/>
      <w:bCs/>
    </w:rPr>
  </w:style>
  <w:style w:styleId="Revision" w:type="paragraph">
    <w:name w:val="Revision"/>
    <w:uiPriority w:val="99"/>
    <w:semiHidden/>
    <w:qFormat/>
    <w:rsid w:val="009c0b47"/>
    <w:pPr>
      <w:widowControl/>
      <w:bidi w:val="0"/>
      <w:spacing w:after="0" w:before="0" w:line="240" w:lineRule="auto"/>
      <w:jc w:val="left"/>
    </w:pPr>
    <w:rPr>
      <w:rFonts w:ascii="Calibri" w:cs="" w:eastAsia="" w:eastAsiaTheme="minorEastAsia" w:hAnsi="Calibri"/>
      <w:color w:val="auto"/>
      <w:kern w:val="0"/>
      <w:sz w:val="22"/>
      <w:szCs w:val="22"/>
      <w:lang w:bidi="ar-SA" w:eastAsia="fr-FR" w:val="fr-FR"/>
    </w:rPr>
  </w:style>
  <w:style w:styleId="Contenudecadre" w:type="paragraph">
    <w:name w:val="Contenu de cadre"/>
    <w:basedOn w:val="Normal"/>
    <w:qFormat/>
    <w:pPr/>
    <w:rPr/>
  </w:style>
  <w:style w:default="1" w:styleId="NoList" w:type="numbering">
    <w:name w:val="No List"/>
    <w:uiPriority w:val="99"/>
    <w:semiHidden/>
    <w:unhideWhenUsed/>
    <w:qFormat/>
  </w:style>
  <w:style w:default="1" w:styleId="TableauNormal" w:type="table">
    <w:name w:val="Normal Table"/>
    <w:uiPriority w:val="99"/>
    <w:semiHidden/>
    <w:unhideWhenUsed/>
    <w:tblPr>
      <w:tblCellMar>
        <w:top w:type="dxa" w:w="0"/>
        <w:left w:type="dxa" w:w="108"/>
        <w:bottom w:type="dxa" w:w="0"/>
        <w:right w:type="dxa" w:w="108"/>
      </w:tblCellMar>
    </w:tblPr>
  </w:style>
  <w:style w:styleId="Grilledutableau" w:type="table">
    <w:name w:val="Table Grid"/>
    <w:basedOn w:val="TableauNormal"/>
    <w:uiPriority w:val="59"/>
    <w:rsid w:val="00cd06e8"/>
    <w:pPr>
      <w:spacing w:after="0" w:line="240" w:lineRule="auto"/>
    </w:pPr>
    <w:rPr>
      <w:lang w:eastAsia="fr-FR"/>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Grilledutableau1" w:type="table">
    <w:name w:val="Grille du tableau1"/>
    <w:basedOn w:val="TableauNormal"/>
    <w:uiPriority w:val="59"/>
    <w:rsid w:val="00cd06e8"/>
    <w:pPr>
      <w:spacing w:after="0" w:line="240" w:lineRule="auto"/>
    </w:pPr>
    <w:rPr>
      <w:lang w:eastAsia="fr-FR"/>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10" Target="theme/theme1.xml" Type="http://schemas.openxmlformats.org/officeDocument/2006/relationships/theme"/><Relationship Id="rId11" Target="../customXml/item1.xml" Type="http://schemas.openxmlformats.org/officeDocument/2006/relationships/customXml"/><Relationship Id="rId2" Target="media/image1.png" Type="http://schemas.openxmlformats.org/officeDocument/2006/relationships/image"/><Relationship Id="rId3" Target="media/image2.png" Type="http://schemas.openxmlformats.org/officeDocument/2006/relationships/image"/><Relationship Id="rId4" Target="http://www.teleaccords.travail-emploi.gouv.fr/" TargetMode="External" Type="http://schemas.openxmlformats.org/officeDocument/2006/relationships/hyperlink"/><Relationship Id="rId5" Target="header1.xml" Type="http://schemas.openxmlformats.org/officeDocument/2006/relationships/header"/><Relationship Id="rId6" Target="footer1.xml" Type="http://schemas.openxmlformats.org/officeDocument/2006/relationships/footer"/><Relationship Id="rId7" Target="numbering.xml" Type="http://schemas.openxmlformats.org/officeDocument/2006/relationships/numbering"/><Relationship Id="rId8" Target="fontTable.xml" Type="http://schemas.openxmlformats.org/officeDocument/2006/relationships/fontTable"/><Relationship Id="rId9" Target="settings.xml" Type="http://schemas.openxmlformats.org/officeDocument/2006/relationships/settings"/></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E406C-4053-4A40-A55D-A1FDD737F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LibreOffice/7.1.8.1$Windows_X86_64 LibreOffice_project/e1f30c802c3269a1d052614453f260e49458c82c</Application>
  <AppVersion>15.0000</AppVersion>
  <Pages>13</Pages>
  <Words>3685</Words>
  <Characters>19590</Characters>
  <CharactersWithSpaces>23093</CharactersWithSpaces>
  <Paragraphs>194</Paragraphs>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2023-02-21T09:30:13Z</dcterms:created>
  <dc:language>fr-FR</dc:language>
  <cp:revision>1</cp:revision>
</cp:coreProperties>
</file>

<file path=docProps/custom.xml><?xml version="1.0" encoding="utf-8"?>
<Properties xmlns="http://schemas.openxmlformats.org/officeDocument/2006/custom-properties" xmlns:vt="http://schemas.openxmlformats.org/officeDocument/2006/docPropsVTypes"/>
</file>